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A73B6" w14:textId="77777777" w:rsidR="00D84D0A" w:rsidRDefault="00000000">
      <w:pPr>
        <w:spacing w:before="600" w:after="60"/>
      </w:pPr>
      <w:r>
        <w:rPr>
          <w:b/>
          <w:bCs/>
          <w:color w:val="2C7A7B"/>
          <w:sz w:val="22"/>
          <w:szCs w:val="22"/>
        </w:rPr>
        <w:t>InnoBeweegLab — AI-Assisted Research Reporting</w:t>
      </w:r>
    </w:p>
    <w:p w14:paraId="0FE5F725" w14:textId="77777777" w:rsidR="00D84D0A" w:rsidRDefault="00000000">
      <w:pPr>
        <w:spacing w:before="200" w:after="200"/>
      </w:pPr>
      <w:r>
        <w:rPr>
          <w:b/>
          <w:bCs/>
          <w:color w:val="1F3B57"/>
          <w:sz w:val="44"/>
          <w:szCs w:val="44"/>
        </w:rPr>
        <w:t>GenAI Provider Selection</w:t>
      </w:r>
    </w:p>
    <w:p w14:paraId="0446FAD2" w14:textId="77777777" w:rsidR="00D84D0A" w:rsidRDefault="00000000">
      <w:pPr>
        <w:spacing w:after="500"/>
      </w:pPr>
      <w:r>
        <w:rPr>
          <w:b/>
          <w:bCs/>
          <w:color w:val="2C7A7B"/>
          <w:sz w:val="32"/>
          <w:szCs w:val="32"/>
        </w:rPr>
        <w:t>Cost Comparison &amp; Business Case</w:t>
      </w:r>
    </w:p>
    <w:p w14:paraId="3210FC7E" w14:textId="77777777" w:rsidR="00D84D0A" w:rsidRDefault="00000000">
      <w:pPr>
        <w:spacing w:after="100"/>
      </w:pPr>
      <w:r>
        <w:rPr>
          <w:sz w:val="20"/>
          <w:szCs w:val="20"/>
        </w:rPr>
        <w:t>Prepared for: InnoBeweegLab — "From Data to Evidence-Based Recommendations" project (Master of Applied IT capstone)</w:t>
      </w:r>
    </w:p>
    <w:p w14:paraId="50B33C13" w14:textId="77777777" w:rsidR="00D84D0A" w:rsidRDefault="00000000">
      <w:pPr>
        <w:spacing w:after="100"/>
      </w:pPr>
      <w:r>
        <w:rPr>
          <w:sz w:val="20"/>
          <w:szCs w:val="20"/>
        </w:rPr>
        <w:t>Prepared by: Alex</w:t>
      </w:r>
    </w:p>
    <w:p w14:paraId="071477A1" w14:textId="77777777" w:rsidR="00D84D0A" w:rsidRDefault="00000000">
      <w:pPr>
        <w:spacing w:after="100"/>
      </w:pPr>
      <w:r>
        <w:rPr>
          <w:sz w:val="20"/>
          <w:szCs w:val="20"/>
        </w:rPr>
        <w:t>Date: 10 September 2026</w:t>
      </w:r>
    </w:p>
    <w:p w14:paraId="373DFCFB" w14:textId="77777777" w:rsidR="00D84D0A" w:rsidRDefault="00000000">
      <w:pPr>
        <w:spacing w:after="400"/>
      </w:pPr>
      <w:r>
        <w:rPr>
          <w:i/>
          <w:iCs/>
          <w:color w:val="5B6770"/>
          <w:sz w:val="18"/>
          <w:szCs w:val="18"/>
        </w:rPr>
        <w:t>Status: Working draft for team &amp; stakeholder discussion — pricing and free-credit terms should be re-verified with providers before any procurement decision.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381E4DC3" w14:textId="77777777">
        <w:tblPrEx>
          <w:tblCellMar>
            <w:top w:w="0" w:type="dxa"/>
            <w:bottom w:w="0" w:type="dxa"/>
          </w:tblCellMar>
        </w:tblPrEx>
        <w:tc>
          <w:tcPr>
            <w:tcW w:w="9350" w:type="dxa"/>
            <w:tcBorders>
              <w:top w:val="single" w:sz="4" w:space="0" w:color="1F3B57"/>
              <w:left w:val="single" w:sz="24" w:space="0" w:color="1F3B57"/>
              <w:bottom w:val="single" w:sz="4" w:space="0" w:color="1F3B57"/>
              <w:right w:val="single" w:sz="4" w:space="0" w:color="1F3B57"/>
            </w:tcBorders>
            <w:shd w:val="clear" w:color="auto" w:fill="EEF3F5"/>
            <w:tcMar>
              <w:top w:w="160" w:type="dxa"/>
              <w:left w:w="200" w:type="dxa"/>
              <w:bottom w:w="160" w:type="dxa"/>
              <w:right w:w="200" w:type="dxa"/>
            </w:tcMar>
          </w:tcPr>
          <w:p w14:paraId="601F0A70" w14:textId="77777777" w:rsidR="00D84D0A" w:rsidRDefault="00000000">
            <w:pPr>
              <w:spacing w:after="60"/>
            </w:pPr>
            <w:r>
              <w:rPr>
                <w:b/>
                <w:bCs/>
                <w:color w:val="1F3B57"/>
                <w:sz w:val="18"/>
                <w:szCs w:val="18"/>
              </w:rPr>
              <w:t>EXECUTIVE SUMMARY</w:t>
            </w:r>
          </w:p>
          <w:p w14:paraId="21E0620D" w14:textId="77777777" w:rsidR="00D84D0A" w:rsidRDefault="00000000">
            <w:r>
              <w:t>This document compares Anthropic Claude, OpenAI, Microsoft Azure AI Foundry, Mistral AI, and self-hosted open-weight models as the LLM layer for the InnoBeweegLab reporting assistant, and builds a business case around InnoBeweegLab's stated constraint of no dedicated budget and existing Microsoft usage. Headline finding: at InnoBeweegLab's realistic scale (periodic report generation, not high-volume chat), raw model inference cost is small for every credible provider — the decision should be driven by data protection/GDPR fit, integration effort, and output quality, not sticker price.</w:t>
            </w:r>
          </w:p>
        </w:tc>
      </w:tr>
    </w:tbl>
    <w:p w14:paraId="7D99FECA" w14:textId="77777777" w:rsidR="00D84D0A" w:rsidRDefault="00000000">
      <w:r>
        <w:br w:type="page"/>
      </w:r>
    </w:p>
    <w:p w14:paraId="17D07A21" w14:textId="77777777" w:rsidR="00D84D0A" w:rsidRDefault="00000000">
      <w:pPr>
        <w:pStyle w:val="Heading1"/>
        <w:pBdr>
          <w:bottom w:val="single" w:sz="8" w:space="4" w:color="2C7A7B"/>
        </w:pBdr>
        <w:spacing w:before="420" w:after="200"/>
      </w:pPr>
      <w:r>
        <w:rPr>
          <w:b/>
          <w:bCs/>
          <w:color w:val="1F3B57"/>
          <w:sz w:val="30"/>
          <w:szCs w:val="30"/>
        </w:rPr>
        <w:lastRenderedPageBreak/>
        <w:t>Contents</w:t>
      </w:r>
    </w:p>
    <w:p w14:paraId="33EA094C" w14:textId="77777777" w:rsidR="00D84D0A" w:rsidRDefault="00000000">
      <w:pPr>
        <w:spacing w:after="60"/>
      </w:pPr>
      <w:r>
        <w:t>1. Purpose &amp; how this fits the project brief</w:t>
      </w:r>
    </w:p>
    <w:p w14:paraId="34738320" w14:textId="77777777" w:rsidR="00D84D0A" w:rsidRDefault="00000000">
      <w:pPr>
        <w:spacing w:after="60"/>
      </w:pPr>
      <w:r>
        <w:t>2. Requirements that shape the provider choice</w:t>
      </w:r>
    </w:p>
    <w:p w14:paraId="4E7A2649" w14:textId="77777777" w:rsidR="00D84D0A" w:rsidRDefault="00000000">
      <w:pPr>
        <w:spacing w:after="60"/>
      </w:pPr>
      <w:r>
        <w:t>3. Provider landscape</w:t>
      </w:r>
    </w:p>
    <w:p w14:paraId="3F1B992F" w14:textId="77777777" w:rsidR="00D84D0A" w:rsidRDefault="00000000">
      <w:pPr>
        <w:spacing w:after="60"/>
      </w:pPr>
      <w:r>
        <w:t>4. Cost comparison</w:t>
      </w:r>
    </w:p>
    <w:p w14:paraId="20D071AC" w14:textId="77777777" w:rsidR="00D84D0A" w:rsidRDefault="00000000">
      <w:pPr>
        <w:spacing w:after="60"/>
      </w:pPr>
      <w:r>
        <w:t>5. Data residency &amp; GDPR assessment</w:t>
      </w:r>
    </w:p>
    <w:p w14:paraId="77A5A5E7" w14:textId="77777777" w:rsidR="00D84D0A" w:rsidRDefault="00000000">
      <w:pPr>
        <w:spacing w:after="60"/>
      </w:pPr>
      <w:r>
        <w:t>6. Zero-cost options in practice</w:t>
      </w:r>
    </w:p>
    <w:p w14:paraId="28DA87A1" w14:textId="77777777" w:rsidR="00D84D0A" w:rsidRDefault="00000000">
      <w:pPr>
        <w:spacing w:after="60"/>
      </w:pPr>
      <w:r>
        <w:t>7. Funding the 4-month project at zero budget</w:t>
      </w:r>
    </w:p>
    <w:p w14:paraId="6291F6F0" w14:textId="77777777" w:rsidR="00D84D0A" w:rsidRDefault="00000000">
      <w:pPr>
        <w:spacing w:after="60"/>
      </w:pPr>
      <w:r>
        <w:t>8. Business case</w:t>
      </w:r>
    </w:p>
    <w:p w14:paraId="14BB5205" w14:textId="77777777" w:rsidR="00D84D0A" w:rsidRDefault="00000000">
      <w:pPr>
        <w:spacing w:after="60"/>
      </w:pPr>
      <w:r>
        <w:t>9. Risk register</w:t>
      </w:r>
    </w:p>
    <w:p w14:paraId="714654D1" w14:textId="77777777" w:rsidR="00D84D0A" w:rsidRDefault="00000000">
      <w:pPr>
        <w:spacing w:after="60"/>
      </w:pPr>
      <w:r>
        <w:t>10. Recommendation &amp; phased approach</w:t>
      </w:r>
    </w:p>
    <w:p w14:paraId="3230CF50" w14:textId="77777777" w:rsidR="00D84D0A" w:rsidRDefault="00000000">
      <w:pPr>
        <w:spacing w:after="60"/>
      </w:pPr>
      <w:r>
        <w:t>11. Appendix — full pricing tables, glossary, sources</w:t>
      </w:r>
    </w:p>
    <w:p w14:paraId="158DED6F" w14:textId="77777777" w:rsidR="00D84D0A" w:rsidRDefault="00000000">
      <w:r>
        <w:br w:type="page"/>
      </w:r>
    </w:p>
    <w:p w14:paraId="00DA65BD" w14:textId="77777777" w:rsidR="00D84D0A" w:rsidRDefault="00000000">
      <w:pPr>
        <w:pStyle w:val="Heading1"/>
        <w:pBdr>
          <w:bottom w:val="single" w:sz="8" w:space="4" w:color="2C7A7B"/>
        </w:pBdr>
        <w:spacing w:before="420" w:after="200"/>
      </w:pPr>
      <w:r>
        <w:rPr>
          <w:b/>
          <w:bCs/>
          <w:color w:val="1F3B57"/>
          <w:sz w:val="30"/>
          <w:szCs w:val="30"/>
        </w:rPr>
        <w:lastRenderedPageBreak/>
        <w:t>1. Purpose &amp; how this fits the project brief</w:t>
      </w:r>
    </w:p>
    <w:p w14:paraId="557DAFCB" w14:textId="77777777" w:rsidR="00D84D0A" w:rsidRDefault="00000000">
      <w:pPr>
        <w:spacing w:after="160"/>
      </w:pPr>
      <w:r>
        <w:t>The InnoBeweegLab project brief asks for an AI-supported system — potentially multiple agents — that ingests resident/stakeholder input, expert assessments, and quantitative datasets, and drafts structured, evidence-based research reports while keeping researchers in control of interpretation and recommendations. Whichever architecture the team designs over the next four months, it needs a large language model (LLM) underneath it to read, reason over, and write from that data.</w:t>
      </w:r>
    </w:p>
    <w:p w14:paraId="51CDD810" w14:textId="77777777" w:rsidR="00D84D0A" w:rsidRDefault="00000000">
      <w:pPr>
        <w:spacing w:after="160"/>
      </w:pPr>
      <w:r>
        <w:t>This document answers three questions the team needs settled early, because they affect architecture decisions from week one:</w:t>
      </w:r>
    </w:p>
    <w:p w14:paraId="60E6B088" w14:textId="77777777" w:rsidR="00D84D0A" w:rsidRDefault="00000000">
      <w:pPr>
        <w:pStyle w:val="ListParagraph"/>
        <w:numPr>
          <w:ilvl w:val="0"/>
          <w:numId w:val="2"/>
        </w:numPr>
        <w:spacing w:after="90"/>
      </w:pPr>
      <w:r>
        <w:t>Which GenAI provider(s) should the prototype be built on, given InnoBeweegLab has no dedicated budget for this project?</w:t>
      </w:r>
    </w:p>
    <w:p w14:paraId="0D0F3FA1" w14:textId="77777777" w:rsidR="00D84D0A" w:rsidRDefault="00000000">
      <w:pPr>
        <w:pStyle w:val="ListParagraph"/>
        <w:numPr>
          <w:ilvl w:val="0"/>
          <w:numId w:val="2"/>
        </w:numPr>
        <w:spacing w:after="90"/>
      </w:pPr>
      <w:r>
        <w:t>What would it cost to actually run this in production at InnoBeweegLab after the capstone ends?</w:t>
      </w:r>
    </w:p>
    <w:p w14:paraId="1D08BE62" w14:textId="77777777" w:rsidR="00D84D0A" w:rsidRDefault="00000000">
      <w:pPr>
        <w:pStyle w:val="ListParagraph"/>
        <w:numPr>
          <w:ilvl w:val="0"/>
          <w:numId w:val="2"/>
        </w:numPr>
        <w:spacing w:after="90"/>
      </w:pPr>
      <w:r>
        <w:t>Does the answer change because InnoBeweegLab already uses Microsoft (Microsoft 365), and might have access to Azure/Copilot licensing?</w:t>
      </w:r>
    </w:p>
    <w:p w14:paraId="737C8699" w14:textId="77777777" w:rsidR="00D84D0A" w:rsidRDefault="00000000">
      <w:pPr>
        <w:spacing w:after="200"/>
      </w:pPr>
      <w:r>
        <w:t>Short answer to the third question up front, because it's the one InnoBeweegLab asked about directly: using Microsoft 365 (Word, Excel, Teams, and possibly Microsoft 365 Copilot) does not automatically grant access to Azure AI Foundry. Microsoft 365 Copilot is a per-user seat licence (~$30/user/month) for chat-style assistance inside Office apps; Azure AI Foundry is a separate, pay-as-you-go cloud platform for building custom applications like this one, billed per token on a separate Azure subscription. They are related products from the same company but are procured and billed independently. It is worth a short conversation with InnoBeweegLab's IT contact or Microsoft account team to check whether an Azure subscription, Enterprise Agreement, or nonprofit/education credit already exists — but it should not be assumed.</w:t>
      </w:r>
    </w:p>
    <w:p w14:paraId="0B4482FD" w14:textId="77777777" w:rsidR="00D84D0A" w:rsidRDefault="00000000">
      <w:pPr>
        <w:pStyle w:val="Heading1"/>
        <w:pBdr>
          <w:bottom w:val="single" w:sz="8" w:space="4" w:color="2C7A7B"/>
        </w:pBdr>
        <w:spacing w:before="420" w:after="200"/>
      </w:pPr>
      <w:r>
        <w:rPr>
          <w:b/>
          <w:bCs/>
          <w:color w:val="1F3B57"/>
          <w:sz w:val="30"/>
          <w:szCs w:val="30"/>
        </w:rPr>
        <w:t>2. Requirements that shape the provider choice</w:t>
      </w:r>
    </w:p>
    <w:p w14:paraId="5E61CA7F" w14:textId="77777777" w:rsidR="00D84D0A" w:rsidRDefault="00000000">
      <w:pPr>
        <w:spacing w:after="160"/>
      </w:pPr>
      <w:r>
        <w:t>Pulled directly from the project brief, these are the constraints that matter most when comparing providers:</w:t>
      </w:r>
    </w:p>
    <w:p w14:paraId="68A258E1" w14:textId="77777777" w:rsidR="00D84D0A" w:rsidRDefault="00000000">
      <w:pPr>
        <w:pStyle w:val="ListParagraph"/>
        <w:numPr>
          <w:ilvl w:val="0"/>
          <w:numId w:val="2"/>
        </w:numPr>
        <w:spacing w:after="90"/>
      </w:pPr>
      <w:r>
        <w:rPr>
          <w:b/>
          <w:bCs/>
        </w:rPr>
        <w:t xml:space="preserve">Heterogeneous, sensitive input data — </w:t>
      </w:r>
      <w:r>
        <w:t>interview transcripts and survey responses from residents, expert observation notes, and quantitative datasets (Excel/statistics). Resident data can include opinions on their own neighbourhood, mobility and health-adjacent behaviour — treat it as personal data under GDPR, and be alert to it touching special-category data (health) in some studies.</w:t>
      </w:r>
    </w:p>
    <w:p w14:paraId="37389B69" w14:textId="77777777" w:rsidR="00D84D0A" w:rsidRDefault="00000000">
      <w:pPr>
        <w:pStyle w:val="ListParagraph"/>
        <w:numPr>
          <w:ilvl w:val="0"/>
          <w:numId w:val="2"/>
        </w:numPr>
        <w:spacing w:after="90"/>
      </w:pPr>
      <w:r>
        <w:rPr>
          <w:b/>
          <w:bCs/>
        </w:rPr>
        <w:t xml:space="preserve">Long-document, multi-source synthesis — </w:t>
      </w:r>
      <w:r>
        <w:t>the model needs to hold and cross-reference large volumes of text and numbers, not just answer short questions. Context window size and retrieval quality matter more than raw "IQ" benchmarks.</w:t>
      </w:r>
    </w:p>
    <w:p w14:paraId="11AEE5A9" w14:textId="77777777" w:rsidR="00D84D0A" w:rsidRDefault="00000000">
      <w:pPr>
        <w:pStyle w:val="ListParagraph"/>
        <w:numPr>
          <w:ilvl w:val="0"/>
          <w:numId w:val="2"/>
        </w:numPr>
        <w:spacing w:after="90"/>
      </w:pPr>
      <w:r>
        <w:rPr>
          <w:b/>
          <w:bCs/>
        </w:rPr>
        <w:t xml:space="preserve">Grounded, non-generic output — </w:t>
      </w:r>
      <w:r>
        <w:t>the brief explicitly warns against "generic or overly standardised recommendations." This is a retrieval-augmented generation (RAG) and prompting/evaluation problem as much as a model-choice problem — but weaker or smaller models make it harder.</w:t>
      </w:r>
    </w:p>
    <w:p w14:paraId="7DAD480D" w14:textId="77777777" w:rsidR="00D84D0A" w:rsidRDefault="00000000">
      <w:pPr>
        <w:pStyle w:val="ListParagraph"/>
        <w:numPr>
          <w:ilvl w:val="0"/>
          <w:numId w:val="2"/>
        </w:numPr>
        <w:spacing w:after="90"/>
      </w:pPr>
      <w:r>
        <w:rPr>
          <w:b/>
          <w:bCs/>
        </w:rPr>
        <w:t xml:space="preserve">House style compliance — </w:t>
      </w:r>
      <w:r>
        <w:t>InnoBeweegLab's tone of voice, templates, and visual identity must be followed, which favours a model that follows detailed formatting/style instructions reliably.</w:t>
      </w:r>
    </w:p>
    <w:p w14:paraId="7BB21BBF" w14:textId="77777777" w:rsidR="00D84D0A" w:rsidRDefault="00000000">
      <w:pPr>
        <w:pStyle w:val="ListParagraph"/>
        <w:numPr>
          <w:ilvl w:val="0"/>
          <w:numId w:val="2"/>
        </w:numPr>
        <w:spacing w:after="90"/>
      </w:pPr>
      <w:r>
        <w:rPr>
          <w:b/>
          <w:bCs/>
        </w:rPr>
        <w:t xml:space="preserve">Human-in-the-loop by design — </w:t>
      </w:r>
      <w:r>
        <w:t>researchers validate and edit output; the system is a draft generator, not an autonomous publisher. This lowers the bar for "perfect" output and raises the bar for traceability (can a claim be traced back to its source data?).</w:t>
      </w:r>
    </w:p>
    <w:p w14:paraId="7ADF6658" w14:textId="77777777" w:rsidR="00D84D0A" w:rsidRDefault="00000000">
      <w:pPr>
        <w:pStyle w:val="ListParagraph"/>
        <w:numPr>
          <w:ilvl w:val="0"/>
          <w:numId w:val="2"/>
        </w:numPr>
        <w:spacing w:after="90"/>
      </w:pPr>
      <w:r>
        <w:rPr>
          <w:b/>
          <w:bCs/>
        </w:rPr>
        <w:t xml:space="preserve">Zero project budget, but a Microsoft-using organisation — </w:t>
      </w:r>
      <w:r>
        <w:t>the provider choice must work during a free/low-cost 4-month build, and the production recommendation must respect InnoBeweegLab's real-world procurement constraints.</w:t>
      </w:r>
    </w:p>
    <w:p w14:paraId="676636D3" w14:textId="77777777" w:rsidR="00D84D0A" w:rsidRDefault="00000000">
      <w:pPr>
        <w:pStyle w:val="ListParagraph"/>
        <w:numPr>
          <w:ilvl w:val="0"/>
          <w:numId w:val="2"/>
        </w:numPr>
        <w:spacing w:after="90"/>
      </w:pPr>
      <w:r>
        <w:rPr>
          <w:b/>
          <w:bCs/>
        </w:rPr>
        <w:t xml:space="preserve">Multi-agent architecture — </w:t>
      </w:r>
      <w:r>
        <w:t>the brief anticipates "potentially multiple agents." All major providers now ship an agent/tool-use framework, so this is not a strong differentiator, but it does argue for an orchestration layer that isn't hard-wired to one vendor's SDK (see Section 10).</w:t>
      </w:r>
    </w:p>
    <w:p w14:paraId="57523C67" w14:textId="77777777" w:rsidR="00D84D0A" w:rsidRDefault="00000000">
      <w:pPr>
        <w:pStyle w:val="Heading1"/>
        <w:pBdr>
          <w:bottom w:val="single" w:sz="8" w:space="4" w:color="2C7A7B"/>
        </w:pBdr>
        <w:spacing w:before="420" w:after="200"/>
      </w:pPr>
      <w:r>
        <w:rPr>
          <w:b/>
          <w:bCs/>
          <w:color w:val="1F3B57"/>
          <w:sz w:val="30"/>
          <w:szCs w:val="30"/>
        </w:rPr>
        <w:t>3. Provider landscape</w:t>
      </w:r>
    </w:p>
    <w:p w14:paraId="08E43003" w14:textId="77777777" w:rsidR="00D84D0A" w:rsidRDefault="00000000">
      <w:pPr>
        <w:spacing w:after="160"/>
      </w:pPr>
      <w:r>
        <w:lastRenderedPageBreak/>
        <w:t>Five realistic options, in the order the brief listed them:</w:t>
      </w:r>
    </w:p>
    <w:p w14:paraId="3512887B" w14:textId="77777777" w:rsidR="00D84D0A" w:rsidRDefault="00000000">
      <w:pPr>
        <w:pStyle w:val="Heading2"/>
        <w:spacing w:before="320" w:after="140"/>
      </w:pPr>
      <w:r>
        <w:rPr>
          <w:b/>
          <w:bCs/>
          <w:color w:val="1F3B57"/>
          <w:sz w:val="25"/>
          <w:szCs w:val="25"/>
        </w:rPr>
        <w:t>3.1 Anthropic Claude — direct API</w:t>
      </w:r>
    </w:p>
    <w:p w14:paraId="230AA2AA" w14:textId="77777777" w:rsidR="00D84D0A" w:rsidRDefault="00000000">
      <w:pPr>
        <w:spacing w:after="160"/>
      </w:pPr>
      <w:r>
        <w:t>Anthropic's own API (Claude Sonnet, Opus, Haiku, and the frontier Fable/Mythos tier). Strong at long-document reasoning, careful instruction-following, and structured writing — the three things this project needs most. No published EU data-residency guarantee on the first-party API (see Section 5). No published nonprofit/education discount tier; Anthropic occasionally runs promotional credit programmes for open-source or research work, worth a direct enquiry.</w:t>
      </w:r>
    </w:p>
    <w:p w14:paraId="6A0F0E46" w14:textId="77777777" w:rsidR="00D84D0A" w:rsidRDefault="00000000">
      <w:pPr>
        <w:pStyle w:val="Heading2"/>
        <w:spacing w:before="320" w:after="140"/>
      </w:pPr>
      <w:r>
        <w:rPr>
          <w:b/>
          <w:bCs/>
          <w:color w:val="1F3B57"/>
          <w:sz w:val="25"/>
          <w:szCs w:val="25"/>
        </w:rPr>
        <w:t>3.2 OpenAI — direct API</w:t>
      </w:r>
    </w:p>
    <w:p w14:paraId="5EA38E4F" w14:textId="77777777" w:rsidR="00D84D0A" w:rsidRDefault="00000000">
      <w:pPr>
        <w:spacing w:after="160"/>
      </w:pPr>
      <w:r>
        <w:t>OpenAI's API (the GPT-5.6 family: Sol/Terra/Luna tiers, from flagship to lightweight). Broadest ecosystem and tooling, cheapest "good enough" tier (Luna) for high-volume/low-stakes subtasks like tagging and extraction. Offers an optional data-residency setting at a +10% price premium. ChatGPT Enterprise/Edu (seat-based chat) is a separate product from the API and doesn't give the programmatic access this project needs.</w:t>
      </w:r>
    </w:p>
    <w:p w14:paraId="439768B5" w14:textId="77777777" w:rsidR="00D84D0A" w:rsidRDefault="00000000">
      <w:pPr>
        <w:pStyle w:val="Heading2"/>
        <w:spacing w:before="320" w:after="140"/>
      </w:pPr>
      <w:r>
        <w:rPr>
          <w:b/>
          <w:bCs/>
          <w:color w:val="1F3B57"/>
          <w:sz w:val="25"/>
          <w:szCs w:val="25"/>
        </w:rPr>
        <w:t>3.3 Microsoft Azure AI Foundry</w:t>
      </w:r>
    </w:p>
    <w:p w14:paraId="2298B2D6" w14:textId="77777777" w:rsidR="00D84D0A" w:rsidRDefault="00000000">
      <w:pPr>
        <w:spacing w:after="160"/>
      </w:pPr>
      <w:r>
        <w:t>Not a model of its own — it's Microsoft's hosting layer for models from OpenAI, Anthropic (Claude), Meta (Llama), Mistral, DeepSeek and others, plus enterprise plumbing (Entra ID single sign-on, private networking, Azure AI Search for RAG, monitoring). The practical draw for InnoBeweegLab: it sits inside the Azure/Microsoft ecosystem the organisation likely already touches, and it can guarantee EU data residency for its native Azure OpenAI models in West Europe (Netherlands) or North Europe (Ireland). Claude is also available via Foundry, but — important caveat — as of mid-2026 there is no EU region for Claude-on-Foundry, so that specific combination should be avoided for personal resident data (see Section 5). Foundry's managed RAG stack (Azure AI Search, private endpoints) adds fixed monthly infrastructure cost on top of token pricing; a lean, self-built retrieval layer avoids most of that.</w:t>
      </w:r>
    </w:p>
    <w:p w14:paraId="57116F5E" w14:textId="77777777" w:rsidR="00D84D0A" w:rsidRDefault="00000000">
      <w:pPr>
        <w:pStyle w:val="Heading2"/>
        <w:spacing w:before="320" w:after="140"/>
      </w:pPr>
      <w:r>
        <w:rPr>
          <w:b/>
          <w:bCs/>
          <w:color w:val="1F3B57"/>
          <w:sz w:val="25"/>
          <w:szCs w:val="25"/>
        </w:rPr>
        <w:t>3.4 Mistral AI — La Plateforme</w:t>
      </w:r>
    </w:p>
    <w:p w14:paraId="52EA48C2" w14:textId="77777777" w:rsidR="00D84D0A" w:rsidRDefault="00000000">
      <w:pPr>
        <w:spacing w:after="160"/>
      </w:pPr>
      <w:r>
        <w:t>A French/EU company and the one frontier-class provider that is natively EU-hosted and GDPR-native by default, with no need to select a special region. Pricing is the lowest of the frontier providers reviewed here. Quality is generally judged a half-step behind the very best Claude/GPT tiers for complex long-document synthesis, but is a credible option — especially attractive if data sovereignty becomes a hard requirement (e.g. if any study includes health-adjacent resident data). Also publishes open-weight versions of some models, giving a future self-hosting path without switching vendors.</w:t>
      </w:r>
    </w:p>
    <w:p w14:paraId="00F60BA1" w14:textId="77777777" w:rsidR="00D84D0A" w:rsidRDefault="00000000">
      <w:pPr>
        <w:pStyle w:val="Heading2"/>
        <w:spacing w:before="320" w:after="140"/>
      </w:pPr>
      <w:r>
        <w:rPr>
          <w:b/>
          <w:bCs/>
          <w:color w:val="1F3B57"/>
          <w:sz w:val="25"/>
          <w:szCs w:val="25"/>
        </w:rPr>
        <w:t>3.5 Self-hosted / own deployment (open-weight models)</w:t>
      </w:r>
    </w:p>
    <w:p w14:paraId="7A28C819" w14:textId="77777777" w:rsidR="00D84D0A" w:rsidRDefault="00000000">
      <w:pPr>
        <w:spacing w:after="160"/>
      </w:pPr>
      <w:r>
        <w:t>Running an open-weight model (Llama, Mistral, Qwen, or similar) on rented GPUs or InnoBeweegLab's own hardware. Gives full data control — nothing ever leaves InnoBeweegLab's infrastructure — but trades that for real engineering/operations effort (deployment, scaling, model updates, monitoring) that a small lab has no capacity for during a 4-month project. Industry cost analyses put the realistic all-in cost 3–5× above raw GPU rental once engineering time and idle capacity are included, and generally recommend self-hosting only once annual LLM spend exceeds roughly $50,000–$500,000 with steady utilisation — far above anything this project will generate (see Section 4.3). It remains worth prototyping small (e.g. a local model via Ollama on a laptop) as a proof that a zero-cloud-dependency path is technically possible, and as a fallback if InnoBeweegLab later needs to process highly sensitive data with zero third-party exposure. This section prices the rented-GPU version of that path; Section 6.1 covers the genuinely free-of-charge version, run on hardware the team already owns.</w:t>
      </w:r>
    </w:p>
    <w:p w14:paraId="09915229" w14:textId="77777777" w:rsidR="00D84D0A" w:rsidRDefault="00D84D0A">
      <w:pPr>
        <w:spacing w:after="60"/>
      </w:pPr>
    </w:p>
    <w:p w14:paraId="27099D21" w14:textId="77777777" w:rsidR="00D84D0A" w:rsidRDefault="00000000">
      <w:pPr>
        <w:pStyle w:val="Heading2"/>
        <w:spacing w:before="320" w:after="140"/>
      </w:pPr>
      <w:r>
        <w:rPr>
          <w:b/>
          <w:bCs/>
          <w:color w:val="1F3B57"/>
          <w:sz w:val="25"/>
          <w:szCs w:val="25"/>
        </w:rPr>
        <w:t>3.6 Also considered, briefly</w:t>
      </w:r>
    </w:p>
    <w:p w14:paraId="36DDB13D" w14:textId="77777777" w:rsidR="00D84D0A" w:rsidRDefault="00000000">
      <w:pPr>
        <w:spacing w:after="160"/>
      </w:pPr>
      <w:r>
        <w:rPr>
          <w:color w:val="5B6770"/>
          <w:sz w:val="19"/>
          <w:szCs w:val="19"/>
        </w:rPr>
        <w:t xml:space="preserve">Google Gemini / Vertex AI was not named in the brief but is included for completeness in the pricing appendix — it offers EU regions and competitive pricing, and is a reasonable fourth option if InnoBeweegLab or Fontys already has </w:t>
      </w:r>
      <w:r>
        <w:rPr>
          <w:color w:val="5B6770"/>
          <w:sz w:val="19"/>
          <w:szCs w:val="19"/>
        </w:rPr>
        <w:lastRenderedPageBreak/>
        <w:t>Google Cloud/Workspace credits. It isn't carried through the full business case below because InnoBeweegLab's stack is Microsoft-centred.</w:t>
      </w:r>
    </w:p>
    <w:p w14:paraId="71E5381D" w14:textId="77777777" w:rsidR="00D84D0A" w:rsidRDefault="00000000">
      <w:r>
        <w:br w:type="page"/>
      </w:r>
    </w:p>
    <w:p w14:paraId="01A6B144" w14:textId="77777777" w:rsidR="00D84D0A" w:rsidRDefault="00000000">
      <w:pPr>
        <w:pStyle w:val="Heading1"/>
        <w:pBdr>
          <w:bottom w:val="single" w:sz="8" w:space="4" w:color="2C7A7B"/>
        </w:pBdr>
        <w:spacing w:before="420" w:after="200"/>
      </w:pPr>
      <w:r>
        <w:rPr>
          <w:b/>
          <w:bCs/>
          <w:color w:val="1F3B57"/>
          <w:sz w:val="30"/>
          <w:szCs w:val="30"/>
        </w:rPr>
        <w:lastRenderedPageBreak/>
        <w:t>4. Cost comparison</w:t>
      </w:r>
    </w:p>
    <w:p w14:paraId="72EB336D" w14:textId="77777777" w:rsidR="00D84D0A" w:rsidRDefault="00000000">
      <w:pPr>
        <w:spacing w:after="160"/>
      </w:pPr>
      <w:r>
        <w:rPr>
          <w:color w:val="5B6770"/>
          <w:sz w:val="19"/>
          <w:szCs w:val="19"/>
        </w:rPr>
        <w:t>All prices below are pay-as-you-go, per 1 million tokens (roughly 750,000 words), as published by each provider in September 2026. A token is a fragment of a word — as a rule of thumb, 1,000 tokens ≈ 750 words. LLM API pricing changes frequently (every few months); treat these as directional and re-check before signing anything.</w:t>
      </w:r>
    </w:p>
    <w:p w14:paraId="4420BF81" w14:textId="77777777" w:rsidR="00D84D0A" w:rsidRDefault="00000000">
      <w:pPr>
        <w:pStyle w:val="Heading2"/>
        <w:spacing w:before="320" w:after="140"/>
      </w:pPr>
      <w:r>
        <w:rPr>
          <w:b/>
          <w:bCs/>
          <w:color w:val="1F3B57"/>
          <w:sz w:val="25"/>
          <w:szCs w:val="25"/>
        </w:rPr>
        <w:t>4.1 Model pricing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50"/>
        <w:gridCol w:w="1300"/>
        <w:gridCol w:w="1300"/>
        <w:gridCol w:w="2650"/>
      </w:tblGrid>
      <w:tr w:rsidR="00D84D0A" w14:paraId="29C2EB77" w14:textId="77777777">
        <w:tblPrEx>
          <w:tblCellMar>
            <w:top w:w="0" w:type="dxa"/>
            <w:bottom w:w="0" w:type="dxa"/>
          </w:tblCellMar>
        </w:tblPrEx>
        <w:trPr>
          <w:tblHeader/>
        </w:trPr>
        <w:tc>
          <w:tcPr>
            <w:tcW w:w="1750" w:type="dxa"/>
            <w:shd w:val="clear" w:color="auto" w:fill="1F3B57"/>
            <w:tcMar>
              <w:top w:w="100" w:type="dxa"/>
              <w:left w:w="120" w:type="dxa"/>
              <w:bottom w:w="100" w:type="dxa"/>
              <w:right w:w="120" w:type="dxa"/>
            </w:tcMar>
            <w:vAlign w:val="center"/>
          </w:tcPr>
          <w:p w14:paraId="375F9440" w14:textId="77777777" w:rsidR="00D84D0A" w:rsidRDefault="00000000">
            <w:r>
              <w:rPr>
                <w:b/>
                <w:bCs/>
                <w:color w:val="FFFFFF"/>
                <w:sz w:val="19"/>
                <w:szCs w:val="19"/>
              </w:rPr>
              <w:t>Provider</w:t>
            </w:r>
          </w:p>
        </w:tc>
        <w:tc>
          <w:tcPr>
            <w:tcW w:w="2350" w:type="dxa"/>
            <w:shd w:val="clear" w:color="auto" w:fill="1F3B57"/>
            <w:tcMar>
              <w:top w:w="100" w:type="dxa"/>
              <w:left w:w="120" w:type="dxa"/>
              <w:bottom w:w="100" w:type="dxa"/>
              <w:right w:w="120" w:type="dxa"/>
            </w:tcMar>
            <w:vAlign w:val="center"/>
          </w:tcPr>
          <w:p w14:paraId="68C733AA" w14:textId="77777777" w:rsidR="00D84D0A" w:rsidRDefault="00000000">
            <w:r>
              <w:rPr>
                <w:b/>
                <w:bCs/>
                <w:color w:val="FFFFFF"/>
                <w:sz w:val="19"/>
                <w:szCs w:val="19"/>
              </w:rPr>
              <w:t>Model</w:t>
            </w:r>
          </w:p>
        </w:tc>
        <w:tc>
          <w:tcPr>
            <w:tcW w:w="1300" w:type="dxa"/>
            <w:shd w:val="clear" w:color="auto" w:fill="1F3B57"/>
            <w:tcMar>
              <w:top w:w="100" w:type="dxa"/>
              <w:left w:w="120" w:type="dxa"/>
              <w:bottom w:w="100" w:type="dxa"/>
              <w:right w:w="120" w:type="dxa"/>
            </w:tcMar>
            <w:vAlign w:val="center"/>
          </w:tcPr>
          <w:p w14:paraId="3D15E77C" w14:textId="77777777" w:rsidR="00D84D0A" w:rsidRDefault="00000000">
            <w:r>
              <w:rPr>
                <w:b/>
                <w:bCs/>
                <w:color w:val="FFFFFF"/>
                <w:sz w:val="19"/>
                <w:szCs w:val="19"/>
              </w:rPr>
              <w:t>Input $/1M tok</w:t>
            </w:r>
          </w:p>
        </w:tc>
        <w:tc>
          <w:tcPr>
            <w:tcW w:w="1300" w:type="dxa"/>
            <w:shd w:val="clear" w:color="auto" w:fill="1F3B57"/>
            <w:tcMar>
              <w:top w:w="100" w:type="dxa"/>
              <w:left w:w="120" w:type="dxa"/>
              <w:bottom w:w="100" w:type="dxa"/>
              <w:right w:w="120" w:type="dxa"/>
            </w:tcMar>
            <w:vAlign w:val="center"/>
          </w:tcPr>
          <w:p w14:paraId="0C5E5B03" w14:textId="77777777" w:rsidR="00D84D0A" w:rsidRDefault="00000000">
            <w:r>
              <w:rPr>
                <w:b/>
                <w:bCs/>
                <w:color w:val="FFFFFF"/>
                <w:sz w:val="19"/>
                <w:szCs w:val="19"/>
              </w:rPr>
              <w:t>Output $/1M tok</w:t>
            </w:r>
          </w:p>
        </w:tc>
        <w:tc>
          <w:tcPr>
            <w:tcW w:w="2650" w:type="dxa"/>
            <w:shd w:val="clear" w:color="auto" w:fill="1F3B57"/>
            <w:tcMar>
              <w:top w:w="100" w:type="dxa"/>
              <w:left w:w="120" w:type="dxa"/>
              <w:bottom w:w="100" w:type="dxa"/>
              <w:right w:w="120" w:type="dxa"/>
            </w:tcMar>
            <w:vAlign w:val="center"/>
          </w:tcPr>
          <w:p w14:paraId="1AD64933" w14:textId="77777777" w:rsidR="00D84D0A" w:rsidRDefault="00000000">
            <w:r>
              <w:rPr>
                <w:b/>
                <w:bCs/>
                <w:color w:val="FFFFFF"/>
                <w:sz w:val="19"/>
                <w:szCs w:val="19"/>
              </w:rPr>
              <w:t>Best use in this project</w:t>
            </w:r>
          </w:p>
        </w:tc>
      </w:tr>
      <w:tr w:rsidR="00D84D0A" w14:paraId="7B954B26" w14:textId="77777777">
        <w:tblPrEx>
          <w:tblCellMar>
            <w:top w:w="0" w:type="dxa"/>
            <w:bottom w:w="0" w:type="dxa"/>
          </w:tblCellMar>
        </w:tblPrEx>
        <w:tc>
          <w:tcPr>
            <w:tcW w:w="1750" w:type="dxa"/>
            <w:tcMar>
              <w:top w:w="100" w:type="dxa"/>
              <w:left w:w="120" w:type="dxa"/>
              <w:bottom w:w="100" w:type="dxa"/>
              <w:right w:w="120" w:type="dxa"/>
            </w:tcMar>
            <w:vAlign w:val="center"/>
          </w:tcPr>
          <w:p w14:paraId="35D00814" w14:textId="77777777" w:rsidR="00D84D0A" w:rsidRDefault="00000000">
            <w:r>
              <w:rPr>
                <w:sz w:val="19"/>
                <w:szCs w:val="19"/>
              </w:rPr>
              <w:t>Anthropic (direct)</w:t>
            </w:r>
          </w:p>
        </w:tc>
        <w:tc>
          <w:tcPr>
            <w:tcW w:w="2350" w:type="dxa"/>
            <w:tcMar>
              <w:top w:w="100" w:type="dxa"/>
              <w:left w:w="120" w:type="dxa"/>
              <w:bottom w:w="100" w:type="dxa"/>
              <w:right w:w="120" w:type="dxa"/>
            </w:tcMar>
            <w:vAlign w:val="center"/>
          </w:tcPr>
          <w:p w14:paraId="08D2A490" w14:textId="77777777" w:rsidR="00D84D0A" w:rsidRDefault="00000000">
            <w:r>
              <w:rPr>
                <w:sz w:val="19"/>
                <w:szCs w:val="19"/>
              </w:rPr>
              <w:t>Haiku 4.5</w:t>
            </w:r>
          </w:p>
        </w:tc>
        <w:tc>
          <w:tcPr>
            <w:tcW w:w="1300" w:type="dxa"/>
            <w:tcMar>
              <w:top w:w="100" w:type="dxa"/>
              <w:left w:w="120" w:type="dxa"/>
              <w:bottom w:w="100" w:type="dxa"/>
              <w:right w:w="120" w:type="dxa"/>
            </w:tcMar>
            <w:vAlign w:val="center"/>
          </w:tcPr>
          <w:p w14:paraId="13FFCBC2" w14:textId="77777777" w:rsidR="00D84D0A" w:rsidRDefault="00000000">
            <w:r>
              <w:rPr>
                <w:sz w:val="19"/>
                <w:szCs w:val="19"/>
              </w:rPr>
              <w:t>$1.00</w:t>
            </w:r>
          </w:p>
        </w:tc>
        <w:tc>
          <w:tcPr>
            <w:tcW w:w="1300" w:type="dxa"/>
            <w:tcMar>
              <w:top w:w="100" w:type="dxa"/>
              <w:left w:w="120" w:type="dxa"/>
              <w:bottom w:w="100" w:type="dxa"/>
              <w:right w:w="120" w:type="dxa"/>
            </w:tcMar>
            <w:vAlign w:val="center"/>
          </w:tcPr>
          <w:p w14:paraId="573881BB" w14:textId="77777777" w:rsidR="00D84D0A" w:rsidRDefault="00000000">
            <w:r>
              <w:rPr>
                <w:sz w:val="19"/>
                <w:szCs w:val="19"/>
              </w:rPr>
              <w:t>$5.00</w:t>
            </w:r>
          </w:p>
        </w:tc>
        <w:tc>
          <w:tcPr>
            <w:tcW w:w="2650" w:type="dxa"/>
            <w:tcMar>
              <w:top w:w="100" w:type="dxa"/>
              <w:left w:w="120" w:type="dxa"/>
              <w:bottom w:w="100" w:type="dxa"/>
              <w:right w:w="120" w:type="dxa"/>
            </w:tcMar>
            <w:vAlign w:val="center"/>
          </w:tcPr>
          <w:p w14:paraId="2DD5BBE0" w14:textId="77777777" w:rsidR="00D84D0A" w:rsidRDefault="00000000">
            <w:r>
              <w:rPr>
                <w:sz w:val="19"/>
                <w:szCs w:val="19"/>
              </w:rPr>
              <w:t>Cheap first-pass: tagging, extraction, chunk summarising</w:t>
            </w:r>
          </w:p>
        </w:tc>
      </w:tr>
      <w:tr w:rsidR="00D84D0A" w14:paraId="2C9E7FF1"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2970FBA6" w14:textId="77777777" w:rsidR="00D84D0A" w:rsidRDefault="00000000">
            <w:r>
              <w:rPr>
                <w:sz w:val="19"/>
                <w:szCs w:val="19"/>
              </w:rPr>
              <w:t>Anthropic (direct)</w:t>
            </w:r>
          </w:p>
        </w:tc>
        <w:tc>
          <w:tcPr>
            <w:tcW w:w="2350" w:type="dxa"/>
            <w:shd w:val="clear" w:color="auto" w:fill="EEF3F5"/>
            <w:tcMar>
              <w:top w:w="100" w:type="dxa"/>
              <w:left w:w="120" w:type="dxa"/>
              <w:bottom w:w="100" w:type="dxa"/>
              <w:right w:w="120" w:type="dxa"/>
            </w:tcMar>
            <w:vAlign w:val="center"/>
          </w:tcPr>
          <w:p w14:paraId="6E72D91B" w14:textId="77777777" w:rsidR="00D84D0A" w:rsidRDefault="00000000">
            <w:r>
              <w:rPr>
                <w:sz w:val="19"/>
                <w:szCs w:val="19"/>
              </w:rPr>
              <w:t>Sonnet 5</w:t>
            </w:r>
          </w:p>
        </w:tc>
        <w:tc>
          <w:tcPr>
            <w:tcW w:w="1300" w:type="dxa"/>
            <w:shd w:val="clear" w:color="auto" w:fill="EEF3F5"/>
            <w:tcMar>
              <w:top w:w="100" w:type="dxa"/>
              <w:left w:w="120" w:type="dxa"/>
              <w:bottom w:w="100" w:type="dxa"/>
              <w:right w:w="120" w:type="dxa"/>
            </w:tcMar>
            <w:vAlign w:val="center"/>
          </w:tcPr>
          <w:p w14:paraId="46FFDDCA" w14:textId="77777777" w:rsidR="00D84D0A" w:rsidRDefault="00000000">
            <w:r>
              <w:rPr>
                <w:sz w:val="19"/>
                <w:szCs w:val="19"/>
              </w:rPr>
              <w:t>$2.00</w:t>
            </w:r>
          </w:p>
        </w:tc>
        <w:tc>
          <w:tcPr>
            <w:tcW w:w="1300" w:type="dxa"/>
            <w:shd w:val="clear" w:color="auto" w:fill="EEF3F5"/>
            <w:tcMar>
              <w:top w:w="100" w:type="dxa"/>
              <w:left w:w="120" w:type="dxa"/>
              <w:bottom w:w="100" w:type="dxa"/>
              <w:right w:w="120" w:type="dxa"/>
            </w:tcMar>
            <w:vAlign w:val="center"/>
          </w:tcPr>
          <w:p w14:paraId="60EC6752" w14:textId="77777777" w:rsidR="00D84D0A" w:rsidRDefault="00000000">
            <w:r>
              <w:rPr>
                <w:sz w:val="19"/>
                <w:szCs w:val="19"/>
              </w:rPr>
              <w:t>$10.00</w:t>
            </w:r>
          </w:p>
        </w:tc>
        <w:tc>
          <w:tcPr>
            <w:tcW w:w="2650" w:type="dxa"/>
            <w:shd w:val="clear" w:color="auto" w:fill="EEF3F5"/>
            <w:tcMar>
              <w:top w:w="100" w:type="dxa"/>
              <w:left w:w="120" w:type="dxa"/>
              <w:bottom w:w="100" w:type="dxa"/>
              <w:right w:w="120" w:type="dxa"/>
            </w:tcMar>
            <w:vAlign w:val="center"/>
          </w:tcPr>
          <w:p w14:paraId="6844A5EE" w14:textId="77777777" w:rsidR="00D84D0A" w:rsidRDefault="00000000">
            <w:r>
              <w:rPr>
                <w:sz w:val="19"/>
                <w:szCs w:val="19"/>
              </w:rPr>
              <w:t>Default drafting/synthesis model</w:t>
            </w:r>
          </w:p>
        </w:tc>
      </w:tr>
      <w:tr w:rsidR="00D84D0A" w14:paraId="591EA2B2" w14:textId="77777777">
        <w:tblPrEx>
          <w:tblCellMar>
            <w:top w:w="0" w:type="dxa"/>
            <w:bottom w:w="0" w:type="dxa"/>
          </w:tblCellMar>
        </w:tblPrEx>
        <w:tc>
          <w:tcPr>
            <w:tcW w:w="1750" w:type="dxa"/>
            <w:tcMar>
              <w:top w:w="100" w:type="dxa"/>
              <w:left w:w="120" w:type="dxa"/>
              <w:bottom w:w="100" w:type="dxa"/>
              <w:right w:w="120" w:type="dxa"/>
            </w:tcMar>
            <w:vAlign w:val="center"/>
          </w:tcPr>
          <w:p w14:paraId="579F0A47" w14:textId="77777777" w:rsidR="00D84D0A" w:rsidRDefault="00000000">
            <w:r>
              <w:rPr>
                <w:sz w:val="19"/>
                <w:szCs w:val="19"/>
              </w:rPr>
              <w:t>Anthropic (direct)</w:t>
            </w:r>
          </w:p>
        </w:tc>
        <w:tc>
          <w:tcPr>
            <w:tcW w:w="2350" w:type="dxa"/>
            <w:tcMar>
              <w:top w:w="100" w:type="dxa"/>
              <w:left w:w="120" w:type="dxa"/>
              <w:bottom w:w="100" w:type="dxa"/>
              <w:right w:w="120" w:type="dxa"/>
            </w:tcMar>
            <w:vAlign w:val="center"/>
          </w:tcPr>
          <w:p w14:paraId="0B5A3BCF" w14:textId="77777777" w:rsidR="00D84D0A" w:rsidRDefault="00000000">
            <w:r>
              <w:rPr>
                <w:sz w:val="19"/>
                <w:szCs w:val="19"/>
              </w:rPr>
              <w:t>Opus 5</w:t>
            </w:r>
          </w:p>
        </w:tc>
        <w:tc>
          <w:tcPr>
            <w:tcW w:w="1300" w:type="dxa"/>
            <w:tcMar>
              <w:top w:w="100" w:type="dxa"/>
              <w:left w:w="120" w:type="dxa"/>
              <w:bottom w:w="100" w:type="dxa"/>
              <w:right w:w="120" w:type="dxa"/>
            </w:tcMar>
            <w:vAlign w:val="center"/>
          </w:tcPr>
          <w:p w14:paraId="1FB52AE6" w14:textId="77777777" w:rsidR="00D84D0A" w:rsidRDefault="00000000">
            <w:r>
              <w:rPr>
                <w:sz w:val="19"/>
                <w:szCs w:val="19"/>
              </w:rPr>
              <w:t>$5.00</w:t>
            </w:r>
          </w:p>
        </w:tc>
        <w:tc>
          <w:tcPr>
            <w:tcW w:w="1300" w:type="dxa"/>
            <w:tcMar>
              <w:top w:w="100" w:type="dxa"/>
              <w:left w:w="120" w:type="dxa"/>
              <w:bottom w:w="100" w:type="dxa"/>
              <w:right w:w="120" w:type="dxa"/>
            </w:tcMar>
            <w:vAlign w:val="center"/>
          </w:tcPr>
          <w:p w14:paraId="043B83F6" w14:textId="77777777" w:rsidR="00D84D0A" w:rsidRDefault="00000000">
            <w:r>
              <w:rPr>
                <w:sz w:val="19"/>
                <w:szCs w:val="19"/>
              </w:rPr>
              <w:t>$25.00</w:t>
            </w:r>
          </w:p>
        </w:tc>
        <w:tc>
          <w:tcPr>
            <w:tcW w:w="2650" w:type="dxa"/>
            <w:tcMar>
              <w:top w:w="100" w:type="dxa"/>
              <w:left w:w="120" w:type="dxa"/>
              <w:bottom w:w="100" w:type="dxa"/>
              <w:right w:w="120" w:type="dxa"/>
            </w:tcMar>
            <w:vAlign w:val="center"/>
          </w:tcPr>
          <w:p w14:paraId="7A423600" w14:textId="77777777" w:rsidR="00D84D0A" w:rsidRDefault="00000000">
            <w:r>
              <w:rPr>
                <w:sz w:val="19"/>
                <w:szCs w:val="19"/>
              </w:rPr>
              <w:t>Final-pass polishing of key sections</w:t>
            </w:r>
          </w:p>
        </w:tc>
      </w:tr>
      <w:tr w:rsidR="00D84D0A" w14:paraId="02A20780"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07547AE2" w14:textId="77777777" w:rsidR="00D84D0A" w:rsidRDefault="00000000">
            <w:r>
              <w:rPr>
                <w:sz w:val="19"/>
                <w:szCs w:val="19"/>
              </w:rPr>
              <w:t>OpenAI (direct)</w:t>
            </w:r>
          </w:p>
        </w:tc>
        <w:tc>
          <w:tcPr>
            <w:tcW w:w="2350" w:type="dxa"/>
            <w:shd w:val="clear" w:color="auto" w:fill="EEF3F5"/>
            <w:tcMar>
              <w:top w:w="100" w:type="dxa"/>
              <w:left w:w="120" w:type="dxa"/>
              <w:bottom w:w="100" w:type="dxa"/>
              <w:right w:w="120" w:type="dxa"/>
            </w:tcMar>
            <w:vAlign w:val="center"/>
          </w:tcPr>
          <w:p w14:paraId="4EFAD903" w14:textId="77777777" w:rsidR="00D84D0A" w:rsidRDefault="00000000">
            <w:r>
              <w:rPr>
                <w:sz w:val="19"/>
                <w:szCs w:val="19"/>
              </w:rPr>
              <w:t>GPT-5.6 Luna</w:t>
            </w:r>
          </w:p>
        </w:tc>
        <w:tc>
          <w:tcPr>
            <w:tcW w:w="1300" w:type="dxa"/>
            <w:shd w:val="clear" w:color="auto" w:fill="EEF3F5"/>
            <w:tcMar>
              <w:top w:w="100" w:type="dxa"/>
              <w:left w:w="120" w:type="dxa"/>
              <w:bottom w:w="100" w:type="dxa"/>
              <w:right w:w="120" w:type="dxa"/>
            </w:tcMar>
            <w:vAlign w:val="center"/>
          </w:tcPr>
          <w:p w14:paraId="086428AD" w14:textId="77777777" w:rsidR="00D84D0A" w:rsidRDefault="00000000">
            <w:r>
              <w:rPr>
                <w:sz w:val="19"/>
                <w:szCs w:val="19"/>
              </w:rPr>
              <w:t>$0.20</w:t>
            </w:r>
          </w:p>
        </w:tc>
        <w:tc>
          <w:tcPr>
            <w:tcW w:w="1300" w:type="dxa"/>
            <w:shd w:val="clear" w:color="auto" w:fill="EEF3F5"/>
            <w:tcMar>
              <w:top w:w="100" w:type="dxa"/>
              <w:left w:w="120" w:type="dxa"/>
              <w:bottom w:w="100" w:type="dxa"/>
              <w:right w:w="120" w:type="dxa"/>
            </w:tcMar>
            <w:vAlign w:val="center"/>
          </w:tcPr>
          <w:p w14:paraId="05792D7F" w14:textId="77777777" w:rsidR="00D84D0A" w:rsidRDefault="00000000">
            <w:r>
              <w:rPr>
                <w:sz w:val="19"/>
                <w:szCs w:val="19"/>
              </w:rPr>
              <w:t>$1.20</w:t>
            </w:r>
          </w:p>
        </w:tc>
        <w:tc>
          <w:tcPr>
            <w:tcW w:w="2650" w:type="dxa"/>
            <w:shd w:val="clear" w:color="auto" w:fill="EEF3F5"/>
            <w:tcMar>
              <w:top w:w="100" w:type="dxa"/>
              <w:left w:w="120" w:type="dxa"/>
              <w:bottom w:w="100" w:type="dxa"/>
              <w:right w:w="120" w:type="dxa"/>
            </w:tcMar>
            <w:vAlign w:val="center"/>
          </w:tcPr>
          <w:p w14:paraId="14D320E7" w14:textId="77777777" w:rsidR="00D84D0A" w:rsidRDefault="00000000">
            <w:r>
              <w:rPr>
                <w:sz w:val="19"/>
                <w:szCs w:val="19"/>
              </w:rPr>
              <w:t>Cheap first-pass, high volume</w:t>
            </w:r>
          </w:p>
        </w:tc>
      </w:tr>
      <w:tr w:rsidR="00D84D0A" w14:paraId="30AC46ED" w14:textId="77777777">
        <w:tblPrEx>
          <w:tblCellMar>
            <w:top w:w="0" w:type="dxa"/>
            <w:bottom w:w="0" w:type="dxa"/>
          </w:tblCellMar>
        </w:tblPrEx>
        <w:tc>
          <w:tcPr>
            <w:tcW w:w="1750" w:type="dxa"/>
            <w:tcMar>
              <w:top w:w="100" w:type="dxa"/>
              <w:left w:w="120" w:type="dxa"/>
              <w:bottom w:w="100" w:type="dxa"/>
              <w:right w:w="120" w:type="dxa"/>
            </w:tcMar>
            <w:vAlign w:val="center"/>
          </w:tcPr>
          <w:p w14:paraId="1D067B37" w14:textId="77777777" w:rsidR="00D84D0A" w:rsidRDefault="00000000">
            <w:r>
              <w:rPr>
                <w:sz w:val="19"/>
                <w:szCs w:val="19"/>
              </w:rPr>
              <w:t>OpenAI (direct)</w:t>
            </w:r>
          </w:p>
        </w:tc>
        <w:tc>
          <w:tcPr>
            <w:tcW w:w="2350" w:type="dxa"/>
            <w:tcMar>
              <w:top w:w="100" w:type="dxa"/>
              <w:left w:w="120" w:type="dxa"/>
              <w:bottom w:w="100" w:type="dxa"/>
              <w:right w:w="120" w:type="dxa"/>
            </w:tcMar>
            <w:vAlign w:val="center"/>
          </w:tcPr>
          <w:p w14:paraId="1CB1ABED" w14:textId="77777777" w:rsidR="00D84D0A" w:rsidRDefault="00000000">
            <w:r>
              <w:rPr>
                <w:sz w:val="19"/>
                <w:szCs w:val="19"/>
              </w:rPr>
              <w:t>GPT-5.6 Terra</w:t>
            </w:r>
          </w:p>
        </w:tc>
        <w:tc>
          <w:tcPr>
            <w:tcW w:w="1300" w:type="dxa"/>
            <w:tcMar>
              <w:top w:w="100" w:type="dxa"/>
              <w:left w:w="120" w:type="dxa"/>
              <w:bottom w:w="100" w:type="dxa"/>
              <w:right w:w="120" w:type="dxa"/>
            </w:tcMar>
            <w:vAlign w:val="center"/>
          </w:tcPr>
          <w:p w14:paraId="671D5D64" w14:textId="77777777" w:rsidR="00D84D0A" w:rsidRDefault="00000000">
            <w:r>
              <w:rPr>
                <w:sz w:val="19"/>
                <w:szCs w:val="19"/>
              </w:rPr>
              <w:t>$2.00</w:t>
            </w:r>
          </w:p>
        </w:tc>
        <w:tc>
          <w:tcPr>
            <w:tcW w:w="1300" w:type="dxa"/>
            <w:tcMar>
              <w:top w:w="100" w:type="dxa"/>
              <w:left w:w="120" w:type="dxa"/>
              <w:bottom w:w="100" w:type="dxa"/>
              <w:right w:w="120" w:type="dxa"/>
            </w:tcMar>
            <w:vAlign w:val="center"/>
          </w:tcPr>
          <w:p w14:paraId="6C94AB4E" w14:textId="77777777" w:rsidR="00D84D0A" w:rsidRDefault="00000000">
            <w:r>
              <w:rPr>
                <w:sz w:val="19"/>
                <w:szCs w:val="19"/>
              </w:rPr>
              <w:t>$12.00</w:t>
            </w:r>
          </w:p>
        </w:tc>
        <w:tc>
          <w:tcPr>
            <w:tcW w:w="2650" w:type="dxa"/>
            <w:tcMar>
              <w:top w:w="100" w:type="dxa"/>
              <w:left w:w="120" w:type="dxa"/>
              <w:bottom w:w="100" w:type="dxa"/>
              <w:right w:w="120" w:type="dxa"/>
            </w:tcMar>
            <w:vAlign w:val="center"/>
          </w:tcPr>
          <w:p w14:paraId="1E7CB158" w14:textId="77777777" w:rsidR="00D84D0A" w:rsidRDefault="00000000">
            <w:r>
              <w:rPr>
                <w:sz w:val="19"/>
                <w:szCs w:val="19"/>
              </w:rPr>
              <w:t>Default drafting/synthesis model</w:t>
            </w:r>
          </w:p>
        </w:tc>
      </w:tr>
      <w:tr w:rsidR="00D84D0A" w14:paraId="138E7197"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5C29B049" w14:textId="77777777" w:rsidR="00D84D0A" w:rsidRDefault="00000000">
            <w:r>
              <w:rPr>
                <w:sz w:val="19"/>
                <w:szCs w:val="19"/>
              </w:rPr>
              <w:t>OpenAI (direct)</w:t>
            </w:r>
          </w:p>
        </w:tc>
        <w:tc>
          <w:tcPr>
            <w:tcW w:w="2350" w:type="dxa"/>
            <w:shd w:val="clear" w:color="auto" w:fill="EEF3F5"/>
            <w:tcMar>
              <w:top w:w="100" w:type="dxa"/>
              <w:left w:w="120" w:type="dxa"/>
              <w:bottom w:w="100" w:type="dxa"/>
              <w:right w:w="120" w:type="dxa"/>
            </w:tcMar>
            <w:vAlign w:val="center"/>
          </w:tcPr>
          <w:p w14:paraId="465CD795" w14:textId="77777777" w:rsidR="00D84D0A" w:rsidRDefault="00000000">
            <w:r>
              <w:rPr>
                <w:sz w:val="19"/>
                <w:szCs w:val="19"/>
              </w:rPr>
              <w:t>GPT-5.6 Sol</w:t>
            </w:r>
          </w:p>
        </w:tc>
        <w:tc>
          <w:tcPr>
            <w:tcW w:w="1300" w:type="dxa"/>
            <w:shd w:val="clear" w:color="auto" w:fill="EEF3F5"/>
            <w:tcMar>
              <w:top w:w="100" w:type="dxa"/>
              <w:left w:w="120" w:type="dxa"/>
              <w:bottom w:w="100" w:type="dxa"/>
              <w:right w:w="120" w:type="dxa"/>
            </w:tcMar>
            <w:vAlign w:val="center"/>
          </w:tcPr>
          <w:p w14:paraId="72C73AA7" w14:textId="77777777" w:rsidR="00D84D0A" w:rsidRDefault="00000000">
            <w:r>
              <w:rPr>
                <w:sz w:val="19"/>
                <w:szCs w:val="19"/>
              </w:rPr>
              <w:t>$5.00</w:t>
            </w:r>
          </w:p>
        </w:tc>
        <w:tc>
          <w:tcPr>
            <w:tcW w:w="1300" w:type="dxa"/>
            <w:shd w:val="clear" w:color="auto" w:fill="EEF3F5"/>
            <w:tcMar>
              <w:top w:w="100" w:type="dxa"/>
              <w:left w:w="120" w:type="dxa"/>
              <w:bottom w:w="100" w:type="dxa"/>
              <w:right w:w="120" w:type="dxa"/>
            </w:tcMar>
            <w:vAlign w:val="center"/>
          </w:tcPr>
          <w:p w14:paraId="60221C77" w14:textId="77777777" w:rsidR="00D84D0A" w:rsidRDefault="00000000">
            <w:r>
              <w:rPr>
                <w:sz w:val="19"/>
                <w:szCs w:val="19"/>
              </w:rPr>
              <w:t>$30.00</w:t>
            </w:r>
          </w:p>
        </w:tc>
        <w:tc>
          <w:tcPr>
            <w:tcW w:w="2650" w:type="dxa"/>
            <w:shd w:val="clear" w:color="auto" w:fill="EEF3F5"/>
            <w:tcMar>
              <w:top w:w="100" w:type="dxa"/>
              <w:left w:w="120" w:type="dxa"/>
              <w:bottom w:w="100" w:type="dxa"/>
              <w:right w:w="120" w:type="dxa"/>
            </w:tcMar>
            <w:vAlign w:val="center"/>
          </w:tcPr>
          <w:p w14:paraId="17AAEE8E" w14:textId="77777777" w:rsidR="00D84D0A" w:rsidRDefault="00000000">
            <w:r>
              <w:rPr>
                <w:sz w:val="19"/>
                <w:szCs w:val="19"/>
              </w:rPr>
              <w:t>Flagship / most complex agentic steps</w:t>
            </w:r>
          </w:p>
        </w:tc>
      </w:tr>
      <w:tr w:rsidR="00D84D0A" w14:paraId="2B7A53E4" w14:textId="77777777">
        <w:tblPrEx>
          <w:tblCellMar>
            <w:top w:w="0" w:type="dxa"/>
            <w:bottom w:w="0" w:type="dxa"/>
          </w:tblCellMar>
        </w:tblPrEx>
        <w:tc>
          <w:tcPr>
            <w:tcW w:w="1750" w:type="dxa"/>
            <w:tcMar>
              <w:top w:w="100" w:type="dxa"/>
              <w:left w:w="120" w:type="dxa"/>
              <w:bottom w:w="100" w:type="dxa"/>
              <w:right w:w="120" w:type="dxa"/>
            </w:tcMar>
            <w:vAlign w:val="center"/>
          </w:tcPr>
          <w:p w14:paraId="5AA86394" w14:textId="77777777" w:rsidR="00D84D0A" w:rsidRDefault="00000000">
            <w:r>
              <w:rPr>
                <w:sz w:val="19"/>
                <w:szCs w:val="19"/>
              </w:rPr>
              <w:t>Azure AI Foundry</w:t>
            </w:r>
          </w:p>
        </w:tc>
        <w:tc>
          <w:tcPr>
            <w:tcW w:w="2350" w:type="dxa"/>
            <w:tcMar>
              <w:top w:w="100" w:type="dxa"/>
              <w:left w:w="120" w:type="dxa"/>
              <w:bottom w:w="100" w:type="dxa"/>
              <w:right w:w="120" w:type="dxa"/>
            </w:tcMar>
            <w:vAlign w:val="center"/>
          </w:tcPr>
          <w:p w14:paraId="090107AD" w14:textId="77777777" w:rsidR="00D84D0A" w:rsidRDefault="00000000">
            <w:r>
              <w:rPr>
                <w:sz w:val="19"/>
                <w:szCs w:val="19"/>
              </w:rPr>
              <w:t>GPT-5.6 Terra (Azure)</w:t>
            </w:r>
          </w:p>
        </w:tc>
        <w:tc>
          <w:tcPr>
            <w:tcW w:w="1300" w:type="dxa"/>
            <w:tcMar>
              <w:top w:w="100" w:type="dxa"/>
              <w:left w:w="120" w:type="dxa"/>
              <w:bottom w:w="100" w:type="dxa"/>
              <w:right w:w="120" w:type="dxa"/>
            </w:tcMar>
            <w:vAlign w:val="center"/>
          </w:tcPr>
          <w:p w14:paraId="07902256" w14:textId="77777777" w:rsidR="00D84D0A" w:rsidRDefault="00000000">
            <w:r>
              <w:rPr>
                <w:sz w:val="19"/>
                <w:szCs w:val="19"/>
              </w:rPr>
              <w:t>$2.00</w:t>
            </w:r>
          </w:p>
        </w:tc>
        <w:tc>
          <w:tcPr>
            <w:tcW w:w="1300" w:type="dxa"/>
            <w:tcMar>
              <w:top w:w="100" w:type="dxa"/>
              <w:left w:w="120" w:type="dxa"/>
              <w:bottom w:w="100" w:type="dxa"/>
              <w:right w:w="120" w:type="dxa"/>
            </w:tcMar>
            <w:vAlign w:val="center"/>
          </w:tcPr>
          <w:p w14:paraId="3F81F058" w14:textId="77777777" w:rsidR="00D84D0A" w:rsidRDefault="00000000">
            <w:r>
              <w:rPr>
                <w:sz w:val="19"/>
                <w:szCs w:val="19"/>
              </w:rPr>
              <w:t>$12.00</w:t>
            </w:r>
          </w:p>
        </w:tc>
        <w:tc>
          <w:tcPr>
            <w:tcW w:w="2650" w:type="dxa"/>
            <w:tcMar>
              <w:top w:w="100" w:type="dxa"/>
              <w:left w:w="120" w:type="dxa"/>
              <w:bottom w:w="100" w:type="dxa"/>
              <w:right w:w="120" w:type="dxa"/>
            </w:tcMar>
            <w:vAlign w:val="center"/>
          </w:tcPr>
          <w:p w14:paraId="76EE3529" w14:textId="77777777" w:rsidR="00D84D0A" w:rsidRDefault="00000000">
            <w:r>
              <w:rPr>
                <w:sz w:val="19"/>
                <w:szCs w:val="19"/>
              </w:rPr>
              <w:t>Same model as above, Azure-billed, EU region selectable</w:t>
            </w:r>
          </w:p>
        </w:tc>
      </w:tr>
      <w:tr w:rsidR="00D84D0A" w14:paraId="0005F69F"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0EF11E2F" w14:textId="77777777" w:rsidR="00D84D0A" w:rsidRDefault="00000000">
            <w:r>
              <w:rPr>
                <w:sz w:val="19"/>
                <w:szCs w:val="19"/>
              </w:rPr>
              <w:t>Azure AI Foundry</w:t>
            </w:r>
          </w:p>
        </w:tc>
        <w:tc>
          <w:tcPr>
            <w:tcW w:w="2350" w:type="dxa"/>
            <w:shd w:val="clear" w:color="auto" w:fill="EEF3F5"/>
            <w:tcMar>
              <w:top w:w="100" w:type="dxa"/>
              <w:left w:w="120" w:type="dxa"/>
              <w:bottom w:w="100" w:type="dxa"/>
              <w:right w:w="120" w:type="dxa"/>
            </w:tcMar>
            <w:vAlign w:val="center"/>
          </w:tcPr>
          <w:p w14:paraId="531FA812" w14:textId="77777777" w:rsidR="00D84D0A" w:rsidRDefault="00000000">
            <w:r>
              <w:rPr>
                <w:sz w:val="19"/>
                <w:szCs w:val="19"/>
              </w:rPr>
              <w:t>GPT-4o mini (Azure)</w:t>
            </w:r>
          </w:p>
        </w:tc>
        <w:tc>
          <w:tcPr>
            <w:tcW w:w="1300" w:type="dxa"/>
            <w:shd w:val="clear" w:color="auto" w:fill="EEF3F5"/>
            <w:tcMar>
              <w:top w:w="100" w:type="dxa"/>
              <w:left w:w="120" w:type="dxa"/>
              <w:bottom w:w="100" w:type="dxa"/>
              <w:right w:w="120" w:type="dxa"/>
            </w:tcMar>
            <w:vAlign w:val="center"/>
          </w:tcPr>
          <w:p w14:paraId="007FA0D2" w14:textId="77777777" w:rsidR="00D84D0A" w:rsidRDefault="00000000">
            <w:r>
              <w:rPr>
                <w:sz w:val="19"/>
                <w:szCs w:val="19"/>
              </w:rPr>
              <w:t>$0.165</w:t>
            </w:r>
          </w:p>
        </w:tc>
        <w:tc>
          <w:tcPr>
            <w:tcW w:w="1300" w:type="dxa"/>
            <w:shd w:val="clear" w:color="auto" w:fill="EEF3F5"/>
            <w:tcMar>
              <w:top w:w="100" w:type="dxa"/>
              <w:left w:w="120" w:type="dxa"/>
              <w:bottom w:w="100" w:type="dxa"/>
              <w:right w:w="120" w:type="dxa"/>
            </w:tcMar>
            <w:vAlign w:val="center"/>
          </w:tcPr>
          <w:p w14:paraId="3B494971" w14:textId="77777777" w:rsidR="00D84D0A" w:rsidRDefault="00000000">
            <w:r>
              <w:rPr>
                <w:sz w:val="19"/>
                <w:szCs w:val="19"/>
              </w:rPr>
              <w:t>$0.66</w:t>
            </w:r>
          </w:p>
        </w:tc>
        <w:tc>
          <w:tcPr>
            <w:tcW w:w="2650" w:type="dxa"/>
            <w:shd w:val="clear" w:color="auto" w:fill="EEF3F5"/>
            <w:tcMar>
              <w:top w:w="100" w:type="dxa"/>
              <w:left w:w="120" w:type="dxa"/>
              <w:bottom w:w="100" w:type="dxa"/>
              <w:right w:w="120" w:type="dxa"/>
            </w:tcMar>
            <w:vAlign w:val="center"/>
          </w:tcPr>
          <w:p w14:paraId="059353E4" w14:textId="77777777" w:rsidR="00D84D0A" w:rsidRDefault="00000000">
            <w:r>
              <w:rPr>
                <w:sz w:val="19"/>
                <w:szCs w:val="19"/>
              </w:rPr>
              <w:t>Very cheap legacy option, still supported</w:t>
            </w:r>
          </w:p>
        </w:tc>
      </w:tr>
      <w:tr w:rsidR="00D84D0A" w14:paraId="2081C41A" w14:textId="77777777">
        <w:tblPrEx>
          <w:tblCellMar>
            <w:top w:w="0" w:type="dxa"/>
            <w:bottom w:w="0" w:type="dxa"/>
          </w:tblCellMar>
        </w:tblPrEx>
        <w:tc>
          <w:tcPr>
            <w:tcW w:w="1750" w:type="dxa"/>
            <w:tcMar>
              <w:top w:w="100" w:type="dxa"/>
              <w:left w:w="120" w:type="dxa"/>
              <w:bottom w:w="100" w:type="dxa"/>
              <w:right w:w="120" w:type="dxa"/>
            </w:tcMar>
            <w:vAlign w:val="center"/>
          </w:tcPr>
          <w:p w14:paraId="7FD2EC5A" w14:textId="77777777" w:rsidR="00D84D0A" w:rsidRDefault="00000000">
            <w:r>
              <w:rPr>
                <w:sz w:val="19"/>
                <w:szCs w:val="19"/>
              </w:rPr>
              <w:t>Azure AI Foundry</w:t>
            </w:r>
          </w:p>
        </w:tc>
        <w:tc>
          <w:tcPr>
            <w:tcW w:w="2350" w:type="dxa"/>
            <w:tcMar>
              <w:top w:w="100" w:type="dxa"/>
              <w:left w:w="120" w:type="dxa"/>
              <w:bottom w:w="100" w:type="dxa"/>
              <w:right w:w="120" w:type="dxa"/>
            </w:tcMar>
            <w:vAlign w:val="center"/>
          </w:tcPr>
          <w:p w14:paraId="59C23A8C" w14:textId="77777777" w:rsidR="00D84D0A" w:rsidRDefault="00000000">
            <w:r>
              <w:rPr>
                <w:sz w:val="19"/>
                <w:szCs w:val="19"/>
              </w:rPr>
              <w:t>Claude Sonnet 4.5 (Foundry)</w:t>
            </w:r>
          </w:p>
        </w:tc>
        <w:tc>
          <w:tcPr>
            <w:tcW w:w="1300" w:type="dxa"/>
            <w:tcMar>
              <w:top w:w="100" w:type="dxa"/>
              <w:left w:w="120" w:type="dxa"/>
              <w:bottom w:w="100" w:type="dxa"/>
              <w:right w:w="120" w:type="dxa"/>
            </w:tcMar>
            <w:vAlign w:val="center"/>
          </w:tcPr>
          <w:p w14:paraId="0B4CEC3F" w14:textId="77777777" w:rsidR="00D84D0A" w:rsidRDefault="00000000">
            <w:r>
              <w:rPr>
                <w:sz w:val="19"/>
                <w:szCs w:val="19"/>
              </w:rPr>
              <w:t>$3.00</w:t>
            </w:r>
          </w:p>
        </w:tc>
        <w:tc>
          <w:tcPr>
            <w:tcW w:w="1300" w:type="dxa"/>
            <w:tcMar>
              <w:top w:w="100" w:type="dxa"/>
              <w:left w:w="120" w:type="dxa"/>
              <w:bottom w:w="100" w:type="dxa"/>
              <w:right w:w="120" w:type="dxa"/>
            </w:tcMar>
            <w:vAlign w:val="center"/>
          </w:tcPr>
          <w:p w14:paraId="210FE922" w14:textId="77777777" w:rsidR="00D84D0A" w:rsidRDefault="00000000">
            <w:r>
              <w:rPr>
                <w:sz w:val="19"/>
                <w:szCs w:val="19"/>
              </w:rPr>
              <w:t>$15.00</w:t>
            </w:r>
          </w:p>
        </w:tc>
        <w:tc>
          <w:tcPr>
            <w:tcW w:w="2650" w:type="dxa"/>
            <w:tcMar>
              <w:top w:w="100" w:type="dxa"/>
              <w:left w:w="120" w:type="dxa"/>
              <w:bottom w:w="100" w:type="dxa"/>
              <w:right w:w="120" w:type="dxa"/>
            </w:tcMar>
            <w:vAlign w:val="center"/>
          </w:tcPr>
          <w:p w14:paraId="7A6F7253" w14:textId="77777777" w:rsidR="00D84D0A" w:rsidRDefault="00000000">
            <w:r>
              <w:rPr>
                <w:sz w:val="19"/>
                <w:szCs w:val="19"/>
              </w:rPr>
              <w:t>Avoid for personal data — no EU region (Section 5)</w:t>
            </w:r>
          </w:p>
        </w:tc>
      </w:tr>
      <w:tr w:rsidR="00D84D0A" w14:paraId="7265C725"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2D4CED24" w14:textId="77777777" w:rsidR="00D84D0A" w:rsidRDefault="00000000">
            <w:r>
              <w:rPr>
                <w:sz w:val="19"/>
                <w:szCs w:val="19"/>
              </w:rPr>
              <w:t>Mistral AI</w:t>
            </w:r>
          </w:p>
        </w:tc>
        <w:tc>
          <w:tcPr>
            <w:tcW w:w="2350" w:type="dxa"/>
            <w:shd w:val="clear" w:color="auto" w:fill="EEF3F5"/>
            <w:tcMar>
              <w:top w:w="100" w:type="dxa"/>
              <w:left w:w="120" w:type="dxa"/>
              <w:bottom w:w="100" w:type="dxa"/>
              <w:right w:w="120" w:type="dxa"/>
            </w:tcMar>
            <w:vAlign w:val="center"/>
          </w:tcPr>
          <w:p w14:paraId="7B3253CB" w14:textId="77777777" w:rsidR="00D84D0A" w:rsidRDefault="00000000">
            <w:r>
              <w:rPr>
                <w:sz w:val="19"/>
                <w:szCs w:val="19"/>
              </w:rPr>
              <w:t>Mistral Large 3</w:t>
            </w:r>
          </w:p>
        </w:tc>
        <w:tc>
          <w:tcPr>
            <w:tcW w:w="1300" w:type="dxa"/>
            <w:shd w:val="clear" w:color="auto" w:fill="EEF3F5"/>
            <w:tcMar>
              <w:top w:w="100" w:type="dxa"/>
              <w:left w:w="120" w:type="dxa"/>
              <w:bottom w:w="100" w:type="dxa"/>
              <w:right w:w="120" w:type="dxa"/>
            </w:tcMar>
            <w:vAlign w:val="center"/>
          </w:tcPr>
          <w:p w14:paraId="54C58B28" w14:textId="77777777" w:rsidR="00D84D0A" w:rsidRDefault="00000000">
            <w:r>
              <w:rPr>
                <w:sz w:val="19"/>
                <w:szCs w:val="19"/>
              </w:rPr>
              <w:t>$0.50</w:t>
            </w:r>
          </w:p>
        </w:tc>
        <w:tc>
          <w:tcPr>
            <w:tcW w:w="1300" w:type="dxa"/>
            <w:shd w:val="clear" w:color="auto" w:fill="EEF3F5"/>
            <w:tcMar>
              <w:top w:w="100" w:type="dxa"/>
              <w:left w:w="120" w:type="dxa"/>
              <w:bottom w:w="100" w:type="dxa"/>
              <w:right w:w="120" w:type="dxa"/>
            </w:tcMar>
            <w:vAlign w:val="center"/>
          </w:tcPr>
          <w:p w14:paraId="3978537A" w14:textId="77777777" w:rsidR="00D84D0A" w:rsidRDefault="00000000">
            <w:r>
              <w:rPr>
                <w:sz w:val="19"/>
                <w:szCs w:val="19"/>
              </w:rPr>
              <w:t>$1.50</w:t>
            </w:r>
          </w:p>
        </w:tc>
        <w:tc>
          <w:tcPr>
            <w:tcW w:w="2650" w:type="dxa"/>
            <w:shd w:val="clear" w:color="auto" w:fill="EEF3F5"/>
            <w:tcMar>
              <w:top w:w="100" w:type="dxa"/>
              <w:left w:w="120" w:type="dxa"/>
              <w:bottom w:w="100" w:type="dxa"/>
              <w:right w:w="120" w:type="dxa"/>
            </w:tcMar>
            <w:vAlign w:val="center"/>
          </w:tcPr>
          <w:p w14:paraId="58272FE8" w14:textId="77777777" w:rsidR="00D84D0A" w:rsidRDefault="00000000">
            <w:r>
              <w:rPr>
                <w:sz w:val="19"/>
                <w:szCs w:val="19"/>
              </w:rPr>
              <w:t>EU-native default drafting model</w:t>
            </w:r>
          </w:p>
        </w:tc>
      </w:tr>
      <w:tr w:rsidR="00D84D0A" w14:paraId="0A9A31B0" w14:textId="77777777">
        <w:tblPrEx>
          <w:tblCellMar>
            <w:top w:w="0" w:type="dxa"/>
            <w:bottom w:w="0" w:type="dxa"/>
          </w:tblCellMar>
        </w:tblPrEx>
        <w:tc>
          <w:tcPr>
            <w:tcW w:w="1750" w:type="dxa"/>
            <w:tcMar>
              <w:top w:w="100" w:type="dxa"/>
              <w:left w:w="120" w:type="dxa"/>
              <w:bottom w:w="100" w:type="dxa"/>
              <w:right w:w="120" w:type="dxa"/>
            </w:tcMar>
            <w:vAlign w:val="center"/>
          </w:tcPr>
          <w:p w14:paraId="4595DDE9" w14:textId="77777777" w:rsidR="00D84D0A" w:rsidRDefault="00000000">
            <w:r>
              <w:rPr>
                <w:sz w:val="19"/>
                <w:szCs w:val="19"/>
              </w:rPr>
              <w:t>Mistral AI</w:t>
            </w:r>
          </w:p>
        </w:tc>
        <w:tc>
          <w:tcPr>
            <w:tcW w:w="2350" w:type="dxa"/>
            <w:tcMar>
              <w:top w:w="100" w:type="dxa"/>
              <w:left w:w="120" w:type="dxa"/>
              <w:bottom w:w="100" w:type="dxa"/>
              <w:right w:w="120" w:type="dxa"/>
            </w:tcMar>
            <w:vAlign w:val="center"/>
          </w:tcPr>
          <w:p w14:paraId="216F1D12" w14:textId="77777777" w:rsidR="00D84D0A" w:rsidRDefault="00000000">
            <w:r>
              <w:rPr>
                <w:sz w:val="19"/>
                <w:szCs w:val="19"/>
              </w:rPr>
              <w:t>Mistral Small 4</w:t>
            </w:r>
          </w:p>
        </w:tc>
        <w:tc>
          <w:tcPr>
            <w:tcW w:w="1300" w:type="dxa"/>
            <w:tcMar>
              <w:top w:w="100" w:type="dxa"/>
              <w:left w:w="120" w:type="dxa"/>
              <w:bottom w:w="100" w:type="dxa"/>
              <w:right w:w="120" w:type="dxa"/>
            </w:tcMar>
            <w:vAlign w:val="center"/>
          </w:tcPr>
          <w:p w14:paraId="3EBB04D2" w14:textId="77777777" w:rsidR="00D84D0A" w:rsidRDefault="00000000">
            <w:r>
              <w:rPr>
                <w:sz w:val="19"/>
                <w:szCs w:val="19"/>
              </w:rPr>
              <w:t>$0.15</w:t>
            </w:r>
          </w:p>
        </w:tc>
        <w:tc>
          <w:tcPr>
            <w:tcW w:w="1300" w:type="dxa"/>
            <w:tcMar>
              <w:top w:w="100" w:type="dxa"/>
              <w:left w:w="120" w:type="dxa"/>
              <w:bottom w:w="100" w:type="dxa"/>
              <w:right w:w="120" w:type="dxa"/>
            </w:tcMar>
            <w:vAlign w:val="center"/>
          </w:tcPr>
          <w:p w14:paraId="27B4B87E" w14:textId="77777777" w:rsidR="00D84D0A" w:rsidRDefault="00000000">
            <w:r>
              <w:rPr>
                <w:sz w:val="19"/>
                <w:szCs w:val="19"/>
              </w:rPr>
              <w:t>$0.60</w:t>
            </w:r>
          </w:p>
        </w:tc>
        <w:tc>
          <w:tcPr>
            <w:tcW w:w="2650" w:type="dxa"/>
            <w:tcMar>
              <w:top w:w="100" w:type="dxa"/>
              <w:left w:w="120" w:type="dxa"/>
              <w:bottom w:w="100" w:type="dxa"/>
              <w:right w:w="120" w:type="dxa"/>
            </w:tcMar>
            <w:vAlign w:val="center"/>
          </w:tcPr>
          <w:p w14:paraId="5B168932" w14:textId="77777777" w:rsidR="00D84D0A" w:rsidRDefault="00000000">
            <w:r>
              <w:rPr>
                <w:sz w:val="19"/>
                <w:szCs w:val="19"/>
              </w:rPr>
              <w:t>EU-native cheap first-pass</w:t>
            </w:r>
          </w:p>
        </w:tc>
      </w:tr>
      <w:tr w:rsidR="00D84D0A" w14:paraId="7C57B7D7"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5870DD57" w14:textId="77777777" w:rsidR="00D84D0A" w:rsidRDefault="00000000">
            <w:r>
              <w:rPr>
                <w:sz w:val="19"/>
                <w:szCs w:val="19"/>
              </w:rPr>
              <w:t>Self-hosted</w:t>
            </w:r>
          </w:p>
        </w:tc>
        <w:tc>
          <w:tcPr>
            <w:tcW w:w="2350" w:type="dxa"/>
            <w:shd w:val="clear" w:color="auto" w:fill="EEF3F5"/>
            <w:tcMar>
              <w:top w:w="100" w:type="dxa"/>
              <w:left w:w="120" w:type="dxa"/>
              <w:bottom w:w="100" w:type="dxa"/>
              <w:right w:w="120" w:type="dxa"/>
            </w:tcMar>
            <w:vAlign w:val="center"/>
          </w:tcPr>
          <w:p w14:paraId="7CE8397B" w14:textId="77777777" w:rsidR="00D84D0A" w:rsidRDefault="00000000">
            <w:r>
              <w:rPr>
                <w:sz w:val="19"/>
                <w:szCs w:val="19"/>
              </w:rPr>
              <w:t>Open-weight (e.g. Llama/Mistral) on rented GPU</w:t>
            </w:r>
          </w:p>
        </w:tc>
        <w:tc>
          <w:tcPr>
            <w:tcW w:w="1300" w:type="dxa"/>
            <w:shd w:val="clear" w:color="auto" w:fill="EEF3F5"/>
            <w:tcMar>
              <w:top w:w="100" w:type="dxa"/>
              <w:left w:w="120" w:type="dxa"/>
              <w:bottom w:w="100" w:type="dxa"/>
              <w:right w:w="120" w:type="dxa"/>
            </w:tcMar>
            <w:vAlign w:val="center"/>
          </w:tcPr>
          <w:p w14:paraId="73F20C95" w14:textId="77777777" w:rsidR="00D84D0A" w:rsidRDefault="00000000">
            <w:r>
              <w:rPr>
                <w:sz w:val="19"/>
                <w:szCs w:val="19"/>
              </w:rPr>
              <w:t>~$0.10–0.45 raw*</w:t>
            </w:r>
          </w:p>
        </w:tc>
        <w:tc>
          <w:tcPr>
            <w:tcW w:w="1300" w:type="dxa"/>
            <w:shd w:val="clear" w:color="auto" w:fill="EEF3F5"/>
            <w:tcMar>
              <w:top w:w="100" w:type="dxa"/>
              <w:left w:w="120" w:type="dxa"/>
              <w:bottom w:w="100" w:type="dxa"/>
              <w:right w:w="120" w:type="dxa"/>
            </w:tcMar>
            <w:vAlign w:val="center"/>
          </w:tcPr>
          <w:p w14:paraId="27D9955C" w14:textId="77777777" w:rsidR="00D84D0A" w:rsidRDefault="00000000">
            <w:r>
              <w:rPr>
                <w:sz w:val="19"/>
                <w:szCs w:val="19"/>
              </w:rPr>
              <w:t>—</w:t>
            </w:r>
          </w:p>
        </w:tc>
        <w:tc>
          <w:tcPr>
            <w:tcW w:w="2650" w:type="dxa"/>
            <w:shd w:val="clear" w:color="auto" w:fill="EEF3F5"/>
            <w:tcMar>
              <w:top w:w="100" w:type="dxa"/>
              <w:left w:w="120" w:type="dxa"/>
              <w:bottom w:w="100" w:type="dxa"/>
              <w:right w:w="120" w:type="dxa"/>
            </w:tcMar>
            <w:vAlign w:val="center"/>
          </w:tcPr>
          <w:p w14:paraId="6143AD2E" w14:textId="77777777" w:rsidR="00D84D0A" w:rsidRDefault="00000000">
            <w:r>
              <w:rPr>
                <w:sz w:val="19"/>
                <w:szCs w:val="19"/>
              </w:rPr>
              <w:t>Not cost-justified at this project's scale — see 4.3</w:t>
            </w:r>
          </w:p>
        </w:tc>
      </w:tr>
    </w:tbl>
    <w:p w14:paraId="4C34B628" w14:textId="77777777" w:rsidR="00D84D0A" w:rsidRDefault="00000000">
      <w:pPr>
        <w:spacing w:before="80" w:after="200"/>
      </w:pPr>
      <w:r>
        <w:rPr>
          <w:i/>
          <w:iCs/>
          <w:color w:val="5B6770"/>
          <w:sz w:val="16"/>
          <w:szCs w:val="16"/>
        </w:rPr>
        <w:t>*Raw GPU compute only; realistic all-in cost including engineering/ops time typically runs 3–5× higher. Sources and dates in Appendix (Section 11.3).</w:t>
      </w:r>
    </w:p>
    <w:p w14:paraId="1D3CEA89" w14:textId="77777777" w:rsidR="00D84D0A" w:rsidRDefault="00000000">
      <w:pPr>
        <w:pStyle w:val="Heading2"/>
        <w:spacing w:before="320" w:after="140"/>
      </w:pPr>
      <w:r>
        <w:rPr>
          <w:b/>
          <w:bCs/>
          <w:color w:val="1F3B57"/>
          <w:sz w:val="25"/>
          <w:szCs w:val="25"/>
        </w:rPr>
        <w:t>4.2 Discounts that apply to a report-drafting workload</w:t>
      </w:r>
    </w:p>
    <w:p w14:paraId="44FE409E" w14:textId="77777777" w:rsidR="00D84D0A" w:rsidRDefault="00000000">
      <w:pPr>
        <w:spacing w:after="160"/>
      </w:pPr>
      <w:r>
        <w:t>Report generation is not a real-time chat product — drafts can be produced overnight in a batch job, and the same source documents get reused across many prompts within one report. Two discounts both providers offer are a natural fit:</w:t>
      </w:r>
    </w:p>
    <w:p w14:paraId="6901C5BD" w14:textId="77777777" w:rsidR="00D84D0A" w:rsidRDefault="00000000">
      <w:pPr>
        <w:pStyle w:val="ListParagraph"/>
        <w:numPr>
          <w:ilvl w:val="0"/>
          <w:numId w:val="2"/>
        </w:numPr>
        <w:spacing w:after="90"/>
      </w:pPr>
      <w:r>
        <w:rPr>
          <w:b/>
          <w:bCs/>
        </w:rPr>
        <w:t xml:space="preserve">Batch processing (Anthropic &amp; OpenAI): </w:t>
      </w:r>
      <w:r>
        <w:t>−50% on input and output tokens for jobs that don't need an instant response — a very good fit for "generate tonight's draft report."</w:t>
      </w:r>
    </w:p>
    <w:p w14:paraId="040BC36C" w14:textId="77777777" w:rsidR="00D84D0A" w:rsidRDefault="00000000">
      <w:pPr>
        <w:pStyle w:val="ListParagraph"/>
        <w:numPr>
          <w:ilvl w:val="0"/>
          <w:numId w:val="2"/>
        </w:numPr>
        <w:spacing w:after="90"/>
      </w:pPr>
      <w:r>
        <w:rPr>
          <w:b/>
          <w:bCs/>
        </w:rPr>
        <w:t xml:space="preserve">Prompt caching (Anthropic &amp; OpenAI): </w:t>
      </w:r>
      <w:r>
        <w:t>re-reading the same transcript/dataset across multiple prompts in one report run costs roughly 10% of the normal input price after the first read — a good fit for the multi-agent, multi-pass architecture the brief anticipates.</w:t>
      </w:r>
    </w:p>
    <w:p w14:paraId="5254BEF4" w14:textId="77777777" w:rsidR="00D84D0A" w:rsidRDefault="00000000">
      <w:pPr>
        <w:spacing w:after="160"/>
      </w:pPr>
      <w:r>
        <w:rPr>
          <w:color w:val="5B6770"/>
          <w:sz w:val="19"/>
          <w:szCs w:val="19"/>
        </w:rPr>
        <w:t>Applying both together can realistically cut modelled costs in Section 4.3 by 40–60% once the pipeline is optimised — treated conservatively (not applied) in the numbers below.</w:t>
      </w:r>
    </w:p>
    <w:p w14:paraId="182E83BD" w14:textId="77777777" w:rsidR="00D84D0A" w:rsidRDefault="00000000">
      <w:pPr>
        <w:pStyle w:val="Heading2"/>
        <w:spacing w:before="320" w:after="140"/>
      </w:pPr>
      <w:r>
        <w:rPr>
          <w:b/>
          <w:bCs/>
          <w:color w:val="1F3B57"/>
          <w:sz w:val="25"/>
          <w:szCs w:val="25"/>
        </w:rPr>
        <w:lastRenderedPageBreak/>
        <w:t>4.3 What this actually costs at InnoBeweegLab's scale</w:t>
      </w:r>
    </w:p>
    <w:p w14:paraId="4B80AF1E" w14:textId="77777777" w:rsidR="00D84D0A" w:rsidRDefault="00000000">
      <w:pPr>
        <w:spacing w:after="160"/>
      </w:pPr>
      <w:r>
        <w:t>The published per-token prices above are hard to picture without volume. Three usage scenarios, sized to InnoBeweegLab's actual workflow (periodic reports, not a high-traffic chat app):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450"/>
      </w:tblGrid>
      <w:tr w:rsidR="00D84D0A" w14:paraId="383795D5" w14:textId="77777777">
        <w:tblPrEx>
          <w:tblCellMar>
            <w:top w:w="0" w:type="dxa"/>
            <w:bottom w:w="0" w:type="dxa"/>
          </w:tblCellMar>
        </w:tblPrEx>
        <w:trPr>
          <w:tblHeader/>
        </w:trPr>
        <w:tc>
          <w:tcPr>
            <w:tcW w:w="2100" w:type="dxa"/>
            <w:shd w:val="clear" w:color="auto" w:fill="1F3B57"/>
            <w:tcMar>
              <w:top w:w="100" w:type="dxa"/>
              <w:left w:w="120" w:type="dxa"/>
              <w:bottom w:w="100" w:type="dxa"/>
              <w:right w:w="120" w:type="dxa"/>
            </w:tcMar>
            <w:vAlign w:val="center"/>
          </w:tcPr>
          <w:p w14:paraId="22CAFA5A" w14:textId="77777777" w:rsidR="00D84D0A" w:rsidRDefault="00000000">
            <w:r>
              <w:rPr>
                <w:b/>
                <w:bCs/>
                <w:color w:val="FFFFFF"/>
                <w:sz w:val="19"/>
                <w:szCs w:val="19"/>
              </w:rPr>
              <w:t>Scenario</w:t>
            </w:r>
          </w:p>
        </w:tc>
        <w:tc>
          <w:tcPr>
            <w:tcW w:w="3800" w:type="dxa"/>
            <w:shd w:val="clear" w:color="auto" w:fill="1F3B57"/>
            <w:tcMar>
              <w:top w:w="100" w:type="dxa"/>
              <w:left w:w="120" w:type="dxa"/>
              <w:bottom w:w="100" w:type="dxa"/>
              <w:right w:w="120" w:type="dxa"/>
            </w:tcMar>
            <w:vAlign w:val="center"/>
          </w:tcPr>
          <w:p w14:paraId="5FF30A1D" w14:textId="77777777" w:rsidR="00D84D0A" w:rsidRDefault="00000000">
            <w:r>
              <w:rPr>
                <w:b/>
                <w:bCs/>
                <w:color w:val="FFFFFF"/>
                <w:sz w:val="19"/>
                <w:szCs w:val="19"/>
              </w:rPr>
              <w:t>Assumption</w:t>
            </w:r>
          </w:p>
        </w:tc>
        <w:tc>
          <w:tcPr>
            <w:tcW w:w="3450" w:type="dxa"/>
            <w:shd w:val="clear" w:color="auto" w:fill="1F3B57"/>
            <w:tcMar>
              <w:top w:w="100" w:type="dxa"/>
              <w:left w:w="120" w:type="dxa"/>
              <w:bottom w:w="100" w:type="dxa"/>
              <w:right w:w="120" w:type="dxa"/>
            </w:tcMar>
            <w:vAlign w:val="center"/>
          </w:tcPr>
          <w:p w14:paraId="09D7D5F4" w14:textId="77777777" w:rsidR="00D84D0A" w:rsidRDefault="00000000">
            <w:r>
              <w:rPr>
                <w:b/>
                <w:bCs/>
                <w:color w:val="FFFFFF"/>
                <w:sz w:val="19"/>
                <w:szCs w:val="19"/>
              </w:rPr>
              <w:t>Annual token volume</w:t>
            </w:r>
          </w:p>
        </w:tc>
      </w:tr>
      <w:tr w:rsidR="00D84D0A" w14:paraId="23C58EEB" w14:textId="77777777">
        <w:tblPrEx>
          <w:tblCellMar>
            <w:top w:w="0" w:type="dxa"/>
            <w:bottom w:w="0" w:type="dxa"/>
          </w:tblCellMar>
        </w:tblPrEx>
        <w:tc>
          <w:tcPr>
            <w:tcW w:w="2100" w:type="dxa"/>
            <w:tcMar>
              <w:top w:w="100" w:type="dxa"/>
              <w:left w:w="120" w:type="dxa"/>
              <w:bottom w:w="100" w:type="dxa"/>
              <w:right w:w="120" w:type="dxa"/>
            </w:tcMar>
            <w:vAlign w:val="center"/>
          </w:tcPr>
          <w:p w14:paraId="477BDBF4" w14:textId="77777777" w:rsidR="00D84D0A" w:rsidRDefault="00000000">
            <w:r>
              <w:rPr>
                <w:sz w:val="19"/>
                <w:szCs w:val="19"/>
              </w:rPr>
              <w:t>Light</w:t>
            </w:r>
          </w:p>
        </w:tc>
        <w:tc>
          <w:tcPr>
            <w:tcW w:w="3800" w:type="dxa"/>
            <w:tcMar>
              <w:top w:w="100" w:type="dxa"/>
              <w:left w:w="120" w:type="dxa"/>
              <w:bottom w:w="100" w:type="dxa"/>
              <w:right w:w="120" w:type="dxa"/>
            </w:tcMar>
            <w:vAlign w:val="center"/>
          </w:tcPr>
          <w:p w14:paraId="75B1F5BB" w14:textId="77777777" w:rsidR="00D84D0A" w:rsidRDefault="00000000">
            <w:r>
              <w:rPr>
                <w:sz w:val="19"/>
                <w:szCs w:val="19"/>
              </w:rPr>
              <w:t>6 reports/year (~1 every 2 months), each processing ~800K input tokens of source material (transcripts, datasets, expert notes across drafting passes) and producing ~40K output tokens</w:t>
            </w:r>
          </w:p>
        </w:tc>
        <w:tc>
          <w:tcPr>
            <w:tcW w:w="3450" w:type="dxa"/>
            <w:tcMar>
              <w:top w:w="100" w:type="dxa"/>
              <w:left w:w="120" w:type="dxa"/>
              <w:bottom w:w="100" w:type="dxa"/>
              <w:right w:w="120" w:type="dxa"/>
            </w:tcMar>
            <w:vAlign w:val="center"/>
          </w:tcPr>
          <w:p w14:paraId="472CFBD2" w14:textId="77777777" w:rsidR="00D84D0A" w:rsidRDefault="00000000">
            <w:r>
              <w:rPr>
                <w:sz w:val="19"/>
                <w:szCs w:val="19"/>
              </w:rPr>
              <w:t>4.8M input / 0.24M output</w:t>
            </w:r>
          </w:p>
        </w:tc>
      </w:tr>
      <w:tr w:rsidR="00D84D0A" w14:paraId="5BC4AD7B" w14:textId="77777777">
        <w:tblPrEx>
          <w:tblCellMar>
            <w:top w:w="0" w:type="dxa"/>
            <w:bottom w:w="0" w:type="dxa"/>
          </w:tblCellMar>
        </w:tblPrEx>
        <w:tc>
          <w:tcPr>
            <w:tcW w:w="2100" w:type="dxa"/>
            <w:shd w:val="clear" w:color="auto" w:fill="EEF3F5"/>
            <w:tcMar>
              <w:top w:w="100" w:type="dxa"/>
              <w:left w:w="120" w:type="dxa"/>
              <w:bottom w:w="100" w:type="dxa"/>
              <w:right w:w="120" w:type="dxa"/>
            </w:tcMar>
            <w:vAlign w:val="center"/>
          </w:tcPr>
          <w:p w14:paraId="6D0888DD" w14:textId="77777777" w:rsidR="00D84D0A" w:rsidRDefault="00000000">
            <w:r>
              <w:rPr>
                <w:sz w:val="19"/>
                <w:szCs w:val="19"/>
              </w:rPr>
              <w:t>Medium</w:t>
            </w:r>
          </w:p>
        </w:tc>
        <w:tc>
          <w:tcPr>
            <w:tcW w:w="3800" w:type="dxa"/>
            <w:shd w:val="clear" w:color="auto" w:fill="EEF3F5"/>
            <w:tcMar>
              <w:top w:w="100" w:type="dxa"/>
              <w:left w:w="120" w:type="dxa"/>
              <w:bottom w:w="100" w:type="dxa"/>
              <w:right w:w="120" w:type="dxa"/>
            </w:tcMar>
            <w:vAlign w:val="center"/>
          </w:tcPr>
          <w:p w14:paraId="7B7768AA" w14:textId="77777777" w:rsidR="00D84D0A" w:rsidRDefault="00000000">
            <w:r>
              <w:rPr>
                <w:sz w:val="19"/>
                <w:szCs w:val="19"/>
              </w:rPr>
              <w:t>20 reports/year (~1 every 2–3 weeks), each processing ~1.2M input tokens and producing ~60K output tokens</w:t>
            </w:r>
          </w:p>
        </w:tc>
        <w:tc>
          <w:tcPr>
            <w:tcW w:w="3450" w:type="dxa"/>
            <w:shd w:val="clear" w:color="auto" w:fill="EEF3F5"/>
            <w:tcMar>
              <w:top w:w="100" w:type="dxa"/>
              <w:left w:w="120" w:type="dxa"/>
              <w:bottom w:w="100" w:type="dxa"/>
              <w:right w:w="120" w:type="dxa"/>
            </w:tcMar>
            <w:vAlign w:val="center"/>
          </w:tcPr>
          <w:p w14:paraId="2EF72EA1" w14:textId="77777777" w:rsidR="00D84D0A" w:rsidRDefault="00000000">
            <w:r>
              <w:rPr>
                <w:sz w:val="19"/>
                <w:szCs w:val="19"/>
              </w:rPr>
              <w:t>24M input / 1.2M output</w:t>
            </w:r>
          </w:p>
        </w:tc>
      </w:tr>
      <w:tr w:rsidR="00D84D0A" w14:paraId="477A1741" w14:textId="77777777">
        <w:tblPrEx>
          <w:tblCellMar>
            <w:top w:w="0" w:type="dxa"/>
            <w:bottom w:w="0" w:type="dxa"/>
          </w:tblCellMar>
        </w:tblPrEx>
        <w:tc>
          <w:tcPr>
            <w:tcW w:w="2100" w:type="dxa"/>
            <w:tcMar>
              <w:top w:w="100" w:type="dxa"/>
              <w:left w:w="120" w:type="dxa"/>
              <w:bottom w:w="100" w:type="dxa"/>
              <w:right w:w="120" w:type="dxa"/>
            </w:tcMar>
            <w:vAlign w:val="center"/>
          </w:tcPr>
          <w:p w14:paraId="23401D1B" w14:textId="77777777" w:rsidR="00D84D0A" w:rsidRDefault="00000000">
            <w:r>
              <w:rPr>
                <w:sz w:val="19"/>
                <w:szCs w:val="19"/>
              </w:rPr>
              <w:t>Heavy</w:t>
            </w:r>
          </w:p>
        </w:tc>
        <w:tc>
          <w:tcPr>
            <w:tcW w:w="3800" w:type="dxa"/>
            <w:tcMar>
              <w:top w:w="100" w:type="dxa"/>
              <w:left w:w="120" w:type="dxa"/>
              <w:bottom w:w="100" w:type="dxa"/>
              <w:right w:w="120" w:type="dxa"/>
            </w:tcMar>
            <w:vAlign w:val="center"/>
          </w:tcPr>
          <w:p w14:paraId="6DA94AFB" w14:textId="77777777" w:rsidR="00D84D0A" w:rsidRDefault="00000000">
            <w:r>
              <w:rPr>
                <w:sz w:val="19"/>
                <w:szCs w:val="19"/>
              </w:rPr>
              <w:t>30 full reports/year plus daily interactive use by a ~5-person research team (exploration, Q&amp;A on data, not just final drafting)</w:t>
            </w:r>
          </w:p>
        </w:tc>
        <w:tc>
          <w:tcPr>
            <w:tcW w:w="3450" w:type="dxa"/>
            <w:tcMar>
              <w:top w:w="100" w:type="dxa"/>
              <w:left w:w="120" w:type="dxa"/>
              <w:bottom w:w="100" w:type="dxa"/>
              <w:right w:w="120" w:type="dxa"/>
            </w:tcMar>
            <w:vAlign w:val="center"/>
          </w:tcPr>
          <w:p w14:paraId="12AE658A" w14:textId="77777777" w:rsidR="00D84D0A" w:rsidRDefault="00000000">
            <w:r>
              <w:rPr>
                <w:sz w:val="19"/>
                <w:szCs w:val="19"/>
              </w:rPr>
              <w:t>150M input / 8M output</w:t>
            </w:r>
          </w:p>
        </w:tc>
      </w:tr>
    </w:tbl>
    <w:p w14:paraId="31DAF454" w14:textId="77777777" w:rsidR="00D84D0A" w:rsidRDefault="00D84D0A">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D84D0A" w14:paraId="5A7DB982" w14:textId="77777777">
        <w:tblPrEx>
          <w:tblCellMar>
            <w:top w:w="0" w:type="dxa"/>
            <w:bottom w:w="0" w:type="dxa"/>
          </w:tblCellMar>
        </w:tblPrEx>
        <w:trPr>
          <w:tblHeader/>
        </w:trPr>
        <w:tc>
          <w:tcPr>
            <w:tcW w:w="2350" w:type="dxa"/>
            <w:shd w:val="clear" w:color="auto" w:fill="1F3B57"/>
            <w:tcMar>
              <w:top w:w="100" w:type="dxa"/>
              <w:left w:w="120" w:type="dxa"/>
              <w:bottom w:w="100" w:type="dxa"/>
              <w:right w:w="120" w:type="dxa"/>
            </w:tcMar>
            <w:vAlign w:val="center"/>
          </w:tcPr>
          <w:p w14:paraId="37DBFA95" w14:textId="77777777" w:rsidR="00D84D0A" w:rsidRDefault="00000000">
            <w:r>
              <w:rPr>
                <w:b/>
                <w:bCs/>
                <w:color w:val="FFFFFF"/>
                <w:sz w:val="19"/>
                <w:szCs w:val="19"/>
              </w:rPr>
              <w:t>Model</w:t>
            </w:r>
          </w:p>
        </w:tc>
        <w:tc>
          <w:tcPr>
            <w:tcW w:w="1750" w:type="dxa"/>
            <w:shd w:val="clear" w:color="auto" w:fill="1F3B57"/>
            <w:tcMar>
              <w:top w:w="100" w:type="dxa"/>
              <w:left w:w="120" w:type="dxa"/>
              <w:bottom w:w="100" w:type="dxa"/>
              <w:right w:w="120" w:type="dxa"/>
            </w:tcMar>
            <w:vAlign w:val="center"/>
          </w:tcPr>
          <w:p w14:paraId="0D28E539" w14:textId="77777777" w:rsidR="00D84D0A" w:rsidRDefault="00000000">
            <w:r>
              <w:rPr>
                <w:b/>
                <w:bCs/>
                <w:color w:val="FFFFFF"/>
                <w:sz w:val="19"/>
                <w:szCs w:val="19"/>
              </w:rPr>
              <w:t>Light /yr</w:t>
            </w:r>
          </w:p>
        </w:tc>
        <w:tc>
          <w:tcPr>
            <w:tcW w:w="1750" w:type="dxa"/>
            <w:shd w:val="clear" w:color="auto" w:fill="1F3B57"/>
            <w:tcMar>
              <w:top w:w="100" w:type="dxa"/>
              <w:left w:w="120" w:type="dxa"/>
              <w:bottom w:w="100" w:type="dxa"/>
              <w:right w:w="120" w:type="dxa"/>
            </w:tcMar>
            <w:vAlign w:val="center"/>
          </w:tcPr>
          <w:p w14:paraId="74EE6CEF" w14:textId="77777777" w:rsidR="00D84D0A" w:rsidRDefault="00000000">
            <w:r>
              <w:rPr>
                <w:b/>
                <w:bCs/>
                <w:color w:val="FFFFFF"/>
                <w:sz w:val="19"/>
                <w:szCs w:val="19"/>
              </w:rPr>
              <w:t>Medium /yr</w:t>
            </w:r>
          </w:p>
        </w:tc>
        <w:tc>
          <w:tcPr>
            <w:tcW w:w="1750" w:type="dxa"/>
            <w:shd w:val="clear" w:color="auto" w:fill="1F3B57"/>
            <w:tcMar>
              <w:top w:w="100" w:type="dxa"/>
              <w:left w:w="120" w:type="dxa"/>
              <w:bottom w:w="100" w:type="dxa"/>
              <w:right w:w="120" w:type="dxa"/>
            </w:tcMar>
            <w:vAlign w:val="center"/>
          </w:tcPr>
          <w:p w14:paraId="79D5F39F" w14:textId="77777777" w:rsidR="00D84D0A" w:rsidRDefault="00000000">
            <w:r>
              <w:rPr>
                <w:b/>
                <w:bCs/>
                <w:color w:val="FFFFFF"/>
                <w:sz w:val="19"/>
                <w:szCs w:val="19"/>
              </w:rPr>
              <w:t>Heavy /yr</w:t>
            </w:r>
          </w:p>
        </w:tc>
        <w:tc>
          <w:tcPr>
            <w:tcW w:w="1750" w:type="dxa"/>
            <w:shd w:val="clear" w:color="auto" w:fill="1F3B57"/>
            <w:tcMar>
              <w:top w:w="100" w:type="dxa"/>
              <w:left w:w="120" w:type="dxa"/>
              <w:bottom w:w="100" w:type="dxa"/>
              <w:right w:w="120" w:type="dxa"/>
            </w:tcMar>
            <w:vAlign w:val="center"/>
          </w:tcPr>
          <w:p w14:paraId="1FF0230F" w14:textId="77777777" w:rsidR="00D84D0A" w:rsidRDefault="00000000">
            <w:r>
              <w:rPr>
                <w:b/>
                <w:bCs/>
                <w:color w:val="FFFFFF"/>
                <w:sz w:val="19"/>
                <w:szCs w:val="19"/>
              </w:rPr>
              <w:t>Notes</w:t>
            </w:r>
          </w:p>
        </w:tc>
      </w:tr>
      <w:tr w:rsidR="00D84D0A" w14:paraId="41265084" w14:textId="77777777">
        <w:tblPrEx>
          <w:tblCellMar>
            <w:top w:w="0" w:type="dxa"/>
            <w:bottom w:w="0" w:type="dxa"/>
          </w:tblCellMar>
        </w:tblPrEx>
        <w:tc>
          <w:tcPr>
            <w:tcW w:w="2350" w:type="dxa"/>
            <w:tcMar>
              <w:top w:w="100" w:type="dxa"/>
              <w:left w:w="120" w:type="dxa"/>
              <w:bottom w:w="100" w:type="dxa"/>
              <w:right w:w="120" w:type="dxa"/>
            </w:tcMar>
            <w:vAlign w:val="center"/>
          </w:tcPr>
          <w:p w14:paraId="24429FDF" w14:textId="77777777" w:rsidR="00D84D0A" w:rsidRDefault="00000000">
            <w:r>
              <w:rPr>
                <w:sz w:val="19"/>
                <w:szCs w:val="19"/>
              </w:rPr>
              <w:t>Claude Sonnet 5</w:t>
            </w:r>
          </w:p>
        </w:tc>
        <w:tc>
          <w:tcPr>
            <w:tcW w:w="1750" w:type="dxa"/>
            <w:tcMar>
              <w:top w:w="100" w:type="dxa"/>
              <w:left w:w="120" w:type="dxa"/>
              <w:bottom w:w="100" w:type="dxa"/>
              <w:right w:w="120" w:type="dxa"/>
            </w:tcMar>
            <w:vAlign w:val="center"/>
          </w:tcPr>
          <w:p w14:paraId="2AFBFA37" w14:textId="77777777" w:rsidR="00D84D0A" w:rsidRDefault="00000000">
            <w:r>
              <w:rPr>
                <w:sz w:val="19"/>
                <w:szCs w:val="19"/>
              </w:rPr>
              <w:t>$12</w:t>
            </w:r>
          </w:p>
        </w:tc>
        <w:tc>
          <w:tcPr>
            <w:tcW w:w="1750" w:type="dxa"/>
            <w:tcMar>
              <w:top w:w="100" w:type="dxa"/>
              <w:left w:w="120" w:type="dxa"/>
              <w:bottom w:w="100" w:type="dxa"/>
              <w:right w:w="120" w:type="dxa"/>
            </w:tcMar>
            <w:vAlign w:val="center"/>
          </w:tcPr>
          <w:p w14:paraId="1FBADF68" w14:textId="77777777" w:rsidR="00D84D0A" w:rsidRDefault="00000000">
            <w:r>
              <w:rPr>
                <w:sz w:val="19"/>
                <w:szCs w:val="19"/>
              </w:rPr>
              <w:t>$60</w:t>
            </w:r>
          </w:p>
        </w:tc>
        <w:tc>
          <w:tcPr>
            <w:tcW w:w="1750" w:type="dxa"/>
            <w:tcMar>
              <w:top w:w="100" w:type="dxa"/>
              <w:left w:w="120" w:type="dxa"/>
              <w:bottom w:w="100" w:type="dxa"/>
              <w:right w:w="120" w:type="dxa"/>
            </w:tcMar>
            <w:vAlign w:val="center"/>
          </w:tcPr>
          <w:p w14:paraId="5F1960F0" w14:textId="77777777" w:rsidR="00D84D0A" w:rsidRDefault="00000000">
            <w:r>
              <w:rPr>
                <w:sz w:val="19"/>
                <w:szCs w:val="19"/>
              </w:rPr>
              <w:t>$380</w:t>
            </w:r>
          </w:p>
        </w:tc>
        <w:tc>
          <w:tcPr>
            <w:tcW w:w="1750" w:type="dxa"/>
            <w:tcMar>
              <w:top w:w="100" w:type="dxa"/>
              <w:left w:w="120" w:type="dxa"/>
              <w:bottom w:w="100" w:type="dxa"/>
              <w:right w:w="120" w:type="dxa"/>
            </w:tcMar>
            <w:vAlign w:val="center"/>
          </w:tcPr>
          <w:p w14:paraId="6BA8ADF4" w14:textId="77777777" w:rsidR="00D84D0A" w:rsidRDefault="00000000">
            <w:r>
              <w:rPr>
                <w:sz w:val="19"/>
                <w:szCs w:val="19"/>
              </w:rPr>
              <w:t>Anthropic direct</w:t>
            </w:r>
          </w:p>
        </w:tc>
      </w:tr>
      <w:tr w:rsidR="00D84D0A" w14:paraId="1111D6EF" w14:textId="77777777">
        <w:tblPrEx>
          <w:tblCellMar>
            <w:top w:w="0" w:type="dxa"/>
            <w:bottom w:w="0" w:type="dxa"/>
          </w:tblCellMar>
        </w:tblPrEx>
        <w:tc>
          <w:tcPr>
            <w:tcW w:w="2350" w:type="dxa"/>
            <w:shd w:val="clear" w:color="auto" w:fill="EEF3F5"/>
            <w:tcMar>
              <w:top w:w="100" w:type="dxa"/>
              <w:left w:w="120" w:type="dxa"/>
              <w:bottom w:w="100" w:type="dxa"/>
              <w:right w:w="120" w:type="dxa"/>
            </w:tcMar>
            <w:vAlign w:val="center"/>
          </w:tcPr>
          <w:p w14:paraId="75EBC0ED" w14:textId="77777777" w:rsidR="00D84D0A" w:rsidRDefault="00000000">
            <w:r>
              <w:rPr>
                <w:sz w:val="19"/>
                <w:szCs w:val="19"/>
              </w:rPr>
              <w:t>GPT-5.6 Terra</w:t>
            </w:r>
          </w:p>
        </w:tc>
        <w:tc>
          <w:tcPr>
            <w:tcW w:w="1750" w:type="dxa"/>
            <w:shd w:val="clear" w:color="auto" w:fill="EEF3F5"/>
            <w:tcMar>
              <w:top w:w="100" w:type="dxa"/>
              <w:left w:w="120" w:type="dxa"/>
              <w:bottom w:w="100" w:type="dxa"/>
              <w:right w:w="120" w:type="dxa"/>
            </w:tcMar>
            <w:vAlign w:val="center"/>
          </w:tcPr>
          <w:p w14:paraId="7055304B" w14:textId="77777777" w:rsidR="00D84D0A" w:rsidRDefault="00000000">
            <w:r>
              <w:rPr>
                <w:sz w:val="19"/>
                <w:szCs w:val="19"/>
              </w:rPr>
              <w:t>$12</w:t>
            </w:r>
          </w:p>
        </w:tc>
        <w:tc>
          <w:tcPr>
            <w:tcW w:w="1750" w:type="dxa"/>
            <w:shd w:val="clear" w:color="auto" w:fill="EEF3F5"/>
            <w:tcMar>
              <w:top w:w="100" w:type="dxa"/>
              <w:left w:w="120" w:type="dxa"/>
              <w:bottom w:w="100" w:type="dxa"/>
              <w:right w:w="120" w:type="dxa"/>
            </w:tcMar>
            <w:vAlign w:val="center"/>
          </w:tcPr>
          <w:p w14:paraId="0F2A922E" w14:textId="77777777" w:rsidR="00D84D0A" w:rsidRDefault="00000000">
            <w:r>
              <w:rPr>
                <w:sz w:val="19"/>
                <w:szCs w:val="19"/>
              </w:rPr>
              <w:t>$62</w:t>
            </w:r>
          </w:p>
        </w:tc>
        <w:tc>
          <w:tcPr>
            <w:tcW w:w="1750" w:type="dxa"/>
            <w:shd w:val="clear" w:color="auto" w:fill="EEF3F5"/>
            <w:tcMar>
              <w:top w:w="100" w:type="dxa"/>
              <w:left w:w="120" w:type="dxa"/>
              <w:bottom w:w="100" w:type="dxa"/>
              <w:right w:w="120" w:type="dxa"/>
            </w:tcMar>
            <w:vAlign w:val="center"/>
          </w:tcPr>
          <w:p w14:paraId="6F369599" w14:textId="77777777" w:rsidR="00D84D0A" w:rsidRDefault="00000000">
            <w:r>
              <w:rPr>
                <w:sz w:val="19"/>
                <w:szCs w:val="19"/>
              </w:rPr>
              <w:t>$396</w:t>
            </w:r>
          </w:p>
        </w:tc>
        <w:tc>
          <w:tcPr>
            <w:tcW w:w="1750" w:type="dxa"/>
            <w:shd w:val="clear" w:color="auto" w:fill="EEF3F5"/>
            <w:tcMar>
              <w:top w:w="100" w:type="dxa"/>
              <w:left w:w="120" w:type="dxa"/>
              <w:bottom w:w="100" w:type="dxa"/>
              <w:right w:w="120" w:type="dxa"/>
            </w:tcMar>
            <w:vAlign w:val="center"/>
          </w:tcPr>
          <w:p w14:paraId="1C15F2D7" w14:textId="77777777" w:rsidR="00D84D0A" w:rsidRDefault="00000000">
            <w:r>
              <w:rPr>
                <w:sz w:val="19"/>
                <w:szCs w:val="19"/>
              </w:rPr>
              <w:t>OpenAI direct or Azure Foundry</w:t>
            </w:r>
          </w:p>
        </w:tc>
      </w:tr>
      <w:tr w:rsidR="00D84D0A" w14:paraId="1F8B30AC" w14:textId="77777777">
        <w:tblPrEx>
          <w:tblCellMar>
            <w:top w:w="0" w:type="dxa"/>
            <w:bottom w:w="0" w:type="dxa"/>
          </w:tblCellMar>
        </w:tblPrEx>
        <w:tc>
          <w:tcPr>
            <w:tcW w:w="2350" w:type="dxa"/>
            <w:tcMar>
              <w:top w:w="100" w:type="dxa"/>
              <w:left w:w="120" w:type="dxa"/>
              <w:bottom w:w="100" w:type="dxa"/>
              <w:right w:w="120" w:type="dxa"/>
            </w:tcMar>
            <w:vAlign w:val="center"/>
          </w:tcPr>
          <w:p w14:paraId="746F4478" w14:textId="77777777" w:rsidR="00D84D0A" w:rsidRDefault="00000000">
            <w:r>
              <w:rPr>
                <w:sz w:val="19"/>
                <w:szCs w:val="19"/>
              </w:rPr>
              <w:t>Mistral Large 3</w:t>
            </w:r>
          </w:p>
        </w:tc>
        <w:tc>
          <w:tcPr>
            <w:tcW w:w="1750" w:type="dxa"/>
            <w:tcMar>
              <w:top w:w="100" w:type="dxa"/>
              <w:left w:w="120" w:type="dxa"/>
              <w:bottom w:w="100" w:type="dxa"/>
              <w:right w:w="120" w:type="dxa"/>
            </w:tcMar>
            <w:vAlign w:val="center"/>
          </w:tcPr>
          <w:p w14:paraId="6BA2B1E4" w14:textId="77777777" w:rsidR="00D84D0A" w:rsidRDefault="00000000">
            <w:r>
              <w:rPr>
                <w:sz w:val="19"/>
                <w:szCs w:val="19"/>
              </w:rPr>
              <w:t>$3</w:t>
            </w:r>
          </w:p>
        </w:tc>
        <w:tc>
          <w:tcPr>
            <w:tcW w:w="1750" w:type="dxa"/>
            <w:tcMar>
              <w:top w:w="100" w:type="dxa"/>
              <w:left w:w="120" w:type="dxa"/>
              <w:bottom w:w="100" w:type="dxa"/>
              <w:right w:w="120" w:type="dxa"/>
            </w:tcMar>
            <w:vAlign w:val="center"/>
          </w:tcPr>
          <w:p w14:paraId="5B8F733C" w14:textId="77777777" w:rsidR="00D84D0A" w:rsidRDefault="00000000">
            <w:r>
              <w:rPr>
                <w:sz w:val="19"/>
                <w:szCs w:val="19"/>
              </w:rPr>
              <w:t>$14</w:t>
            </w:r>
          </w:p>
        </w:tc>
        <w:tc>
          <w:tcPr>
            <w:tcW w:w="1750" w:type="dxa"/>
            <w:tcMar>
              <w:top w:w="100" w:type="dxa"/>
              <w:left w:w="120" w:type="dxa"/>
              <w:bottom w:w="100" w:type="dxa"/>
              <w:right w:w="120" w:type="dxa"/>
            </w:tcMar>
            <w:vAlign w:val="center"/>
          </w:tcPr>
          <w:p w14:paraId="2944A4EE" w14:textId="77777777" w:rsidR="00D84D0A" w:rsidRDefault="00000000">
            <w:r>
              <w:rPr>
                <w:sz w:val="19"/>
                <w:szCs w:val="19"/>
              </w:rPr>
              <w:t>$87</w:t>
            </w:r>
          </w:p>
        </w:tc>
        <w:tc>
          <w:tcPr>
            <w:tcW w:w="1750" w:type="dxa"/>
            <w:tcMar>
              <w:top w:w="100" w:type="dxa"/>
              <w:left w:w="120" w:type="dxa"/>
              <w:bottom w:w="100" w:type="dxa"/>
              <w:right w:w="120" w:type="dxa"/>
            </w:tcMar>
            <w:vAlign w:val="center"/>
          </w:tcPr>
          <w:p w14:paraId="49781A06" w14:textId="77777777" w:rsidR="00D84D0A" w:rsidRDefault="00000000">
            <w:r>
              <w:rPr>
                <w:sz w:val="19"/>
                <w:szCs w:val="19"/>
              </w:rPr>
              <w:t>Cheapest EU-native frontier option</w:t>
            </w:r>
          </w:p>
        </w:tc>
      </w:tr>
    </w:tbl>
    <w:p w14:paraId="39D6FDD1" w14:textId="77777777" w:rsidR="00D84D0A" w:rsidRDefault="00D84D0A">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25E90324" w14:textId="77777777">
        <w:tblPrEx>
          <w:tblCellMar>
            <w:top w:w="0" w:type="dxa"/>
            <w:bottom w:w="0" w:type="dxa"/>
          </w:tblCellMar>
        </w:tblPrEx>
        <w:tc>
          <w:tcPr>
            <w:tcW w:w="9350" w:type="dxa"/>
            <w:tcBorders>
              <w:top w:val="single" w:sz="4" w:space="0" w:color="1F3B57"/>
              <w:left w:val="single" w:sz="24" w:space="0" w:color="1F3B57"/>
              <w:bottom w:val="single" w:sz="4" w:space="0" w:color="1F3B57"/>
              <w:right w:val="single" w:sz="4" w:space="0" w:color="1F3B57"/>
            </w:tcBorders>
            <w:shd w:val="clear" w:color="auto" w:fill="EEF3F5"/>
            <w:tcMar>
              <w:top w:w="160" w:type="dxa"/>
              <w:left w:w="200" w:type="dxa"/>
              <w:bottom w:w="160" w:type="dxa"/>
              <w:right w:w="200" w:type="dxa"/>
            </w:tcMar>
          </w:tcPr>
          <w:p w14:paraId="07D411C5" w14:textId="77777777" w:rsidR="00D84D0A" w:rsidRDefault="00000000">
            <w:pPr>
              <w:spacing w:after="60"/>
            </w:pPr>
            <w:r>
              <w:rPr>
                <w:b/>
                <w:bCs/>
                <w:color w:val="1F3B57"/>
                <w:sz w:val="18"/>
                <w:szCs w:val="18"/>
              </w:rPr>
              <w:t>KEY INSIGHT</w:t>
            </w:r>
          </w:p>
          <w:p w14:paraId="6DBA7A0C" w14:textId="77777777" w:rsidR="00D84D0A" w:rsidRDefault="00000000">
            <w:r>
              <w:t>Pure model inference cost is negligible in every scenario — even "Heavy" usage across an entire 5-person team lands under €400/year for the model itself. The number that actually matters is infrastructure and integration: a fully managed Azure enterprise RAG stack (Azure AI Search + private networking + storage) realistically runs €500–1,000/month regardless of how little it's used, because those are largely fixed costs — while a leaner, self-built retrieval layer (a small VM or serverless function plus an open-source vector store) can bring that down to roughly €0–50/month at this scale. This is the real cost lever, not which LLM vendor is chosen.</w:t>
            </w:r>
          </w:p>
        </w:tc>
      </w:tr>
    </w:tbl>
    <w:p w14:paraId="772A3B64" w14:textId="77777777" w:rsidR="00D84D0A" w:rsidRDefault="00000000">
      <w:pPr>
        <w:spacing w:before="80" w:after="200"/>
      </w:pPr>
      <w:r>
        <w:rPr>
          <w:i/>
          <w:iCs/>
          <w:color w:val="5B6770"/>
          <w:sz w:val="16"/>
          <w:szCs w:val="16"/>
        </w:rPr>
        <w:t>Infrastructure estimate per nOps' Azure AI Foundry pricing analysis, August 2026 (Appendix 11.3).</w:t>
      </w:r>
    </w:p>
    <w:p w14:paraId="2A3557D3" w14:textId="77777777" w:rsidR="00D84D0A" w:rsidRDefault="00000000">
      <w:pPr>
        <w:pStyle w:val="Heading2"/>
        <w:spacing w:before="320" w:after="140"/>
      </w:pPr>
      <w:r>
        <w:rPr>
          <w:b/>
          <w:bCs/>
          <w:color w:val="1F3B57"/>
          <w:sz w:val="25"/>
          <w:szCs w:val="25"/>
        </w:rPr>
        <w:t>4.4 Integration cost: bringing Azure AI Foundry into this app</w:t>
      </w:r>
    </w:p>
    <w:p w14:paraId="5B771417" w14:textId="77777777" w:rsidR="00D84D0A" w:rsidRDefault="00000000">
      <w:pPr>
        <w:spacing w:after="160"/>
      </w:pPr>
      <w:r>
        <w:t>Azure AI Foundry itself has no platform or hub fee — it's a management layer, and you only pay for the Azure resources provisioned underneath it. What that adds up to depends on which of two paths the team takes.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50"/>
        <w:gridCol w:w="5400"/>
      </w:tblGrid>
      <w:tr w:rsidR="00D84D0A" w14:paraId="6929BC83" w14:textId="77777777">
        <w:tblPrEx>
          <w:tblCellMar>
            <w:top w:w="0" w:type="dxa"/>
            <w:bottom w:w="0" w:type="dxa"/>
          </w:tblCellMar>
        </w:tblPrEx>
        <w:trPr>
          <w:tblHeader/>
        </w:trPr>
        <w:tc>
          <w:tcPr>
            <w:tcW w:w="2300" w:type="dxa"/>
            <w:shd w:val="clear" w:color="auto" w:fill="1F3B57"/>
            <w:tcMar>
              <w:top w:w="100" w:type="dxa"/>
              <w:left w:w="120" w:type="dxa"/>
              <w:bottom w:w="100" w:type="dxa"/>
              <w:right w:w="120" w:type="dxa"/>
            </w:tcMar>
            <w:vAlign w:val="center"/>
          </w:tcPr>
          <w:p w14:paraId="024A996A" w14:textId="77777777" w:rsidR="00D84D0A" w:rsidRDefault="00000000">
            <w:r>
              <w:rPr>
                <w:b/>
                <w:bCs/>
                <w:color w:val="FFFFFF"/>
                <w:sz w:val="19"/>
                <w:szCs w:val="19"/>
              </w:rPr>
              <w:t>Component</w:t>
            </w:r>
          </w:p>
        </w:tc>
        <w:tc>
          <w:tcPr>
            <w:tcW w:w="1650" w:type="dxa"/>
            <w:shd w:val="clear" w:color="auto" w:fill="1F3B57"/>
            <w:tcMar>
              <w:top w:w="100" w:type="dxa"/>
              <w:left w:w="120" w:type="dxa"/>
              <w:bottom w:w="100" w:type="dxa"/>
              <w:right w:w="120" w:type="dxa"/>
            </w:tcMar>
            <w:vAlign w:val="center"/>
          </w:tcPr>
          <w:p w14:paraId="02EC2FEF" w14:textId="77777777" w:rsidR="00D84D0A" w:rsidRDefault="00000000">
            <w:r>
              <w:rPr>
                <w:b/>
                <w:bCs/>
                <w:color w:val="FFFFFF"/>
                <w:sz w:val="19"/>
                <w:szCs w:val="19"/>
              </w:rPr>
              <w:t>Lean-path cost</w:t>
            </w:r>
          </w:p>
        </w:tc>
        <w:tc>
          <w:tcPr>
            <w:tcW w:w="5400" w:type="dxa"/>
            <w:shd w:val="clear" w:color="auto" w:fill="1F3B57"/>
            <w:tcMar>
              <w:top w:w="100" w:type="dxa"/>
              <w:left w:w="120" w:type="dxa"/>
              <w:bottom w:w="100" w:type="dxa"/>
              <w:right w:w="120" w:type="dxa"/>
            </w:tcMar>
            <w:vAlign w:val="center"/>
          </w:tcPr>
          <w:p w14:paraId="39F78EB0" w14:textId="77777777" w:rsidR="00D84D0A" w:rsidRDefault="00000000">
            <w:r>
              <w:rPr>
                <w:b/>
                <w:bCs/>
                <w:color w:val="FFFFFF"/>
                <w:sz w:val="19"/>
                <w:szCs w:val="19"/>
              </w:rPr>
              <w:t>Why</w:t>
            </w:r>
          </w:p>
        </w:tc>
      </w:tr>
      <w:tr w:rsidR="00D84D0A" w14:paraId="41EF7A4C" w14:textId="77777777">
        <w:tblPrEx>
          <w:tblCellMar>
            <w:top w:w="0" w:type="dxa"/>
            <w:bottom w:w="0" w:type="dxa"/>
          </w:tblCellMar>
        </w:tblPrEx>
        <w:tc>
          <w:tcPr>
            <w:tcW w:w="2300" w:type="dxa"/>
            <w:tcMar>
              <w:top w:w="100" w:type="dxa"/>
              <w:left w:w="120" w:type="dxa"/>
              <w:bottom w:w="100" w:type="dxa"/>
              <w:right w:w="120" w:type="dxa"/>
            </w:tcMar>
            <w:vAlign w:val="center"/>
          </w:tcPr>
          <w:p w14:paraId="0131EA33" w14:textId="77777777" w:rsidR="00D84D0A" w:rsidRDefault="00000000">
            <w:r>
              <w:rPr>
                <w:sz w:val="19"/>
                <w:szCs w:val="19"/>
              </w:rPr>
              <w:t>Azure OpenAI model calls (via Foundry)</w:t>
            </w:r>
          </w:p>
        </w:tc>
        <w:tc>
          <w:tcPr>
            <w:tcW w:w="1650" w:type="dxa"/>
            <w:tcMar>
              <w:top w:w="100" w:type="dxa"/>
              <w:left w:w="120" w:type="dxa"/>
              <w:bottom w:w="100" w:type="dxa"/>
              <w:right w:w="120" w:type="dxa"/>
            </w:tcMar>
            <w:vAlign w:val="center"/>
          </w:tcPr>
          <w:p w14:paraId="72F25C9F" w14:textId="77777777" w:rsidR="00D84D0A" w:rsidRDefault="00000000">
            <w:r>
              <w:rPr>
                <w:sz w:val="19"/>
                <w:szCs w:val="19"/>
              </w:rPr>
              <w:t>≈ €1–35/month</w:t>
            </w:r>
          </w:p>
        </w:tc>
        <w:tc>
          <w:tcPr>
            <w:tcW w:w="5400" w:type="dxa"/>
            <w:tcMar>
              <w:top w:w="100" w:type="dxa"/>
              <w:left w:w="120" w:type="dxa"/>
              <w:bottom w:w="100" w:type="dxa"/>
              <w:right w:w="120" w:type="dxa"/>
            </w:tcMar>
            <w:vAlign w:val="center"/>
          </w:tcPr>
          <w:p w14:paraId="56D84582" w14:textId="77777777" w:rsidR="00D84D0A" w:rsidRDefault="00000000">
            <w:r>
              <w:rPr>
                <w:sz w:val="19"/>
                <w:szCs w:val="19"/>
              </w:rPr>
              <w:t>Same Light/Medium token pricing modelled in Section 4.3 — negligible at this volume</w:t>
            </w:r>
          </w:p>
        </w:tc>
      </w:tr>
      <w:tr w:rsidR="00D84D0A" w14:paraId="271A9F35" w14:textId="77777777">
        <w:tblPrEx>
          <w:tblCellMar>
            <w:top w:w="0" w:type="dxa"/>
            <w:bottom w:w="0" w:type="dxa"/>
          </w:tblCellMar>
        </w:tblPrEx>
        <w:tc>
          <w:tcPr>
            <w:tcW w:w="2300" w:type="dxa"/>
            <w:shd w:val="clear" w:color="auto" w:fill="EEF3F5"/>
            <w:tcMar>
              <w:top w:w="100" w:type="dxa"/>
              <w:left w:w="120" w:type="dxa"/>
              <w:bottom w:w="100" w:type="dxa"/>
              <w:right w:w="120" w:type="dxa"/>
            </w:tcMar>
            <w:vAlign w:val="center"/>
          </w:tcPr>
          <w:p w14:paraId="1B3388EF" w14:textId="77777777" w:rsidR="00D84D0A" w:rsidRDefault="00000000">
            <w:r>
              <w:rPr>
                <w:sz w:val="19"/>
                <w:szCs w:val="19"/>
              </w:rPr>
              <w:t>App hosting (Azure Functions, Consumption plan)</w:t>
            </w:r>
          </w:p>
        </w:tc>
        <w:tc>
          <w:tcPr>
            <w:tcW w:w="1650" w:type="dxa"/>
            <w:shd w:val="clear" w:color="auto" w:fill="EEF3F5"/>
            <w:tcMar>
              <w:top w:w="100" w:type="dxa"/>
              <w:left w:w="120" w:type="dxa"/>
              <w:bottom w:w="100" w:type="dxa"/>
              <w:right w:w="120" w:type="dxa"/>
            </w:tcMar>
            <w:vAlign w:val="center"/>
          </w:tcPr>
          <w:p w14:paraId="2318EBB4" w14:textId="77777777" w:rsidR="00D84D0A" w:rsidRDefault="00000000">
            <w:r>
              <w:rPr>
                <w:sz w:val="19"/>
                <w:szCs w:val="19"/>
              </w:rPr>
              <w:t>€0</w:t>
            </w:r>
          </w:p>
        </w:tc>
        <w:tc>
          <w:tcPr>
            <w:tcW w:w="5400" w:type="dxa"/>
            <w:shd w:val="clear" w:color="auto" w:fill="EEF3F5"/>
            <w:tcMar>
              <w:top w:w="100" w:type="dxa"/>
              <w:left w:w="120" w:type="dxa"/>
              <w:bottom w:w="100" w:type="dxa"/>
              <w:right w:w="120" w:type="dxa"/>
            </w:tcMar>
            <w:vAlign w:val="center"/>
          </w:tcPr>
          <w:p w14:paraId="0E1718AF" w14:textId="77777777" w:rsidR="00D84D0A" w:rsidRDefault="00000000">
            <w:r>
              <w:rPr>
                <w:sz w:val="19"/>
                <w:szCs w:val="19"/>
              </w:rPr>
              <w:t>1,000,000 free executions plus 400,000 GB-seconds of compute included every month — a periodic report-generation job won't come close to that</w:t>
            </w:r>
          </w:p>
        </w:tc>
      </w:tr>
      <w:tr w:rsidR="00D84D0A" w14:paraId="209BAA89" w14:textId="77777777">
        <w:tblPrEx>
          <w:tblCellMar>
            <w:top w:w="0" w:type="dxa"/>
            <w:bottom w:w="0" w:type="dxa"/>
          </w:tblCellMar>
        </w:tblPrEx>
        <w:tc>
          <w:tcPr>
            <w:tcW w:w="2300" w:type="dxa"/>
            <w:tcMar>
              <w:top w:w="100" w:type="dxa"/>
              <w:left w:w="120" w:type="dxa"/>
              <w:bottom w:w="100" w:type="dxa"/>
              <w:right w:w="120" w:type="dxa"/>
            </w:tcMar>
            <w:vAlign w:val="center"/>
          </w:tcPr>
          <w:p w14:paraId="435A7F7B" w14:textId="77777777" w:rsidR="00D84D0A" w:rsidRDefault="00000000">
            <w:r>
              <w:rPr>
                <w:sz w:val="19"/>
                <w:szCs w:val="19"/>
              </w:rPr>
              <w:t>Document storage (Blob Storage)</w:t>
            </w:r>
          </w:p>
        </w:tc>
        <w:tc>
          <w:tcPr>
            <w:tcW w:w="1650" w:type="dxa"/>
            <w:tcMar>
              <w:top w:w="100" w:type="dxa"/>
              <w:left w:w="120" w:type="dxa"/>
              <w:bottom w:w="100" w:type="dxa"/>
              <w:right w:w="120" w:type="dxa"/>
            </w:tcMar>
            <w:vAlign w:val="center"/>
          </w:tcPr>
          <w:p w14:paraId="01D9799D" w14:textId="77777777" w:rsidR="00D84D0A" w:rsidRDefault="00000000">
            <w:r>
              <w:rPr>
                <w:sz w:val="19"/>
                <w:szCs w:val="19"/>
              </w:rPr>
              <w:t>Cents/month</w:t>
            </w:r>
          </w:p>
        </w:tc>
        <w:tc>
          <w:tcPr>
            <w:tcW w:w="5400" w:type="dxa"/>
            <w:tcMar>
              <w:top w:w="100" w:type="dxa"/>
              <w:left w:w="120" w:type="dxa"/>
              <w:bottom w:w="100" w:type="dxa"/>
              <w:right w:w="120" w:type="dxa"/>
            </w:tcMar>
            <w:vAlign w:val="center"/>
          </w:tcPr>
          <w:p w14:paraId="0F1B2D0B" w14:textId="77777777" w:rsidR="00D84D0A" w:rsidRDefault="00000000">
            <w:r>
              <w:rPr>
                <w:sz w:val="19"/>
                <w:szCs w:val="19"/>
              </w:rPr>
              <w:t>A few GB of transcripts and datasets</w:t>
            </w:r>
          </w:p>
        </w:tc>
      </w:tr>
      <w:tr w:rsidR="00D84D0A" w14:paraId="7DCAB39E" w14:textId="77777777">
        <w:tblPrEx>
          <w:tblCellMar>
            <w:top w:w="0" w:type="dxa"/>
            <w:bottom w:w="0" w:type="dxa"/>
          </w:tblCellMar>
        </w:tblPrEx>
        <w:tc>
          <w:tcPr>
            <w:tcW w:w="2300" w:type="dxa"/>
            <w:shd w:val="clear" w:color="auto" w:fill="EEF3F5"/>
            <w:tcMar>
              <w:top w:w="100" w:type="dxa"/>
              <w:left w:w="120" w:type="dxa"/>
              <w:bottom w:w="100" w:type="dxa"/>
              <w:right w:w="120" w:type="dxa"/>
            </w:tcMar>
            <w:vAlign w:val="center"/>
          </w:tcPr>
          <w:p w14:paraId="0EEA0258" w14:textId="77777777" w:rsidR="00D84D0A" w:rsidRDefault="00000000">
            <w:r>
              <w:rPr>
                <w:sz w:val="19"/>
                <w:szCs w:val="19"/>
              </w:rPr>
              <w:lastRenderedPageBreak/>
              <w:t>Retrieval index (Azure AI Search, Free F0 tier)</w:t>
            </w:r>
          </w:p>
        </w:tc>
        <w:tc>
          <w:tcPr>
            <w:tcW w:w="1650" w:type="dxa"/>
            <w:shd w:val="clear" w:color="auto" w:fill="EEF3F5"/>
            <w:tcMar>
              <w:top w:w="100" w:type="dxa"/>
              <w:left w:w="120" w:type="dxa"/>
              <w:bottom w:w="100" w:type="dxa"/>
              <w:right w:w="120" w:type="dxa"/>
            </w:tcMar>
            <w:vAlign w:val="center"/>
          </w:tcPr>
          <w:p w14:paraId="4268A2C4" w14:textId="77777777" w:rsidR="00D84D0A" w:rsidRDefault="00000000">
            <w:r>
              <w:rPr>
                <w:sz w:val="19"/>
                <w:szCs w:val="19"/>
              </w:rPr>
              <w:t>€0</w:t>
            </w:r>
          </w:p>
        </w:tc>
        <w:tc>
          <w:tcPr>
            <w:tcW w:w="5400" w:type="dxa"/>
            <w:shd w:val="clear" w:color="auto" w:fill="EEF3F5"/>
            <w:tcMar>
              <w:top w:w="100" w:type="dxa"/>
              <w:left w:w="120" w:type="dxa"/>
              <w:bottom w:w="100" w:type="dxa"/>
              <w:right w:w="120" w:type="dxa"/>
            </w:tcMar>
            <w:vAlign w:val="center"/>
          </w:tcPr>
          <w:p w14:paraId="433906E7" w14:textId="77777777" w:rsidR="00D84D0A" w:rsidRDefault="00000000">
            <w:r>
              <w:rPr>
                <w:sz w:val="19"/>
                <w:szCs w:val="19"/>
              </w:rPr>
              <w:t>A genuinely free tier exists — capped at 50MB storage and 3 indexes, enough to index a handful of research projects' worth of source material for the 4-month build, not a growing multi-year archive</w:t>
            </w:r>
          </w:p>
        </w:tc>
      </w:tr>
      <w:tr w:rsidR="00D84D0A" w14:paraId="5D38BD3C" w14:textId="77777777">
        <w:tblPrEx>
          <w:tblCellMar>
            <w:top w:w="0" w:type="dxa"/>
            <w:bottom w:w="0" w:type="dxa"/>
          </w:tblCellMar>
        </w:tblPrEx>
        <w:tc>
          <w:tcPr>
            <w:tcW w:w="2300" w:type="dxa"/>
            <w:tcMar>
              <w:top w:w="100" w:type="dxa"/>
              <w:left w:w="120" w:type="dxa"/>
              <w:bottom w:w="100" w:type="dxa"/>
              <w:right w:w="120" w:type="dxa"/>
            </w:tcMar>
            <w:vAlign w:val="center"/>
          </w:tcPr>
          <w:p w14:paraId="64599D39" w14:textId="77777777" w:rsidR="00D84D0A" w:rsidRDefault="00000000">
            <w:r>
              <w:rPr>
                <w:sz w:val="19"/>
                <w:szCs w:val="19"/>
              </w:rPr>
              <w:t>Identity / single sign-on (Entra ID)</w:t>
            </w:r>
          </w:p>
        </w:tc>
        <w:tc>
          <w:tcPr>
            <w:tcW w:w="1650" w:type="dxa"/>
            <w:tcMar>
              <w:top w:w="100" w:type="dxa"/>
              <w:left w:w="120" w:type="dxa"/>
              <w:bottom w:w="100" w:type="dxa"/>
              <w:right w:w="120" w:type="dxa"/>
            </w:tcMar>
            <w:vAlign w:val="center"/>
          </w:tcPr>
          <w:p w14:paraId="5CF1720A" w14:textId="77777777" w:rsidR="00D84D0A" w:rsidRDefault="00000000">
            <w:r>
              <w:rPr>
                <w:sz w:val="19"/>
                <w:szCs w:val="19"/>
              </w:rPr>
              <w:t>€0</w:t>
            </w:r>
          </w:p>
        </w:tc>
        <w:tc>
          <w:tcPr>
            <w:tcW w:w="5400" w:type="dxa"/>
            <w:tcMar>
              <w:top w:w="100" w:type="dxa"/>
              <w:left w:w="120" w:type="dxa"/>
              <w:bottom w:w="100" w:type="dxa"/>
              <w:right w:w="120" w:type="dxa"/>
            </w:tcMar>
            <w:vAlign w:val="center"/>
          </w:tcPr>
          <w:p w14:paraId="35B0DDC6" w14:textId="77777777" w:rsidR="00D84D0A" w:rsidRDefault="00000000">
            <w:r>
              <w:rPr>
                <w:sz w:val="19"/>
                <w:szCs w:val="19"/>
              </w:rPr>
              <w:t>InnoBeweegLab's existing Microsoft 365 tenant already includes Entra ID Free — enough for app registration and SSO on a new Azure app. No new identity system, no extra licence.</w:t>
            </w:r>
          </w:p>
        </w:tc>
      </w:tr>
      <w:tr w:rsidR="00D84D0A" w14:paraId="3B01842F" w14:textId="77777777">
        <w:tblPrEx>
          <w:tblCellMar>
            <w:top w:w="0" w:type="dxa"/>
            <w:bottom w:w="0" w:type="dxa"/>
          </w:tblCellMar>
        </w:tblPrEx>
        <w:tc>
          <w:tcPr>
            <w:tcW w:w="2300" w:type="dxa"/>
            <w:shd w:val="clear" w:color="auto" w:fill="EEF3F5"/>
            <w:tcMar>
              <w:top w:w="100" w:type="dxa"/>
              <w:left w:w="120" w:type="dxa"/>
              <w:bottom w:w="100" w:type="dxa"/>
              <w:right w:w="120" w:type="dxa"/>
            </w:tcMar>
            <w:vAlign w:val="center"/>
          </w:tcPr>
          <w:p w14:paraId="64C08B80" w14:textId="77777777" w:rsidR="00D84D0A" w:rsidRDefault="00000000">
            <w:r>
              <w:rPr>
                <w:sz w:val="19"/>
                <w:szCs w:val="19"/>
              </w:rPr>
              <w:t>Private networking</w:t>
            </w:r>
          </w:p>
        </w:tc>
        <w:tc>
          <w:tcPr>
            <w:tcW w:w="1650" w:type="dxa"/>
            <w:shd w:val="clear" w:color="auto" w:fill="EEF3F5"/>
            <w:tcMar>
              <w:top w:w="100" w:type="dxa"/>
              <w:left w:w="120" w:type="dxa"/>
              <w:bottom w:w="100" w:type="dxa"/>
              <w:right w:w="120" w:type="dxa"/>
            </w:tcMar>
            <w:vAlign w:val="center"/>
          </w:tcPr>
          <w:p w14:paraId="49B48C22" w14:textId="77777777" w:rsidR="00D84D0A" w:rsidRDefault="00000000">
            <w:r>
              <w:rPr>
                <w:sz w:val="19"/>
                <w:szCs w:val="19"/>
              </w:rPr>
              <w:t>€0 (skipped)</w:t>
            </w:r>
          </w:p>
        </w:tc>
        <w:tc>
          <w:tcPr>
            <w:tcW w:w="5400" w:type="dxa"/>
            <w:shd w:val="clear" w:color="auto" w:fill="EEF3F5"/>
            <w:tcMar>
              <w:top w:w="100" w:type="dxa"/>
              <w:left w:w="120" w:type="dxa"/>
              <w:bottom w:w="100" w:type="dxa"/>
              <w:right w:w="120" w:type="dxa"/>
            </w:tcMar>
            <w:vAlign w:val="center"/>
          </w:tcPr>
          <w:p w14:paraId="2E70DE00" w14:textId="77777777" w:rsidR="00D84D0A" w:rsidRDefault="00000000">
            <w:r>
              <w:rPr>
                <w:sz w:val="19"/>
                <w:szCs w:val="19"/>
              </w:rPr>
              <w:t>Not required at this scale — a public endpoint with an API key or managed identity plus IP restrictions is secure enough for a prototype</w:t>
            </w:r>
          </w:p>
        </w:tc>
      </w:tr>
    </w:tbl>
    <w:p w14:paraId="4438E547" w14:textId="77777777" w:rsidR="00D84D0A" w:rsidRDefault="00D84D0A">
      <w:pPr>
        <w:spacing w:after="80"/>
      </w:pPr>
    </w:p>
    <w:p w14:paraId="55C0A557" w14:textId="77777777" w:rsidR="00D84D0A" w:rsidRDefault="00000000">
      <w:pPr>
        <w:spacing w:after="200"/>
      </w:pPr>
      <w:r>
        <w:rPr>
          <w:b/>
          <w:bCs/>
        </w:rPr>
        <w:t xml:space="preserve">Lean-path total: roughly €5–50/month. </w:t>
      </w:r>
      <w:r>
        <w:t>That's the realistic number for InnoBeweegLab's actual scale, not the €500–1,000+/month figure quoted in Section 4.3 and in most published Azure cost breakdowns — that higher figure assumes a fully managed, production-hardened stack (Azure AI Search Basic tier at roughly €150–300/month, private endpoints on every service at roughly €40–65/month, higher-tier monitoring and redundancy). That tier buys SLA guarantees and headroom for growth; a 4-month capstone prototype doesn't need it yet, and Section 10.3 recommends not building it until adoption is proven.</w:t>
      </w:r>
    </w:p>
    <w:p w14:paraId="5A93DE8F" w14:textId="77777777" w:rsidR="00D84D0A" w:rsidRDefault="00000000">
      <w:pPr>
        <w:pStyle w:val="Heading3"/>
        <w:spacing w:before="220" w:after="100"/>
      </w:pPr>
      <w:r>
        <w:rPr>
          <w:b/>
          <w:bCs/>
          <w:color w:val="2C7A7B"/>
          <w:sz w:val="22"/>
          <w:szCs w:val="22"/>
        </w:rPr>
        <w:t>What "already using Microsoft" does and doesn't buy</w:t>
      </w:r>
    </w:p>
    <w:p w14:paraId="75CDF9A0" w14:textId="77777777" w:rsidR="00D84D0A" w:rsidRDefault="00000000">
      <w:pPr>
        <w:pStyle w:val="ListParagraph"/>
        <w:numPr>
          <w:ilvl w:val="0"/>
          <w:numId w:val="2"/>
        </w:numPr>
        <w:spacing w:after="90"/>
      </w:pPr>
      <w:r>
        <w:rPr>
          <w:b/>
          <w:bCs/>
        </w:rPr>
        <w:t xml:space="preserve">Does: </w:t>
      </w:r>
      <w:r>
        <w:t>free reuse of the existing Entra ID tenant for SSO (above), and — if InnoBeweegLab or a parent institution already holds an Azure subscription or Enterprise Agreement — one existing billing relationship and no new vendor security review to get through. Worth asking InnoBeweegLab's IT contact, not assuming.</w:t>
      </w:r>
    </w:p>
    <w:p w14:paraId="79EE5B9E" w14:textId="77777777" w:rsidR="00D84D0A" w:rsidRDefault="00000000">
      <w:pPr>
        <w:pStyle w:val="ListParagraph"/>
        <w:numPr>
          <w:ilvl w:val="0"/>
          <w:numId w:val="2"/>
        </w:numPr>
        <w:spacing w:after="90"/>
      </w:pPr>
      <w:r>
        <w:rPr>
          <w:b/>
          <w:bCs/>
        </w:rPr>
        <w:t xml:space="preserve">Doesn't: </w:t>
      </w:r>
      <w:r>
        <w:t>any discount on Azure OpenAI's per-token pricing, which is published and fixed regardless of other Microsoft licences held — and it doesn't mean Microsoft 365 Copilot licences convert into Azure Foundry credit (see Section 1).</w:t>
      </w:r>
    </w:p>
    <w:p w14:paraId="483DBD33" w14:textId="77777777" w:rsidR="00D84D0A" w:rsidRDefault="00000000">
      <w:pPr>
        <w:spacing w:after="200"/>
      </w:pPr>
      <w:r>
        <w:t>One more practical point: Azure OpenAI's API surface closely mirrors OpenAI's own, so if the team builds the provider-agnostic abstraction layer already recommended (Section 10.1), pointing it at Azure instead of calling OpenAI or Anthropic directly is mostly a configuration and authentication change — a different endpoint URL and an API key or managed identity — not a rewrite.</w:t>
      </w:r>
    </w:p>
    <w:p w14:paraId="039030A9" w14:textId="77777777" w:rsidR="00D84D0A" w:rsidRDefault="00000000">
      <w:pPr>
        <w:spacing w:before="80" w:after="200"/>
      </w:pPr>
      <w:r>
        <w:rPr>
          <w:i/>
          <w:iCs/>
          <w:color w:val="5B6770"/>
          <w:sz w:val="16"/>
          <w:szCs w:val="16"/>
        </w:rPr>
        <w:t>Sources: Azure Functions pricing and Azure AI Search service limits (Microsoft Learn, official docs); Microsoft Entra ID Free (Microsoft Learn); nOps Azure AI Foundry cost breakdown, August 2026. Full list in Appendix 11.3.</w:t>
      </w:r>
    </w:p>
    <w:p w14:paraId="4DA782C9" w14:textId="77777777" w:rsidR="00D84D0A" w:rsidRDefault="00000000">
      <w:r>
        <w:br w:type="page"/>
      </w:r>
    </w:p>
    <w:p w14:paraId="2E51261F" w14:textId="77777777" w:rsidR="00D84D0A" w:rsidRDefault="00000000">
      <w:pPr>
        <w:pStyle w:val="Heading1"/>
        <w:pBdr>
          <w:bottom w:val="single" w:sz="8" w:space="4" w:color="2C7A7B"/>
        </w:pBdr>
        <w:spacing w:before="420" w:after="200"/>
      </w:pPr>
      <w:r>
        <w:rPr>
          <w:b/>
          <w:bCs/>
          <w:color w:val="1F3B57"/>
          <w:sz w:val="30"/>
          <w:szCs w:val="30"/>
        </w:rPr>
        <w:lastRenderedPageBreak/>
        <w:t>5. Data residency &amp; GDPR assessment</w:t>
      </w:r>
    </w:p>
    <w:p w14:paraId="7A304993" w14:textId="77777777" w:rsidR="00D84D0A" w:rsidRDefault="00000000">
      <w:pPr>
        <w:spacing w:after="160"/>
      </w:pPr>
      <w:r>
        <w:t>This is the section most likely to actually decide the provider, given the data involved: resident survey/interview responses are personal data under GDPR, and some InnoBeweegLab studies may touch health-adjacent (special-category) data through mobility and activity research. This is not the model's problem to solve — it's an architecture and vendor-selection 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100"/>
        <w:gridCol w:w="4800"/>
      </w:tblGrid>
      <w:tr w:rsidR="00D84D0A" w14:paraId="27C79679" w14:textId="77777777">
        <w:tblPrEx>
          <w:tblCellMar>
            <w:top w:w="0" w:type="dxa"/>
            <w:bottom w:w="0" w:type="dxa"/>
          </w:tblCellMar>
        </w:tblPrEx>
        <w:trPr>
          <w:tblHeader/>
        </w:trPr>
        <w:tc>
          <w:tcPr>
            <w:tcW w:w="2450" w:type="dxa"/>
            <w:shd w:val="clear" w:color="auto" w:fill="1F3B57"/>
            <w:tcMar>
              <w:top w:w="100" w:type="dxa"/>
              <w:left w:w="120" w:type="dxa"/>
              <w:bottom w:w="100" w:type="dxa"/>
              <w:right w:w="120" w:type="dxa"/>
            </w:tcMar>
            <w:vAlign w:val="center"/>
          </w:tcPr>
          <w:p w14:paraId="29839632" w14:textId="77777777" w:rsidR="00D84D0A" w:rsidRDefault="00000000">
            <w:r>
              <w:rPr>
                <w:b/>
                <w:bCs/>
                <w:color w:val="FFFFFF"/>
                <w:sz w:val="19"/>
                <w:szCs w:val="19"/>
              </w:rPr>
              <w:t>Provider / route</w:t>
            </w:r>
          </w:p>
        </w:tc>
        <w:tc>
          <w:tcPr>
            <w:tcW w:w="2100" w:type="dxa"/>
            <w:shd w:val="clear" w:color="auto" w:fill="1F3B57"/>
            <w:tcMar>
              <w:top w:w="100" w:type="dxa"/>
              <w:left w:w="120" w:type="dxa"/>
              <w:bottom w:w="100" w:type="dxa"/>
              <w:right w:w="120" w:type="dxa"/>
            </w:tcMar>
            <w:vAlign w:val="center"/>
          </w:tcPr>
          <w:p w14:paraId="3825D781" w14:textId="77777777" w:rsidR="00D84D0A" w:rsidRDefault="00000000">
            <w:r>
              <w:rPr>
                <w:b/>
                <w:bCs/>
                <w:color w:val="FFFFFF"/>
                <w:sz w:val="19"/>
                <w:szCs w:val="19"/>
              </w:rPr>
              <w:t>EU data residency</w:t>
            </w:r>
          </w:p>
        </w:tc>
        <w:tc>
          <w:tcPr>
            <w:tcW w:w="4800" w:type="dxa"/>
            <w:shd w:val="clear" w:color="auto" w:fill="1F3B57"/>
            <w:tcMar>
              <w:top w:w="100" w:type="dxa"/>
              <w:left w:w="120" w:type="dxa"/>
              <w:bottom w:w="100" w:type="dxa"/>
              <w:right w:w="120" w:type="dxa"/>
            </w:tcMar>
            <w:vAlign w:val="center"/>
          </w:tcPr>
          <w:p w14:paraId="1EC93373" w14:textId="77777777" w:rsidR="00D84D0A" w:rsidRDefault="00000000">
            <w:r>
              <w:rPr>
                <w:b/>
                <w:bCs/>
                <w:color w:val="FFFFFF"/>
                <w:sz w:val="19"/>
                <w:szCs w:val="19"/>
              </w:rPr>
              <w:t>Notes</w:t>
            </w:r>
          </w:p>
        </w:tc>
      </w:tr>
      <w:tr w:rsidR="00D84D0A" w14:paraId="7D89C16E" w14:textId="77777777">
        <w:tblPrEx>
          <w:tblCellMar>
            <w:top w:w="0" w:type="dxa"/>
            <w:bottom w:w="0" w:type="dxa"/>
          </w:tblCellMar>
        </w:tblPrEx>
        <w:tc>
          <w:tcPr>
            <w:tcW w:w="2450" w:type="dxa"/>
            <w:tcMar>
              <w:top w:w="100" w:type="dxa"/>
              <w:left w:w="120" w:type="dxa"/>
              <w:bottom w:w="100" w:type="dxa"/>
              <w:right w:w="120" w:type="dxa"/>
            </w:tcMar>
            <w:vAlign w:val="center"/>
          </w:tcPr>
          <w:p w14:paraId="2EE475AD" w14:textId="77777777" w:rsidR="00D84D0A" w:rsidRDefault="00000000">
            <w:r>
              <w:rPr>
                <w:sz w:val="19"/>
                <w:szCs w:val="19"/>
              </w:rPr>
              <w:t>Anthropic Claude — direct API</w:t>
            </w:r>
          </w:p>
        </w:tc>
        <w:tc>
          <w:tcPr>
            <w:tcW w:w="2100" w:type="dxa"/>
            <w:tcMar>
              <w:top w:w="100" w:type="dxa"/>
              <w:left w:w="120" w:type="dxa"/>
              <w:bottom w:w="100" w:type="dxa"/>
              <w:right w:w="120" w:type="dxa"/>
            </w:tcMar>
            <w:vAlign w:val="center"/>
          </w:tcPr>
          <w:p w14:paraId="0D833FE6" w14:textId="77777777" w:rsidR="00D84D0A" w:rsidRDefault="00000000">
            <w:r>
              <w:rPr>
                <w:sz w:val="19"/>
                <w:szCs w:val="19"/>
              </w:rPr>
              <w:t>Not guaranteed</w:t>
            </w:r>
          </w:p>
        </w:tc>
        <w:tc>
          <w:tcPr>
            <w:tcW w:w="4800" w:type="dxa"/>
            <w:tcMar>
              <w:top w:w="100" w:type="dxa"/>
              <w:left w:w="120" w:type="dxa"/>
              <w:bottom w:w="100" w:type="dxa"/>
              <w:right w:w="120" w:type="dxa"/>
            </w:tcMar>
            <w:vAlign w:val="center"/>
          </w:tcPr>
          <w:p w14:paraId="7F370A0E" w14:textId="77777777" w:rsidR="00D84D0A" w:rsidRDefault="00000000">
            <w:r>
              <w:rPr>
                <w:sz w:val="19"/>
                <w:szCs w:val="19"/>
              </w:rPr>
              <w:t>No native EU region on the first-party API. EU residency requires routing through AWS Bedrock (Frankfurt/Ireland/Paris) or Google Cloud Vertex AI EU regions instead.</w:t>
            </w:r>
          </w:p>
        </w:tc>
      </w:tr>
      <w:tr w:rsidR="00D84D0A" w14:paraId="1778B277"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28CE8D07" w14:textId="77777777" w:rsidR="00D84D0A" w:rsidRDefault="00000000">
            <w:r>
              <w:rPr>
                <w:sz w:val="19"/>
                <w:szCs w:val="19"/>
              </w:rPr>
              <w:t>OpenAI — direct API</w:t>
            </w:r>
          </w:p>
        </w:tc>
        <w:tc>
          <w:tcPr>
            <w:tcW w:w="2100" w:type="dxa"/>
            <w:shd w:val="clear" w:color="auto" w:fill="EEF3F5"/>
            <w:tcMar>
              <w:top w:w="100" w:type="dxa"/>
              <w:left w:w="120" w:type="dxa"/>
              <w:bottom w:w="100" w:type="dxa"/>
              <w:right w:w="120" w:type="dxa"/>
            </w:tcMar>
            <w:vAlign w:val="center"/>
          </w:tcPr>
          <w:p w14:paraId="170506F5" w14:textId="77777777" w:rsidR="00D84D0A" w:rsidRDefault="00000000">
            <w:r>
              <w:rPr>
                <w:sz w:val="19"/>
                <w:szCs w:val="19"/>
              </w:rPr>
              <w:t>Optional, +10%</w:t>
            </w:r>
          </w:p>
        </w:tc>
        <w:tc>
          <w:tcPr>
            <w:tcW w:w="4800" w:type="dxa"/>
            <w:shd w:val="clear" w:color="auto" w:fill="EEF3F5"/>
            <w:tcMar>
              <w:top w:w="100" w:type="dxa"/>
              <w:left w:w="120" w:type="dxa"/>
              <w:bottom w:w="100" w:type="dxa"/>
              <w:right w:w="120" w:type="dxa"/>
            </w:tcMar>
            <w:vAlign w:val="center"/>
          </w:tcPr>
          <w:p w14:paraId="36E8AE6F" w14:textId="77777777" w:rsidR="00D84D0A" w:rsidRDefault="00000000">
            <w:r>
              <w:rPr>
                <w:sz w:val="19"/>
                <w:szCs w:val="19"/>
              </w:rPr>
              <w:t>OpenAI offers a data-residency setting at a price premium; otherwise processing defaults outside the EU.</w:t>
            </w:r>
          </w:p>
        </w:tc>
      </w:tr>
      <w:tr w:rsidR="00D84D0A" w14:paraId="3E500677" w14:textId="77777777">
        <w:tblPrEx>
          <w:tblCellMar>
            <w:top w:w="0" w:type="dxa"/>
            <w:bottom w:w="0" w:type="dxa"/>
          </w:tblCellMar>
        </w:tblPrEx>
        <w:tc>
          <w:tcPr>
            <w:tcW w:w="2450" w:type="dxa"/>
            <w:tcMar>
              <w:top w:w="100" w:type="dxa"/>
              <w:left w:w="120" w:type="dxa"/>
              <w:bottom w:w="100" w:type="dxa"/>
              <w:right w:w="120" w:type="dxa"/>
            </w:tcMar>
            <w:vAlign w:val="center"/>
          </w:tcPr>
          <w:p w14:paraId="0C63466A" w14:textId="77777777" w:rsidR="00D84D0A" w:rsidRDefault="00000000">
            <w:r>
              <w:rPr>
                <w:sz w:val="19"/>
                <w:szCs w:val="19"/>
              </w:rPr>
              <w:t>Azure OpenAI (native, via Azure AI Foundry)</w:t>
            </w:r>
          </w:p>
        </w:tc>
        <w:tc>
          <w:tcPr>
            <w:tcW w:w="2100" w:type="dxa"/>
            <w:tcMar>
              <w:top w:w="100" w:type="dxa"/>
              <w:left w:w="120" w:type="dxa"/>
              <w:bottom w:w="100" w:type="dxa"/>
              <w:right w:w="120" w:type="dxa"/>
            </w:tcMar>
            <w:vAlign w:val="center"/>
          </w:tcPr>
          <w:p w14:paraId="57911969" w14:textId="77777777" w:rsidR="00D84D0A" w:rsidRDefault="00000000">
            <w:r>
              <w:rPr>
                <w:sz w:val="19"/>
                <w:szCs w:val="19"/>
              </w:rPr>
              <w:t>Yes</w:t>
            </w:r>
          </w:p>
        </w:tc>
        <w:tc>
          <w:tcPr>
            <w:tcW w:w="4800" w:type="dxa"/>
            <w:tcMar>
              <w:top w:w="100" w:type="dxa"/>
              <w:left w:w="120" w:type="dxa"/>
              <w:bottom w:w="100" w:type="dxa"/>
              <w:right w:w="120" w:type="dxa"/>
            </w:tcMar>
            <w:vAlign w:val="center"/>
          </w:tcPr>
          <w:p w14:paraId="7488C73B" w14:textId="77777777" w:rsidR="00D84D0A" w:rsidRDefault="00000000">
            <w:r>
              <w:rPr>
                <w:sz w:val="19"/>
                <w:szCs w:val="19"/>
              </w:rPr>
              <w:t>West Europe (Netherlands) or North Europe (Ireland) regions available with contractual data-residency terms — the most straightforward EU-compliant path if staying inside the Microsoft ecosystem.</w:t>
            </w:r>
          </w:p>
        </w:tc>
      </w:tr>
      <w:tr w:rsidR="00D84D0A" w14:paraId="72A0284E"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1F14C997" w14:textId="77777777" w:rsidR="00D84D0A" w:rsidRDefault="00000000">
            <w:r>
              <w:rPr>
                <w:sz w:val="19"/>
                <w:szCs w:val="19"/>
              </w:rPr>
              <w:t>Claude on Microsoft Foundry (specifically)</w:t>
            </w:r>
          </w:p>
        </w:tc>
        <w:tc>
          <w:tcPr>
            <w:tcW w:w="2100" w:type="dxa"/>
            <w:shd w:val="clear" w:color="auto" w:fill="EEF3F5"/>
            <w:tcMar>
              <w:top w:w="100" w:type="dxa"/>
              <w:left w:w="120" w:type="dxa"/>
              <w:bottom w:w="100" w:type="dxa"/>
              <w:right w:w="120" w:type="dxa"/>
            </w:tcMar>
            <w:vAlign w:val="center"/>
          </w:tcPr>
          <w:p w14:paraId="7B866ED5" w14:textId="77777777" w:rsidR="00D84D0A" w:rsidRDefault="00000000">
            <w:r>
              <w:rPr>
                <w:sz w:val="19"/>
                <w:szCs w:val="19"/>
              </w:rPr>
              <w:t>No</w:t>
            </w:r>
          </w:p>
        </w:tc>
        <w:tc>
          <w:tcPr>
            <w:tcW w:w="4800" w:type="dxa"/>
            <w:shd w:val="clear" w:color="auto" w:fill="EEF3F5"/>
            <w:tcMar>
              <w:top w:w="100" w:type="dxa"/>
              <w:left w:w="120" w:type="dxa"/>
              <w:bottom w:w="100" w:type="dxa"/>
              <w:right w:w="120" w:type="dxa"/>
            </w:tcMar>
            <w:vAlign w:val="center"/>
          </w:tcPr>
          <w:p w14:paraId="6F56DE6F" w14:textId="77777777" w:rsidR="00D84D0A" w:rsidRDefault="00000000">
            <w:r>
              <w:rPr>
                <w:sz w:val="19"/>
                <w:szCs w:val="19"/>
              </w:rPr>
              <w:t>Reached general availability mid-2026 but with zero EU deployment regions as of this writing — flagged by third-party analysis as not currently a compliant choice for GDPR personal data. Do not route resident data through this specific combination.</w:t>
            </w:r>
          </w:p>
        </w:tc>
      </w:tr>
      <w:tr w:rsidR="00D84D0A" w14:paraId="7E26CF56" w14:textId="77777777">
        <w:tblPrEx>
          <w:tblCellMar>
            <w:top w:w="0" w:type="dxa"/>
            <w:bottom w:w="0" w:type="dxa"/>
          </w:tblCellMar>
        </w:tblPrEx>
        <w:tc>
          <w:tcPr>
            <w:tcW w:w="2450" w:type="dxa"/>
            <w:tcMar>
              <w:top w:w="100" w:type="dxa"/>
              <w:left w:w="120" w:type="dxa"/>
              <w:bottom w:w="100" w:type="dxa"/>
              <w:right w:w="120" w:type="dxa"/>
            </w:tcMar>
            <w:vAlign w:val="center"/>
          </w:tcPr>
          <w:p w14:paraId="05372C67" w14:textId="77777777" w:rsidR="00D84D0A" w:rsidRDefault="00000000">
            <w:r>
              <w:rPr>
                <w:sz w:val="19"/>
                <w:szCs w:val="19"/>
              </w:rPr>
              <w:t>Mistral AI</w:t>
            </w:r>
          </w:p>
        </w:tc>
        <w:tc>
          <w:tcPr>
            <w:tcW w:w="2100" w:type="dxa"/>
            <w:tcMar>
              <w:top w:w="100" w:type="dxa"/>
              <w:left w:w="120" w:type="dxa"/>
              <w:bottom w:w="100" w:type="dxa"/>
              <w:right w:w="120" w:type="dxa"/>
            </w:tcMar>
            <w:vAlign w:val="center"/>
          </w:tcPr>
          <w:p w14:paraId="30AF2CD5" w14:textId="77777777" w:rsidR="00D84D0A" w:rsidRDefault="00000000">
            <w:r>
              <w:rPr>
                <w:sz w:val="19"/>
                <w:szCs w:val="19"/>
              </w:rPr>
              <w:t>Yes, by default</w:t>
            </w:r>
          </w:p>
        </w:tc>
        <w:tc>
          <w:tcPr>
            <w:tcW w:w="4800" w:type="dxa"/>
            <w:tcMar>
              <w:top w:w="100" w:type="dxa"/>
              <w:left w:w="120" w:type="dxa"/>
              <w:bottom w:w="100" w:type="dxa"/>
              <w:right w:w="120" w:type="dxa"/>
            </w:tcMar>
            <w:vAlign w:val="center"/>
          </w:tcPr>
          <w:p w14:paraId="4B57B0CF" w14:textId="77777777" w:rsidR="00D84D0A" w:rsidRDefault="00000000">
            <w:r>
              <w:rPr>
                <w:sz w:val="19"/>
                <w:szCs w:val="19"/>
              </w:rPr>
              <w:t>EU/French company and infrastructure; the most "sovereignty-first" option of those reviewed, with no special configuration needed.</w:t>
            </w:r>
          </w:p>
        </w:tc>
      </w:tr>
      <w:tr w:rsidR="00D84D0A" w14:paraId="2C13B957"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31ED03CA" w14:textId="77777777" w:rsidR="00D84D0A" w:rsidRDefault="00000000">
            <w:r>
              <w:rPr>
                <w:sz w:val="19"/>
                <w:szCs w:val="19"/>
              </w:rPr>
              <w:t>Self-hosted</w:t>
            </w:r>
          </w:p>
        </w:tc>
        <w:tc>
          <w:tcPr>
            <w:tcW w:w="2100" w:type="dxa"/>
            <w:shd w:val="clear" w:color="auto" w:fill="EEF3F5"/>
            <w:tcMar>
              <w:top w:w="100" w:type="dxa"/>
              <w:left w:w="120" w:type="dxa"/>
              <w:bottom w:w="100" w:type="dxa"/>
              <w:right w:w="120" w:type="dxa"/>
            </w:tcMar>
            <w:vAlign w:val="center"/>
          </w:tcPr>
          <w:p w14:paraId="6CB72549" w14:textId="77777777" w:rsidR="00D84D0A" w:rsidRDefault="00000000">
            <w:r>
              <w:rPr>
                <w:sz w:val="19"/>
                <w:szCs w:val="19"/>
              </w:rPr>
              <w:t>Yes, fully</w:t>
            </w:r>
          </w:p>
        </w:tc>
        <w:tc>
          <w:tcPr>
            <w:tcW w:w="4800" w:type="dxa"/>
            <w:shd w:val="clear" w:color="auto" w:fill="EEF3F5"/>
            <w:tcMar>
              <w:top w:w="100" w:type="dxa"/>
              <w:left w:w="120" w:type="dxa"/>
              <w:bottom w:w="100" w:type="dxa"/>
              <w:right w:w="120" w:type="dxa"/>
            </w:tcMar>
            <w:vAlign w:val="center"/>
          </w:tcPr>
          <w:p w14:paraId="491E579B" w14:textId="77777777" w:rsidR="00D84D0A" w:rsidRDefault="00000000">
            <w:r>
              <w:rPr>
                <w:sz w:val="19"/>
                <w:szCs w:val="19"/>
              </w:rPr>
              <w:t>Data never leaves InnoBeweegLab-controlled infrastructure — strongest possible compliance posture, at the operational cost described in Section 3.5.</w:t>
            </w:r>
          </w:p>
        </w:tc>
      </w:tr>
    </w:tbl>
    <w:p w14:paraId="0BBA04E4" w14:textId="77777777" w:rsidR="00D84D0A" w:rsidRDefault="00D84D0A">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151100E8" w14:textId="77777777">
        <w:tblPrEx>
          <w:tblCellMar>
            <w:top w:w="0" w:type="dxa"/>
            <w:bottom w:w="0" w:type="dxa"/>
          </w:tblCellMar>
        </w:tblPrEx>
        <w:tc>
          <w:tcPr>
            <w:tcW w:w="9350" w:type="dxa"/>
            <w:tcBorders>
              <w:top w:val="single" w:sz="4" w:space="0" w:color="9B2C2C"/>
              <w:left w:val="single" w:sz="24" w:space="0" w:color="9B2C2C"/>
              <w:bottom w:val="single" w:sz="4" w:space="0" w:color="9B2C2C"/>
              <w:right w:val="single" w:sz="4" w:space="0" w:color="9B2C2C"/>
            </w:tcBorders>
            <w:shd w:val="clear" w:color="auto" w:fill="EEF3F5"/>
            <w:tcMar>
              <w:top w:w="160" w:type="dxa"/>
              <w:left w:w="200" w:type="dxa"/>
              <w:bottom w:w="160" w:type="dxa"/>
              <w:right w:w="200" w:type="dxa"/>
            </w:tcMar>
          </w:tcPr>
          <w:p w14:paraId="7A5A60D6" w14:textId="77777777" w:rsidR="00D84D0A" w:rsidRDefault="00000000">
            <w:pPr>
              <w:spacing w:after="60"/>
            </w:pPr>
            <w:r>
              <w:rPr>
                <w:b/>
                <w:bCs/>
                <w:color w:val="9B2C2C"/>
                <w:sz w:val="18"/>
                <w:szCs w:val="18"/>
              </w:rPr>
              <w:t>PRACTICAL RECOMMENDATION</w:t>
            </w:r>
          </w:p>
          <w:p w14:paraId="7841F2EA" w14:textId="77777777" w:rsidR="00D84D0A" w:rsidRDefault="00000000">
            <w:r>
              <w:t>Practical rule for the prototype: anonymise/pseudonymise resident data before it reaches any cloud LLM wherever possible (strip names, addresses, precise locations before sending transcripts for analysis), regardless of provider — this is good practice independent of the vendor decision and reduces risk under every option above. For any step that must see identifiable resident data, prefer Azure OpenAI in a West Europe region or Mistral AI; avoid first-party Claude/OpenAI API calls and avoid Claude-on-Foundry for that specific step until their EU residency options mature.</w:t>
            </w:r>
          </w:p>
        </w:tc>
      </w:tr>
    </w:tbl>
    <w:p w14:paraId="485C8E89" w14:textId="77777777" w:rsidR="00D84D0A" w:rsidRDefault="00000000">
      <w:r>
        <w:br w:type="page"/>
      </w:r>
    </w:p>
    <w:p w14:paraId="21D4F7D6" w14:textId="77777777" w:rsidR="00D84D0A" w:rsidRDefault="00000000">
      <w:pPr>
        <w:pStyle w:val="Heading1"/>
        <w:pBdr>
          <w:bottom w:val="single" w:sz="8" w:space="4" w:color="2C7A7B"/>
        </w:pBdr>
        <w:spacing w:before="420" w:after="200"/>
      </w:pPr>
      <w:r>
        <w:rPr>
          <w:b/>
          <w:bCs/>
          <w:color w:val="1F3B57"/>
          <w:sz w:val="30"/>
          <w:szCs w:val="30"/>
        </w:rPr>
        <w:lastRenderedPageBreak/>
        <w:t>6. Zero-cost options in practice</w:t>
      </w:r>
    </w:p>
    <w:p w14:paraId="02348CF6" w14:textId="77777777" w:rsidR="00D84D0A" w:rsidRDefault="00000000">
      <w:pPr>
        <w:spacing w:after="160"/>
      </w:pPr>
      <w:r>
        <w:t>Section 4 priced the paid, pay-as-you-go routes — and showed they're cheap. If the constraint is literal — nothing to spend, not even the small amounts modelled there — there is a genuine zero-cost stack, in three categories: running a model on hardware the team already owns, free (not just cheap, and not a time-limited trial) hosted API tiers, and free manual chat tools researchers can use without any engineering. Section 6.4 is the rule that applies to all of them.</w:t>
      </w:r>
    </w:p>
    <w:p w14:paraId="35106008" w14:textId="77777777" w:rsidR="00D84D0A" w:rsidRDefault="00000000">
      <w:pPr>
        <w:pStyle w:val="Heading2"/>
        <w:spacing w:before="320" w:after="140"/>
      </w:pPr>
      <w:r>
        <w:rPr>
          <w:b/>
          <w:bCs/>
          <w:color w:val="1F3B57"/>
          <w:sz w:val="25"/>
          <w:szCs w:val="25"/>
        </w:rPr>
        <w:t>6.1 Free local self-hosting</w:t>
      </w:r>
    </w:p>
    <w:p w14:paraId="5040E242" w14:textId="77777777" w:rsidR="00D84D0A" w:rsidRDefault="00000000">
      <w:pPr>
        <w:spacing w:after="160"/>
      </w:pPr>
      <w:r>
        <w:t>Free tools (Ollama, or LM Studio for a graphical interface) run open-weight models on whatever hardware is available, at zero licensing cost. What fits depends on the machine: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3350"/>
      </w:tblGrid>
      <w:tr w:rsidR="00D84D0A" w14:paraId="7884D638" w14:textId="77777777">
        <w:tblPrEx>
          <w:tblCellMar>
            <w:top w:w="0" w:type="dxa"/>
            <w:bottom w:w="0" w:type="dxa"/>
          </w:tblCellMar>
        </w:tblPrEx>
        <w:trPr>
          <w:tblHeader/>
        </w:trPr>
        <w:tc>
          <w:tcPr>
            <w:tcW w:w="3300" w:type="dxa"/>
            <w:shd w:val="clear" w:color="auto" w:fill="1F3B57"/>
            <w:tcMar>
              <w:top w:w="100" w:type="dxa"/>
              <w:left w:w="120" w:type="dxa"/>
              <w:bottom w:w="100" w:type="dxa"/>
              <w:right w:w="120" w:type="dxa"/>
            </w:tcMar>
            <w:vAlign w:val="center"/>
          </w:tcPr>
          <w:p w14:paraId="6434D62A" w14:textId="77777777" w:rsidR="00D84D0A" w:rsidRDefault="00000000">
            <w:r>
              <w:rPr>
                <w:b/>
                <w:bCs/>
                <w:color w:val="FFFFFF"/>
                <w:sz w:val="19"/>
                <w:szCs w:val="19"/>
              </w:rPr>
              <w:t>Hardware</w:t>
            </w:r>
          </w:p>
        </w:tc>
        <w:tc>
          <w:tcPr>
            <w:tcW w:w="2700" w:type="dxa"/>
            <w:shd w:val="clear" w:color="auto" w:fill="1F3B57"/>
            <w:tcMar>
              <w:top w:w="100" w:type="dxa"/>
              <w:left w:w="120" w:type="dxa"/>
              <w:bottom w:w="100" w:type="dxa"/>
              <w:right w:w="120" w:type="dxa"/>
            </w:tcMar>
            <w:vAlign w:val="center"/>
          </w:tcPr>
          <w:p w14:paraId="5A090171" w14:textId="77777777" w:rsidR="00D84D0A" w:rsidRDefault="00000000">
            <w:r>
              <w:rPr>
                <w:b/>
                <w:bCs/>
                <w:color w:val="FFFFFF"/>
                <w:sz w:val="19"/>
                <w:szCs w:val="19"/>
              </w:rPr>
              <w:t>Model that fits</w:t>
            </w:r>
          </w:p>
        </w:tc>
        <w:tc>
          <w:tcPr>
            <w:tcW w:w="3350" w:type="dxa"/>
            <w:shd w:val="clear" w:color="auto" w:fill="1F3B57"/>
            <w:tcMar>
              <w:top w:w="100" w:type="dxa"/>
              <w:left w:w="120" w:type="dxa"/>
              <w:bottom w:w="100" w:type="dxa"/>
              <w:right w:w="120" w:type="dxa"/>
            </w:tcMar>
            <w:vAlign w:val="center"/>
          </w:tcPr>
          <w:p w14:paraId="26893361" w14:textId="77777777" w:rsidR="00D84D0A" w:rsidRDefault="00000000">
            <w:r>
              <w:rPr>
                <w:b/>
                <w:bCs/>
                <w:color w:val="FFFFFF"/>
                <w:sz w:val="19"/>
                <w:szCs w:val="19"/>
              </w:rPr>
              <w:t>Notes</w:t>
            </w:r>
          </w:p>
        </w:tc>
      </w:tr>
      <w:tr w:rsidR="00D84D0A" w14:paraId="3D4CEE22" w14:textId="77777777">
        <w:tblPrEx>
          <w:tblCellMar>
            <w:top w:w="0" w:type="dxa"/>
            <w:bottom w:w="0" w:type="dxa"/>
          </w:tblCellMar>
        </w:tblPrEx>
        <w:tc>
          <w:tcPr>
            <w:tcW w:w="3300" w:type="dxa"/>
            <w:tcMar>
              <w:top w:w="100" w:type="dxa"/>
              <w:left w:w="120" w:type="dxa"/>
              <w:bottom w:w="100" w:type="dxa"/>
              <w:right w:w="120" w:type="dxa"/>
            </w:tcMar>
            <w:vAlign w:val="center"/>
          </w:tcPr>
          <w:p w14:paraId="1B1B1536" w14:textId="77777777" w:rsidR="00D84D0A" w:rsidRDefault="00000000">
            <w:r>
              <w:rPr>
                <w:sz w:val="19"/>
                <w:szCs w:val="19"/>
              </w:rPr>
              <w:t>Typical laptop — 16–32GB RAM, no dedicated GPU</w:t>
            </w:r>
          </w:p>
        </w:tc>
        <w:tc>
          <w:tcPr>
            <w:tcW w:w="2700" w:type="dxa"/>
            <w:tcMar>
              <w:top w:w="100" w:type="dxa"/>
              <w:left w:w="120" w:type="dxa"/>
              <w:bottom w:w="100" w:type="dxa"/>
              <w:right w:w="120" w:type="dxa"/>
            </w:tcMar>
            <w:vAlign w:val="center"/>
          </w:tcPr>
          <w:p w14:paraId="79097D9F" w14:textId="77777777" w:rsidR="00D84D0A" w:rsidRDefault="00000000">
            <w:r>
              <w:rPr>
                <w:sz w:val="19"/>
                <w:szCs w:val="19"/>
              </w:rPr>
              <w:t>Llama 3.1 8B, Qwen3 8B, Phi-4 Mini</w:t>
            </w:r>
          </w:p>
        </w:tc>
        <w:tc>
          <w:tcPr>
            <w:tcW w:w="3350" w:type="dxa"/>
            <w:tcMar>
              <w:top w:w="100" w:type="dxa"/>
              <w:left w:w="120" w:type="dxa"/>
              <w:bottom w:w="100" w:type="dxa"/>
              <w:right w:w="120" w:type="dxa"/>
            </w:tcMar>
            <w:vAlign w:val="center"/>
          </w:tcPr>
          <w:p w14:paraId="7C254820" w14:textId="77777777" w:rsidR="00D84D0A" w:rsidRDefault="00000000">
            <w:r>
              <w:rPr>
                <w:sz w:val="19"/>
                <w:szCs w:val="19"/>
              </w:rPr>
              <w:t>Usable but slow: roughly 12–25 tokens/second on CPU</w:t>
            </w:r>
          </w:p>
        </w:tc>
      </w:tr>
      <w:tr w:rsidR="00D84D0A" w14:paraId="724E0AEF" w14:textId="77777777">
        <w:tblPrEx>
          <w:tblCellMar>
            <w:top w:w="0" w:type="dxa"/>
            <w:bottom w:w="0" w:type="dxa"/>
          </w:tblCellMar>
        </w:tblPrEx>
        <w:tc>
          <w:tcPr>
            <w:tcW w:w="3300" w:type="dxa"/>
            <w:shd w:val="clear" w:color="auto" w:fill="EEF3F5"/>
            <w:tcMar>
              <w:top w:w="100" w:type="dxa"/>
              <w:left w:w="120" w:type="dxa"/>
              <w:bottom w:w="100" w:type="dxa"/>
              <w:right w:w="120" w:type="dxa"/>
            </w:tcMar>
            <w:vAlign w:val="center"/>
          </w:tcPr>
          <w:p w14:paraId="4B586797" w14:textId="77777777" w:rsidR="00D84D0A" w:rsidRDefault="00000000">
            <w:r>
              <w:rPr>
                <w:sz w:val="19"/>
                <w:szCs w:val="19"/>
              </w:rPr>
              <w:t>Gaming GPU (12–16GB+ VRAM) or Apple Silicon (18GB+ unified memory)</w:t>
            </w:r>
          </w:p>
        </w:tc>
        <w:tc>
          <w:tcPr>
            <w:tcW w:w="2700" w:type="dxa"/>
            <w:shd w:val="clear" w:color="auto" w:fill="EEF3F5"/>
            <w:tcMar>
              <w:top w:w="100" w:type="dxa"/>
              <w:left w:w="120" w:type="dxa"/>
              <w:bottom w:w="100" w:type="dxa"/>
              <w:right w:w="120" w:type="dxa"/>
            </w:tcMar>
            <w:vAlign w:val="center"/>
          </w:tcPr>
          <w:p w14:paraId="198AF283" w14:textId="77777777" w:rsidR="00D84D0A" w:rsidRDefault="00000000">
            <w:r>
              <w:rPr>
                <w:sz w:val="19"/>
                <w:szCs w:val="19"/>
              </w:rPr>
              <w:t>Qwen3 14B, Mistral Small 3.1 24B</w:t>
            </w:r>
          </w:p>
        </w:tc>
        <w:tc>
          <w:tcPr>
            <w:tcW w:w="3350" w:type="dxa"/>
            <w:shd w:val="clear" w:color="auto" w:fill="EEF3F5"/>
            <w:tcMar>
              <w:top w:w="100" w:type="dxa"/>
              <w:left w:w="120" w:type="dxa"/>
              <w:bottom w:w="100" w:type="dxa"/>
              <w:right w:w="120" w:type="dxa"/>
            </w:tcMar>
            <w:vAlign w:val="center"/>
          </w:tcPr>
          <w:p w14:paraId="0286393A" w14:textId="77777777" w:rsidR="00D84D0A" w:rsidRDefault="00000000">
            <w:r>
              <w:rPr>
                <w:sz w:val="19"/>
                <w:szCs w:val="19"/>
              </w:rPr>
              <w:t>Noticeably better quality and much faster generation</w:t>
            </w:r>
          </w:p>
        </w:tc>
      </w:tr>
      <w:tr w:rsidR="00D84D0A" w14:paraId="27CB6D7A" w14:textId="77777777">
        <w:tblPrEx>
          <w:tblCellMar>
            <w:top w:w="0" w:type="dxa"/>
            <w:bottom w:w="0" w:type="dxa"/>
          </w:tblCellMar>
        </w:tblPrEx>
        <w:tc>
          <w:tcPr>
            <w:tcW w:w="3300" w:type="dxa"/>
            <w:tcMar>
              <w:top w:w="100" w:type="dxa"/>
              <w:left w:w="120" w:type="dxa"/>
              <w:bottom w:w="100" w:type="dxa"/>
              <w:right w:w="120" w:type="dxa"/>
            </w:tcMar>
            <w:vAlign w:val="center"/>
          </w:tcPr>
          <w:p w14:paraId="37065AC1" w14:textId="77777777" w:rsidR="00D84D0A" w:rsidRDefault="00000000">
            <w:r>
              <w:rPr>
                <w:sz w:val="19"/>
                <w:szCs w:val="19"/>
              </w:rPr>
              <w:t>70B-class models</w:t>
            </w:r>
          </w:p>
        </w:tc>
        <w:tc>
          <w:tcPr>
            <w:tcW w:w="2700" w:type="dxa"/>
            <w:tcMar>
              <w:top w:w="100" w:type="dxa"/>
              <w:left w:w="120" w:type="dxa"/>
              <w:bottom w:w="100" w:type="dxa"/>
              <w:right w:w="120" w:type="dxa"/>
            </w:tcMar>
            <w:vAlign w:val="center"/>
          </w:tcPr>
          <w:p w14:paraId="09D4661F" w14:textId="77777777" w:rsidR="00D84D0A" w:rsidRDefault="00000000">
            <w:r>
              <w:rPr>
                <w:sz w:val="19"/>
                <w:szCs w:val="19"/>
              </w:rPr>
              <w:t>Needs 40GB+ VRAM or 64–128GB unified memory</w:t>
            </w:r>
          </w:p>
        </w:tc>
        <w:tc>
          <w:tcPr>
            <w:tcW w:w="3350" w:type="dxa"/>
            <w:tcMar>
              <w:top w:w="100" w:type="dxa"/>
              <w:left w:w="120" w:type="dxa"/>
              <w:bottom w:w="100" w:type="dxa"/>
              <w:right w:w="120" w:type="dxa"/>
            </w:tcMar>
            <w:vAlign w:val="center"/>
          </w:tcPr>
          <w:p w14:paraId="345E7C18" w14:textId="77777777" w:rsidR="00D84D0A" w:rsidRDefault="00000000">
            <w:r>
              <w:rPr>
                <w:sz w:val="19"/>
                <w:szCs w:val="19"/>
              </w:rPr>
              <w:t>Out of reach for typical student hardware — treat as unavailable for this project</w:t>
            </w:r>
          </w:p>
        </w:tc>
      </w:tr>
    </w:tbl>
    <w:p w14:paraId="4233A31C" w14:textId="77777777" w:rsidR="00D84D0A" w:rsidRDefault="00D84D0A">
      <w:pPr>
        <w:spacing w:after="100"/>
      </w:pPr>
    </w:p>
    <w:p w14:paraId="52052F14" w14:textId="77777777" w:rsidR="00D84D0A" w:rsidRDefault="00000000">
      <w:pPr>
        <w:spacing w:after="160"/>
      </w:pPr>
      <w:r>
        <w:t>For heavier occasional runs, Kaggle gives every account roughly 30 hours/week of free GPU time (a 16GB P100, or a dual-T4 setup with 32GB combined), sessions capped at 9 hours, no credit card. It isn't built for an always-on service — no persistent server, notebook-only, sessions expire — but that fits InnoBeweegLab's actual workflow: report generation is a periodic batch job, not a live chat service, so "spin up a free GPU session, run the batch, shut it down" is a natural match rather than a compromise.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7ECF8CB8" w14:textId="77777777">
        <w:tblPrEx>
          <w:tblCellMar>
            <w:top w:w="0" w:type="dxa"/>
            <w:bottom w:w="0" w:type="dxa"/>
          </w:tblCellMar>
        </w:tblPrEx>
        <w:tc>
          <w:tcPr>
            <w:tcW w:w="9350" w:type="dxa"/>
            <w:tcBorders>
              <w:top w:val="single" w:sz="4" w:space="0" w:color="1F3B57"/>
              <w:left w:val="single" w:sz="24" w:space="0" w:color="1F3B57"/>
              <w:bottom w:val="single" w:sz="4" w:space="0" w:color="1F3B57"/>
              <w:right w:val="single" w:sz="4" w:space="0" w:color="1F3B57"/>
            </w:tcBorders>
            <w:shd w:val="clear" w:color="auto" w:fill="EEF3F5"/>
            <w:tcMar>
              <w:top w:w="160" w:type="dxa"/>
              <w:left w:w="200" w:type="dxa"/>
              <w:bottom w:w="160" w:type="dxa"/>
              <w:right w:w="200" w:type="dxa"/>
            </w:tcMar>
          </w:tcPr>
          <w:p w14:paraId="2BEBFE2A" w14:textId="77777777" w:rsidR="00D84D0A" w:rsidRDefault="00000000">
            <w:pPr>
              <w:spacing w:after="60"/>
            </w:pPr>
            <w:r>
              <w:rPr>
                <w:b/>
                <w:bCs/>
                <w:color w:val="1F3B57"/>
                <w:sz w:val="18"/>
                <w:szCs w:val="18"/>
              </w:rPr>
              <w:t>DESIGN IMPLICATION</w:t>
            </w:r>
          </w:p>
          <w:p w14:paraId="17825A51" w14:textId="77777777" w:rsidR="00D84D0A" w:rsidRDefault="00000000">
            <w:r>
              <w:t>The one place a free local model is the strongest option, not just the cheapest: any pipeline step that touches raw, identifiable resident data. Run locally, that data never crosses the internet — it sidesteps the GDPR/data-residency question in Section 5 rather than managing it. That suggests a genuinely useful design, not just a fallback: run a free local model (Ollama, or a Kaggle batch job) for the early stages — anonymisation, tagging, extracting structured facts from raw transcripts — where data sensitivity matters most and prose quality matters least, then hand only the already-anonymised, structured output to a frontier hosted model for the final drafting and synthesis pass, where writing quality matters most.</w:t>
            </w:r>
          </w:p>
        </w:tc>
      </w:tr>
    </w:tbl>
    <w:p w14:paraId="7B5670FE" w14:textId="77777777" w:rsidR="00D84D0A" w:rsidRDefault="00000000">
      <w:pPr>
        <w:pStyle w:val="Heading2"/>
        <w:spacing w:before="320" w:after="140"/>
      </w:pPr>
      <w:r>
        <w:rPr>
          <w:b/>
          <w:bCs/>
          <w:color w:val="1F3B57"/>
          <w:sz w:val="25"/>
          <w:szCs w:val="25"/>
        </w:rPr>
        <w:t>6.2 Free hosted API tiers</w:t>
      </w:r>
    </w:p>
    <w:p w14:paraId="3E39ADBE" w14:textId="77777777" w:rsidR="00D84D0A" w:rsidRDefault="00000000">
      <w:pPr>
        <w:spacing w:after="160"/>
      </w:pPr>
      <w:r>
        <w:t>These are code-integrable — usable to actually build the pipeline, not just to chat — and free on a renewing basis rather than a one-off trial credit: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700"/>
        <w:gridCol w:w="2450"/>
        <w:gridCol w:w="2550"/>
      </w:tblGrid>
      <w:tr w:rsidR="00D84D0A" w14:paraId="01DC3EB6" w14:textId="77777777">
        <w:tblPrEx>
          <w:tblCellMar>
            <w:top w:w="0" w:type="dxa"/>
            <w:bottom w:w="0" w:type="dxa"/>
          </w:tblCellMar>
        </w:tblPrEx>
        <w:trPr>
          <w:tblHeader/>
        </w:trPr>
        <w:tc>
          <w:tcPr>
            <w:tcW w:w="1650" w:type="dxa"/>
            <w:shd w:val="clear" w:color="auto" w:fill="1F3B57"/>
            <w:tcMar>
              <w:top w:w="100" w:type="dxa"/>
              <w:left w:w="120" w:type="dxa"/>
              <w:bottom w:w="100" w:type="dxa"/>
              <w:right w:w="120" w:type="dxa"/>
            </w:tcMar>
            <w:vAlign w:val="center"/>
          </w:tcPr>
          <w:p w14:paraId="45CB3A66" w14:textId="77777777" w:rsidR="00D84D0A" w:rsidRDefault="00000000">
            <w:r>
              <w:rPr>
                <w:b/>
                <w:bCs/>
                <w:color w:val="FFFFFF"/>
                <w:sz w:val="19"/>
                <w:szCs w:val="19"/>
              </w:rPr>
              <w:t>Provider</w:t>
            </w:r>
          </w:p>
        </w:tc>
        <w:tc>
          <w:tcPr>
            <w:tcW w:w="2700" w:type="dxa"/>
            <w:shd w:val="clear" w:color="auto" w:fill="1F3B57"/>
            <w:tcMar>
              <w:top w:w="100" w:type="dxa"/>
              <w:left w:w="120" w:type="dxa"/>
              <w:bottom w:w="100" w:type="dxa"/>
              <w:right w:w="120" w:type="dxa"/>
            </w:tcMar>
            <w:vAlign w:val="center"/>
          </w:tcPr>
          <w:p w14:paraId="208C35DF" w14:textId="77777777" w:rsidR="00D84D0A" w:rsidRDefault="00000000">
            <w:r>
              <w:rPr>
                <w:b/>
                <w:bCs/>
                <w:color w:val="FFFFFF"/>
                <w:sz w:val="19"/>
                <w:szCs w:val="19"/>
              </w:rPr>
              <w:t>What's free</w:t>
            </w:r>
          </w:p>
        </w:tc>
        <w:tc>
          <w:tcPr>
            <w:tcW w:w="2450" w:type="dxa"/>
            <w:shd w:val="clear" w:color="auto" w:fill="1F3B57"/>
            <w:tcMar>
              <w:top w:w="100" w:type="dxa"/>
              <w:left w:w="120" w:type="dxa"/>
              <w:bottom w:w="100" w:type="dxa"/>
              <w:right w:w="120" w:type="dxa"/>
            </w:tcMar>
            <w:vAlign w:val="center"/>
          </w:tcPr>
          <w:p w14:paraId="3DFB652F" w14:textId="77777777" w:rsidR="00D84D0A" w:rsidRDefault="00000000">
            <w:r>
              <w:rPr>
                <w:b/>
                <w:bCs/>
                <w:color w:val="FFFFFF"/>
                <w:sz w:val="19"/>
                <w:szCs w:val="19"/>
              </w:rPr>
              <w:t>Rate limit</w:t>
            </w:r>
          </w:p>
        </w:tc>
        <w:tc>
          <w:tcPr>
            <w:tcW w:w="2550" w:type="dxa"/>
            <w:shd w:val="clear" w:color="auto" w:fill="1F3B57"/>
            <w:tcMar>
              <w:top w:w="100" w:type="dxa"/>
              <w:left w:w="120" w:type="dxa"/>
              <w:bottom w:w="100" w:type="dxa"/>
              <w:right w:w="120" w:type="dxa"/>
            </w:tcMar>
            <w:vAlign w:val="center"/>
          </w:tcPr>
          <w:p w14:paraId="70658640" w14:textId="77777777" w:rsidR="00D84D0A" w:rsidRDefault="00000000">
            <w:r>
              <w:rPr>
                <w:b/>
                <w:bCs/>
                <w:color w:val="FFFFFF"/>
                <w:sz w:val="19"/>
                <w:szCs w:val="19"/>
              </w:rPr>
              <w:t>The catch</w:t>
            </w:r>
          </w:p>
        </w:tc>
      </w:tr>
      <w:tr w:rsidR="00D84D0A" w14:paraId="64F955BA" w14:textId="77777777">
        <w:tblPrEx>
          <w:tblCellMar>
            <w:top w:w="0" w:type="dxa"/>
            <w:bottom w:w="0" w:type="dxa"/>
          </w:tblCellMar>
        </w:tblPrEx>
        <w:tc>
          <w:tcPr>
            <w:tcW w:w="1650" w:type="dxa"/>
            <w:tcMar>
              <w:top w:w="100" w:type="dxa"/>
              <w:left w:w="120" w:type="dxa"/>
              <w:bottom w:w="100" w:type="dxa"/>
              <w:right w:w="120" w:type="dxa"/>
            </w:tcMar>
            <w:vAlign w:val="center"/>
          </w:tcPr>
          <w:p w14:paraId="795E9086" w14:textId="77777777" w:rsidR="00D84D0A" w:rsidRDefault="00000000">
            <w:r>
              <w:rPr>
                <w:sz w:val="19"/>
                <w:szCs w:val="19"/>
              </w:rPr>
              <w:t>Google AI Studio (Gemini)</w:t>
            </w:r>
          </w:p>
        </w:tc>
        <w:tc>
          <w:tcPr>
            <w:tcW w:w="2700" w:type="dxa"/>
            <w:tcMar>
              <w:top w:w="100" w:type="dxa"/>
              <w:left w:w="120" w:type="dxa"/>
              <w:bottom w:w="100" w:type="dxa"/>
              <w:right w:w="120" w:type="dxa"/>
            </w:tcMar>
            <w:vAlign w:val="center"/>
          </w:tcPr>
          <w:p w14:paraId="3BDB5EAA" w14:textId="77777777" w:rsidR="00D84D0A" w:rsidRDefault="00000000">
            <w:r>
              <w:rPr>
                <w:sz w:val="19"/>
                <w:szCs w:val="19"/>
              </w:rPr>
              <w:t>Gemini 2.5 Flash, Flash-Lite, Pro</w:t>
            </w:r>
          </w:p>
        </w:tc>
        <w:tc>
          <w:tcPr>
            <w:tcW w:w="2450" w:type="dxa"/>
            <w:tcMar>
              <w:top w:w="100" w:type="dxa"/>
              <w:left w:w="120" w:type="dxa"/>
              <w:bottom w:w="100" w:type="dxa"/>
              <w:right w:w="120" w:type="dxa"/>
            </w:tcMar>
            <w:vAlign w:val="center"/>
          </w:tcPr>
          <w:p w14:paraId="69CB856F" w14:textId="77777777" w:rsidR="00D84D0A" w:rsidRDefault="00000000">
            <w:r>
              <w:rPr>
                <w:sz w:val="19"/>
                <w:szCs w:val="19"/>
              </w:rPr>
              <w:t>Flash: ~1,500 requests/day, 1M tokens/minute</w:t>
            </w:r>
          </w:p>
        </w:tc>
        <w:tc>
          <w:tcPr>
            <w:tcW w:w="2550" w:type="dxa"/>
            <w:tcMar>
              <w:top w:w="100" w:type="dxa"/>
              <w:left w:w="120" w:type="dxa"/>
              <w:bottom w:w="100" w:type="dxa"/>
              <w:right w:w="120" w:type="dxa"/>
            </w:tcMar>
            <w:vAlign w:val="center"/>
          </w:tcPr>
          <w:p w14:paraId="3FCADFD2" w14:textId="77777777" w:rsidR="00D84D0A" w:rsidRDefault="00000000">
            <w:r>
              <w:rPr>
                <w:sz w:val="19"/>
                <w:szCs w:val="19"/>
              </w:rPr>
              <w:t>Free-tier prompts can be used to train Google's models — no EU carve-out found. Don't send real resident data.</w:t>
            </w:r>
          </w:p>
        </w:tc>
      </w:tr>
      <w:tr w:rsidR="00D84D0A" w14:paraId="735417CE" w14:textId="77777777">
        <w:tblPrEx>
          <w:tblCellMar>
            <w:top w:w="0" w:type="dxa"/>
            <w:bottom w:w="0" w:type="dxa"/>
          </w:tblCellMar>
        </w:tblPrEx>
        <w:tc>
          <w:tcPr>
            <w:tcW w:w="1650" w:type="dxa"/>
            <w:shd w:val="clear" w:color="auto" w:fill="EEF3F5"/>
            <w:tcMar>
              <w:top w:w="100" w:type="dxa"/>
              <w:left w:w="120" w:type="dxa"/>
              <w:bottom w:w="100" w:type="dxa"/>
              <w:right w:w="120" w:type="dxa"/>
            </w:tcMar>
            <w:vAlign w:val="center"/>
          </w:tcPr>
          <w:p w14:paraId="4C5AA3A0" w14:textId="77777777" w:rsidR="00D84D0A" w:rsidRDefault="00000000">
            <w:r>
              <w:rPr>
                <w:sz w:val="19"/>
                <w:szCs w:val="19"/>
              </w:rPr>
              <w:t>GitHub Models</w:t>
            </w:r>
          </w:p>
        </w:tc>
        <w:tc>
          <w:tcPr>
            <w:tcW w:w="2700" w:type="dxa"/>
            <w:shd w:val="clear" w:color="auto" w:fill="EEF3F5"/>
            <w:tcMar>
              <w:top w:w="100" w:type="dxa"/>
              <w:left w:w="120" w:type="dxa"/>
              <w:bottom w:w="100" w:type="dxa"/>
              <w:right w:w="120" w:type="dxa"/>
            </w:tcMar>
            <w:vAlign w:val="center"/>
          </w:tcPr>
          <w:p w14:paraId="4C440FE9" w14:textId="77777777" w:rsidR="00D84D0A" w:rsidRDefault="00000000">
            <w:r>
              <w:rPr>
                <w:sz w:val="19"/>
                <w:szCs w:val="19"/>
              </w:rPr>
              <w:t>GPT-5 family, Llama 4, Mistral, DeepSeek-R1, Grok — one GitHub account, no card</w:t>
            </w:r>
          </w:p>
        </w:tc>
        <w:tc>
          <w:tcPr>
            <w:tcW w:w="2450" w:type="dxa"/>
            <w:shd w:val="clear" w:color="auto" w:fill="EEF3F5"/>
            <w:tcMar>
              <w:top w:w="100" w:type="dxa"/>
              <w:left w:w="120" w:type="dxa"/>
              <w:bottom w:w="100" w:type="dxa"/>
              <w:right w:w="120" w:type="dxa"/>
            </w:tcMar>
            <w:vAlign w:val="center"/>
          </w:tcPr>
          <w:p w14:paraId="6A232EDD" w14:textId="77777777" w:rsidR="00D84D0A" w:rsidRDefault="00000000">
            <w:r>
              <w:rPr>
                <w:sz w:val="19"/>
                <w:szCs w:val="19"/>
              </w:rPr>
              <w:t>~15 requests/min, 150/day on standard models; far tighter on flagship reasoning models</w:t>
            </w:r>
          </w:p>
        </w:tc>
        <w:tc>
          <w:tcPr>
            <w:tcW w:w="2550" w:type="dxa"/>
            <w:shd w:val="clear" w:color="auto" w:fill="EEF3F5"/>
            <w:tcMar>
              <w:top w:w="100" w:type="dxa"/>
              <w:left w:w="120" w:type="dxa"/>
              <w:bottom w:w="100" w:type="dxa"/>
              <w:right w:w="120" w:type="dxa"/>
            </w:tcMar>
            <w:vAlign w:val="center"/>
          </w:tcPr>
          <w:p w14:paraId="62C9D097" w14:textId="77777777" w:rsidR="00D84D0A" w:rsidRDefault="00000000">
            <w:r>
              <w:rPr>
                <w:sz w:val="19"/>
                <w:szCs w:val="19"/>
              </w:rPr>
              <w:t>No Claude models; limits vary a lot by model</w:t>
            </w:r>
          </w:p>
        </w:tc>
      </w:tr>
      <w:tr w:rsidR="00D84D0A" w14:paraId="407B0A84" w14:textId="77777777">
        <w:tblPrEx>
          <w:tblCellMar>
            <w:top w:w="0" w:type="dxa"/>
            <w:bottom w:w="0" w:type="dxa"/>
          </w:tblCellMar>
        </w:tblPrEx>
        <w:tc>
          <w:tcPr>
            <w:tcW w:w="1650" w:type="dxa"/>
            <w:tcMar>
              <w:top w:w="100" w:type="dxa"/>
              <w:left w:w="120" w:type="dxa"/>
              <w:bottom w:w="100" w:type="dxa"/>
              <w:right w:w="120" w:type="dxa"/>
            </w:tcMar>
            <w:vAlign w:val="center"/>
          </w:tcPr>
          <w:p w14:paraId="7C2229B3" w14:textId="77777777" w:rsidR="00D84D0A" w:rsidRDefault="00000000">
            <w:r>
              <w:rPr>
                <w:sz w:val="19"/>
                <w:szCs w:val="19"/>
              </w:rPr>
              <w:lastRenderedPageBreak/>
              <w:t>Groq</w:t>
            </w:r>
          </w:p>
        </w:tc>
        <w:tc>
          <w:tcPr>
            <w:tcW w:w="2700" w:type="dxa"/>
            <w:tcMar>
              <w:top w:w="100" w:type="dxa"/>
              <w:left w:w="120" w:type="dxa"/>
              <w:bottom w:w="100" w:type="dxa"/>
              <w:right w:w="120" w:type="dxa"/>
            </w:tcMar>
            <w:vAlign w:val="center"/>
          </w:tcPr>
          <w:p w14:paraId="45A6BF93" w14:textId="77777777" w:rsidR="00D84D0A" w:rsidRDefault="00000000">
            <w:r>
              <w:rPr>
                <w:sz w:val="19"/>
                <w:szCs w:val="19"/>
              </w:rPr>
              <w:t>Llama 3.3 70B, GPT-OSS-120B, Qwen3 32B on very fast custom hardware</w:t>
            </w:r>
          </w:p>
        </w:tc>
        <w:tc>
          <w:tcPr>
            <w:tcW w:w="2450" w:type="dxa"/>
            <w:tcMar>
              <w:top w:w="100" w:type="dxa"/>
              <w:left w:w="120" w:type="dxa"/>
              <w:bottom w:w="100" w:type="dxa"/>
              <w:right w:w="120" w:type="dxa"/>
            </w:tcMar>
            <w:vAlign w:val="center"/>
          </w:tcPr>
          <w:p w14:paraId="29103482" w14:textId="77777777" w:rsidR="00D84D0A" w:rsidRDefault="00000000">
            <w:r>
              <w:rPr>
                <w:sz w:val="19"/>
                <w:szCs w:val="19"/>
              </w:rPr>
              <w:t>Up to 14,400 req/day on smaller models, ~1,000/day on larger ones</w:t>
            </w:r>
          </w:p>
        </w:tc>
        <w:tc>
          <w:tcPr>
            <w:tcW w:w="2550" w:type="dxa"/>
            <w:tcMar>
              <w:top w:w="100" w:type="dxa"/>
              <w:left w:w="120" w:type="dxa"/>
              <w:bottom w:w="100" w:type="dxa"/>
              <w:right w:w="120" w:type="dxa"/>
            </w:tcMar>
            <w:vAlign w:val="center"/>
          </w:tcPr>
          <w:p w14:paraId="6DBB2B5A" w14:textId="77777777" w:rsidR="00D84D0A" w:rsidRDefault="00000000">
            <w:r>
              <w:rPr>
                <w:sz w:val="19"/>
                <w:szCs w:val="19"/>
              </w:rPr>
              <w:t>128K context ceiling; quota is organisation-wide, not per key</w:t>
            </w:r>
          </w:p>
        </w:tc>
      </w:tr>
      <w:tr w:rsidR="00D84D0A" w14:paraId="3E19E602" w14:textId="77777777">
        <w:tblPrEx>
          <w:tblCellMar>
            <w:top w:w="0" w:type="dxa"/>
            <w:bottom w:w="0" w:type="dxa"/>
          </w:tblCellMar>
        </w:tblPrEx>
        <w:tc>
          <w:tcPr>
            <w:tcW w:w="1650" w:type="dxa"/>
            <w:shd w:val="clear" w:color="auto" w:fill="EEF3F5"/>
            <w:tcMar>
              <w:top w:w="100" w:type="dxa"/>
              <w:left w:w="120" w:type="dxa"/>
              <w:bottom w:w="100" w:type="dxa"/>
              <w:right w:w="120" w:type="dxa"/>
            </w:tcMar>
            <w:vAlign w:val="center"/>
          </w:tcPr>
          <w:p w14:paraId="4B4F364E" w14:textId="77777777" w:rsidR="00D84D0A" w:rsidRDefault="00000000">
            <w:r>
              <w:rPr>
                <w:sz w:val="19"/>
                <w:szCs w:val="19"/>
              </w:rPr>
              <w:t>Cerebras</w:t>
            </w:r>
          </w:p>
        </w:tc>
        <w:tc>
          <w:tcPr>
            <w:tcW w:w="2700" w:type="dxa"/>
            <w:shd w:val="clear" w:color="auto" w:fill="EEF3F5"/>
            <w:tcMar>
              <w:top w:w="100" w:type="dxa"/>
              <w:left w:w="120" w:type="dxa"/>
              <w:bottom w:w="100" w:type="dxa"/>
              <w:right w:w="120" w:type="dxa"/>
            </w:tcMar>
            <w:vAlign w:val="center"/>
          </w:tcPr>
          <w:p w14:paraId="38E32BB3" w14:textId="77777777" w:rsidR="00D84D0A" w:rsidRDefault="00000000">
            <w:r>
              <w:rPr>
                <w:sz w:val="19"/>
                <w:szCs w:val="19"/>
              </w:rPr>
              <w:t>Llama 3.3 70B</w:t>
            </w:r>
          </w:p>
        </w:tc>
        <w:tc>
          <w:tcPr>
            <w:tcW w:w="2450" w:type="dxa"/>
            <w:shd w:val="clear" w:color="auto" w:fill="EEF3F5"/>
            <w:tcMar>
              <w:top w:w="100" w:type="dxa"/>
              <w:left w:w="120" w:type="dxa"/>
              <w:bottom w:w="100" w:type="dxa"/>
              <w:right w:w="120" w:type="dxa"/>
            </w:tcMar>
            <w:vAlign w:val="center"/>
          </w:tcPr>
          <w:p w14:paraId="7E1031F0" w14:textId="77777777" w:rsidR="00D84D0A" w:rsidRDefault="00000000">
            <w:r>
              <w:rPr>
                <w:sz w:val="19"/>
                <w:szCs w:val="19"/>
              </w:rPr>
              <w:t>~1M tokens/day, very fast</w:t>
            </w:r>
          </w:p>
        </w:tc>
        <w:tc>
          <w:tcPr>
            <w:tcW w:w="2550" w:type="dxa"/>
            <w:shd w:val="clear" w:color="auto" w:fill="EEF3F5"/>
            <w:tcMar>
              <w:top w:w="100" w:type="dxa"/>
              <w:left w:w="120" w:type="dxa"/>
              <w:bottom w:w="100" w:type="dxa"/>
              <w:right w:w="120" w:type="dxa"/>
            </w:tcMar>
            <w:vAlign w:val="center"/>
          </w:tcPr>
          <w:p w14:paraId="4E58C211" w14:textId="77777777" w:rsidR="00D84D0A" w:rsidRDefault="00000000">
            <w:r>
              <w:rPr>
                <w:sz w:val="19"/>
                <w:szCs w:val="19"/>
              </w:rPr>
              <w:t>Smaller model lineup</w:t>
            </w:r>
          </w:p>
        </w:tc>
      </w:tr>
      <w:tr w:rsidR="00D84D0A" w14:paraId="45F2A985" w14:textId="77777777">
        <w:tblPrEx>
          <w:tblCellMar>
            <w:top w:w="0" w:type="dxa"/>
            <w:bottom w:w="0" w:type="dxa"/>
          </w:tblCellMar>
        </w:tblPrEx>
        <w:tc>
          <w:tcPr>
            <w:tcW w:w="1650" w:type="dxa"/>
            <w:tcMar>
              <w:top w:w="100" w:type="dxa"/>
              <w:left w:w="120" w:type="dxa"/>
              <w:bottom w:w="100" w:type="dxa"/>
              <w:right w:w="120" w:type="dxa"/>
            </w:tcMar>
            <w:vAlign w:val="center"/>
          </w:tcPr>
          <w:p w14:paraId="0299C0C8" w14:textId="77777777" w:rsidR="00D84D0A" w:rsidRDefault="00000000">
            <w:r>
              <w:rPr>
                <w:sz w:val="19"/>
                <w:szCs w:val="19"/>
              </w:rPr>
              <w:t>OpenRouter</w:t>
            </w:r>
          </w:p>
        </w:tc>
        <w:tc>
          <w:tcPr>
            <w:tcW w:w="2700" w:type="dxa"/>
            <w:tcMar>
              <w:top w:w="100" w:type="dxa"/>
              <w:left w:w="120" w:type="dxa"/>
              <w:bottom w:w="100" w:type="dxa"/>
              <w:right w:w="120" w:type="dxa"/>
            </w:tcMar>
            <w:vAlign w:val="center"/>
          </w:tcPr>
          <w:p w14:paraId="5F857B44" w14:textId="77777777" w:rsidR="00D84D0A" w:rsidRDefault="00000000">
            <w:r>
              <w:rPr>
                <w:sz w:val="19"/>
                <w:szCs w:val="19"/>
              </w:rPr>
              <w:t>~20 free (":free") models from multiple providers behind one API</w:t>
            </w:r>
          </w:p>
        </w:tc>
        <w:tc>
          <w:tcPr>
            <w:tcW w:w="2450" w:type="dxa"/>
            <w:tcMar>
              <w:top w:w="100" w:type="dxa"/>
              <w:left w:w="120" w:type="dxa"/>
              <w:bottom w:w="100" w:type="dxa"/>
              <w:right w:w="120" w:type="dxa"/>
            </w:tcMar>
            <w:vAlign w:val="center"/>
          </w:tcPr>
          <w:p w14:paraId="1ED6CBE7" w14:textId="77777777" w:rsidR="00D84D0A" w:rsidRDefault="00000000">
            <w:r>
              <w:rPr>
                <w:sz w:val="19"/>
                <w:szCs w:val="19"/>
              </w:rPr>
              <w:t>50 requests/day free (1,000/day with a one-off $10 top-up, not required)</w:t>
            </w:r>
          </w:p>
        </w:tc>
        <w:tc>
          <w:tcPr>
            <w:tcW w:w="2550" w:type="dxa"/>
            <w:tcMar>
              <w:top w:w="100" w:type="dxa"/>
              <w:left w:w="120" w:type="dxa"/>
              <w:bottom w:w="100" w:type="dxa"/>
              <w:right w:w="120" w:type="dxa"/>
            </w:tcMar>
            <w:vAlign w:val="center"/>
          </w:tcPr>
          <w:p w14:paraId="3159327D" w14:textId="77777777" w:rsidR="00D84D0A" w:rsidRDefault="00000000">
            <w:r>
              <w:rPr>
                <w:sz w:val="19"/>
                <w:szCs w:val="19"/>
              </w:rPr>
              <w:t>Thin quota, but a live example of the provider-agnostic abstraction layer this project should build anyway</w:t>
            </w:r>
          </w:p>
        </w:tc>
      </w:tr>
      <w:tr w:rsidR="00D84D0A" w14:paraId="1D323864" w14:textId="77777777">
        <w:tblPrEx>
          <w:tblCellMar>
            <w:top w:w="0" w:type="dxa"/>
            <w:bottom w:w="0" w:type="dxa"/>
          </w:tblCellMar>
        </w:tblPrEx>
        <w:tc>
          <w:tcPr>
            <w:tcW w:w="1650" w:type="dxa"/>
            <w:shd w:val="clear" w:color="auto" w:fill="EEF3F5"/>
            <w:tcMar>
              <w:top w:w="100" w:type="dxa"/>
              <w:left w:w="120" w:type="dxa"/>
              <w:bottom w:w="100" w:type="dxa"/>
              <w:right w:w="120" w:type="dxa"/>
            </w:tcMar>
            <w:vAlign w:val="center"/>
          </w:tcPr>
          <w:p w14:paraId="095E316E" w14:textId="77777777" w:rsidR="00D84D0A" w:rsidRDefault="00000000">
            <w:r>
              <w:rPr>
                <w:sz w:val="19"/>
                <w:szCs w:val="19"/>
              </w:rPr>
              <w:t>Mistral "Experiment" tier</w:t>
            </w:r>
          </w:p>
        </w:tc>
        <w:tc>
          <w:tcPr>
            <w:tcW w:w="2700" w:type="dxa"/>
            <w:shd w:val="clear" w:color="auto" w:fill="EEF3F5"/>
            <w:tcMar>
              <w:top w:w="100" w:type="dxa"/>
              <w:left w:w="120" w:type="dxa"/>
              <w:bottom w:w="100" w:type="dxa"/>
              <w:right w:w="120" w:type="dxa"/>
            </w:tcMar>
            <w:vAlign w:val="center"/>
          </w:tcPr>
          <w:p w14:paraId="7D9B01D4" w14:textId="77777777" w:rsidR="00D84D0A" w:rsidRDefault="00000000">
            <w:r>
              <w:rPr>
                <w:sz w:val="19"/>
                <w:szCs w:val="19"/>
              </w:rPr>
              <w:t>Mistral Small/Large, Codestral</w:t>
            </w:r>
          </w:p>
        </w:tc>
        <w:tc>
          <w:tcPr>
            <w:tcW w:w="2450" w:type="dxa"/>
            <w:shd w:val="clear" w:color="auto" w:fill="EEF3F5"/>
            <w:tcMar>
              <w:top w:w="100" w:type="dxa"/>
              <w:left w:w="120" w:type="dxa"/>
              <w:bottom w:w="100" w:type="dxa"/>
              <w:right w:w="120" w:type="dxa"/>
            </w:tcMar>
            <w:vAlign w:val="center"/>
          </w:tcPr>
          <w:p w14:paraId="3EA21D0C" w14:textId="77777777" w:rsidR="00D84D0A" w:rsidRDefault="00000000">
            <w:r>
              <w:rPr>
                <w:sz w:val="19"/>
                <w:szCs w:val="19"/>
              </w:rPr>
              <w:t>~1 billion tokens/month</w:t>
            </w:r>
          </w:p>
        </w:tc>
        <w:tc>
          <w:tcPr>
            <w:tcW w:w="2550" w:type="dxa"/>
            <w:shd w:val="clear" w:color="auto" w:fill="EEF3F5"/>
            <w:tcMar>
              <w:top w:w="100" w:type="dxa"/>
              <w:left w:w="120" w:type="dxa"/>
              <w:bottom w:w="100" w:type="dxa"/>
              <w:right w:w="120" w:type="dxa"/>
            </w:tcMar>
            <w:vAlign w:val="center"/>
          </w:tcPr>
          <w:p w14:paraId="6C4138F0" w14:textId="77777777" w:rsidR="00D84D0A" w:rsidRDefault="00000000">
            <w:r>
              <w:rPr>
                <w:sz w:val="19"/>
                <w:szCs w:val="19"/>
              </w:rPr>
              <w:t>Requires opting in to Mistral using your prompts for training — cancels out the EU-sovereignty argument that makes the paid tier attractive</w:t>
            </w:r>
          </w:p>
        </w:tc>
      </w:tr>
      <w:tr w:rsidR="00D84D0A" w14:paraId="5E92A84E" w14:textId="77777777">
        <w:tblPrEx>
          <w:tblCellMar>
            <w:top w:w="0" w:type="dxa"/>
            <w:bottom w:w="0" w:type="dxa"/>
          </w:tblCellMar>
        </w:tblPrEx>
        <w:tc>
          <w:tcPr>
            <w:tcW w:w="1650" w:type="dxa"/>
            <w:tcMar>
              <w:top w:w="100" w:type="dxa"/>
              <w:left w:w="120" w:type="dxa"/>
              <w:bottom w:w="100" w:type="dxa"/>
              <w:right w:w="120" w:type="dxa"/>
            </w:tcMar>
            <w:vAlign w:val="center"/>
          </w:tcPr>
          <w:p w14:paraId="2AAA08B4" w14:textId="77777777" w:rsidR="00D84D0A" w:rsidRDefault="00000000">
            <w:r>
              <w:rPr>
                <w:sz w:val="19"/>
                <w:szCs w:val="19"/>
              </w:rPr>
              <w:t>Cloudflare Workers AI</w:t>
            </w:r>
          </w:p>
        </w:tc>
        <w:tc>
          <w:tcPr>
            <w:tcW w:w="2700" w:type="dxa"/>
            <w:tcMar>
              <w:top w:w="100" w:type="dxa"/>
              <w:left w:w="120" w:type="dxa"/>
              <w:bottom w:w="100" w:type="dxa"/>
              <w:right w:w="120" w:type="dxa"/>
            </w:tcMar>
            <w:vAlign w:val="center"/>
          </w:tcPr>
          <w:p w14:paraId="581CB9F4" w14:textId="77777777" w:rsidR="00D84D0A" w:rsidRDefault="00000000">
            <w:r>
              <w:rPr>
                <w:sz w:val="19"/>
                <w:szCs w:val="19"/>
              </w:rPr>
              <w:t>20+ open models on Cloudflare's edge network</w:t>
            </w:r>
          </w:p>
        </w:tc>
        <w:tc>
          <w:tcPr>
            <w:tcW w:w="2450" w:type="dxa"/>
            <w:tcMar>
              <w:top w:w="100" w:type="dxa"/>
              <w:left w:w="120" w:type="dxa"/>
              <w:bottom w:w="100" w:type="dxa"/>
              <w:right w:w="120" w:type="dxa"/>
            </w:tcMar>
            <w:vAlign w:val="center"/>
          </w:tcPr>
          <w:p w14:paraId="6116BA4D" w14:textId="77777777" w:rsidR="00D84D0A" w:rsidRDefault="00000000">
            <w:r>
              <w:rPr>
                <w:sz w:val="19"/>
                <w:szCs w:val="19"/>
              </w:rPr>
              <w:t>~10,000 "neurons"/day</w:t>
            </w:r>
          </w:p>
        </w:tc>
        <w:tc>
          <w:tcPr>
            <w:tcW w:w="2550" w:type="dxa"/>
            <w:tcMar>
              <w:top w:w="100" w:type="dxa"/>
              <w:left w:w="120" w:type="dxa"/>
              <w:bottom w:w="100" w:type="dxa"/>
              <w:right w:w="120" w:type="dxa"/>
            </w:tcMar>
            <w:vAlign w:val="center"/>
          </w:tcPr>
          <w:p w14:paraId="3FF6150F" w14:textId="77777777" w:rsidR="00D84D0A" w:rsidRDefault="00000000">
            <w:r>
              <w:rPr>
                <w:sz w:val="19"/>
                <w:szCs w:val="19"/>
              </w:rPr>
              <w:t>Context windows as small as 2–8K tokens — too short for whole transcripts, usable only for short-chunk sub-tasks</w:t>
            </w:r>
          </w:p>
        </w:tc>
      </w:tr>
      <w:tr w:rsidR="00D84D0A" w14:paraId="346E09F8" w14:textId="77777777">
        <w:tblPrEx>
          <w:tblCellMar>
            <w:top w:w="0" w:type="dxa"/>
            <w:bottom w:w="0" w:type="dxa"/>
          </w:tblCellMar>
        </w:tblPrEx>
        <w:tc>
          <w:tcPr>
            <w:tcW w:w="1650" w:type="dxa"/>
            <w:shd w:val="clear" w:color="auto" w:fill="EEF3F5"/>
            <w:tcMar>
              <w:top w:w="100" w:type="dxa"/>
              <w:left w:w="120" w:type="dxa"/>
              <w:bottom w:w="100" w:type="dxa"/>
              <w:right w:w="120" w:type="dxa"/>
            </w:tcMar>
            <w:vAlign w:val="center"/>
          </w:tcPr>
          <w:p w14:paraId="3B4F9998" w14:textId="77777777" w:rsidR="00D84D0A" w:rsidRDefault="00000000">
            <w:r>
              <w:rPr>
                <w:sz w:val="19"/>
                <w:szCs w:val="19"/>
              </w:rPr>
              <w:t>Hugging Face / HuggingChat</w:t>
            </w:r>
          </w:p>
        </w:tc>
        <w:tc>
          <w:tcPr>
            <w:tcW w:w="2700" w:type="dxa"/>
            <w:shd w:val="clear" w:color="auto" w:fill="EEF3F5"/>
            <w:tcMar>
              <w:top w:w="100" w:type="dxa"/>
              <w:left w:w="120" w:type="dxa"/>
              <w:bottom w:w="100" w:type="dxa"/>
              <w:right w:w="120" w:type="dxa"/>
            </w:tcMar>
            <w:vAlign w:val="center"/>
          </w:tcPr>
          <w:p w14:paraId="77C42D37" w14:textId="77777777" w:rsidR="00D84D0A" w:rsidRDefault="00000000">
            <w:r>
              <w:rPr>
                <w:sz w:val="19"/>
                <w:szCs w:val="19"/>
              </w:rPr>
              <w:t>Enormous open-model catalog; HuggingChat is a free, no-integration chat UI</w:t>
            </w:r>
          </w:p>
        </w:tc>
        <w:tc>
          <w:tcPr>
            <w:tcW w:w="2450" w:type="dxa"/>
            <w:shd w:val="clear" w:color="auto" w:fill="EEF3F5"/>
            <w:tcMar>
              <w:top w:w="100" w:type="dxa"/>
              <w:left w:w="120" w:type="dxa"/>
              <w:bottom w:w="100" w:type="dxa"/>
              <w:right w:w="120" w:type="dxa"/>
            </w:tcMar>
            <w:vAlign w:val="center"/>
          </w:tcPr>
          <w:p w14:paraId="3C077E62" w14:textId="77777777" w:rsidR="00D84D0A" w:rsidRDefault="00000000">
            <w:r>
              <w:rPr>
                <w:sz w:val="19"/>
                <w:szCs w:val="19"/>
              </w:rPr>
              <w:t>Community tier, variable and unpredictable</w:t>
            </w:r>
          </w:p>
        </w:tc>
        <w:tc>
          <w:tcPr>
            <w:tcW w:w="2550" w:type="dxa"/>
            <w:shd w:val="clear" w:color="auto" w:fill="EEF3F5"/>
            <w:tcMar>
              <w:top w:w="100" w:type="dxa"/>
              <w:left w:w="120" w:type="dxa"/>
              <w:bottom w:w="100" w:type="dxa"/>
              <w:right w:w="120" w:type="dxa"/>
            </w:tcMar>
            <w:vAlign w:val="center"/>
          </w:tcPr>
          <w:p w14:paraId="0688428F" w14:textId="77777777" w:rsidR="00D84D0A" w:rsidRDefault="00000000">
            <w:r>
              <w:rPr>
                <w:sz w:val="19"/>
                <w:szCs w:val="19"/>
              </w:rPr>
              <w:t>Best for manual exploration, less reliable for a production pipeline</w:t>
            </w:r>
          </w:p>
        </w:tc>
      </w:tr>
    </w:tbl>
    <w:p w14:paraId="7C813466" w14:textId="77777777" w:rsidR="00D84D0A" w:rsidRDefault="00000000">
      <w:pPr>
        <w:pStyle w:val="Heading2"/>
        <w:spacing w:before="320" w:after="140"/>
      </w:pPr>
      <w:r>
        <w:rPr>
          <w:b/>
          <w:bCs/>
          <w:color w:val="1F3B57"/>
          <w:sz w:val="25"/>
          <w:szCs w:val="25"/>
        </w:rPr>
        <w:t>6.3 Free manual chat interfaces</w:t>
      </w:r>
    </w:p>
    <w:p w14:paraId="03C42DEF" w14:textId="77777777" w:rsidR="00D84D0A" w:rsidRDefault="00000000">
      <w:pPr>
        <w:spacing w:after="160"/>
      </w:pPr>
      <w:r>
        <w:t>Zero engineering, good for researchers spot-checking ideas by hand rather than for building the automated pipeline: Claude.ai free tier, ChatGPT free tier, the Gemini app, Mistral's Le Chat (~25 messages/day), and Microsoft Copilot Chat — free standalone, and already bundled into Microsoft 365 if InnoBeweegLab holds those licences.</w:t>
      </w:r>
    </w:p>
    <w:p w14:paraId="1822ED7D" w14:textId="77777777" w:rsidR="00D84D0A" w:rsidRDefault="00000000">
      <w:pPr>
        <w:pStyle w:val="Heading2"/>
        <w:spacing w:before="320" w:after="140"/>
      </w:pPr>
      <w:r>
        <w:rPr>
          <w:b/>
          <w:bCs/>
          <w:color w:val="1F3B57"/>
          <w:sz w:val="25"/>
          <w:szCs w:val="25"/>
        </w:rPr>
        <w:t>6.4 The rule that cuts across all of them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569A61E7" w14:textId="77777777">
        <w:tblPrEx>
          <w:tblCellMar>
            <w:top w:w="0" w:type="dxa"/>
            <w:bottom w:w="0" w:type="dxa"/>
          </w:tblCellMar>
        </w:tblPrEx>
        <w:tc>
          <w:tcPr>
            <w:tcW w:w="9350" w:type="dxa"/>
            <w:tcBorders>
              <w:top w:val="single" w:sz="4" w:space="0" w:color="9B2C2C"/>
              <w:left w:val="single" w:sz="24" w:space="0" w:color="9B2C2C"/>
              <w:bottom w:val="single" w:sz="4" w:space="0" w:color="9B2C2C"/>
              <w:right w:val="single" w:sz="4" w:space="0" w:color="9B2C2C"/>
            </w:tcBorders>
            <w:shd w:val="clear" w:color="auto" w:fill="EEF3F5"/>
            <w:tcMar>
              <w:top w:w="160" w:type="dxa"/>
              <w:left w:w="200" w:type="dxa"/>
              <w:bottom w:w="160" w:type="dxa"/>
              <w:right w:w="200" w:type="dxa"/>
            </w:tcMar>
          </w:tcPr>
          <w:p w14:paraId="0EFD88B7" w14:textId="77777777" w:rsidR="00D84D0A" w:rsidRDefault="00000000">
            <w:pPr>
              <w:spacing w:after="60"/>
            </w:pPr>
            <w:r>
              <w:rPr>
                <w:b/>
                <w:bCs/>
                <w:color w:val="9B2C2C"/>
                <w:sz w:val="18"/>
                <w:szCs w:val="18"/>
              </w:rPr>
              <w:t>RULE</w:t>
            </w:r>
          </w:p>
          <w:p w14:paraId="2F727FB7" w14:textId="77777777" w:rsidR="00D84D0A" w:rsidRDefault="00000000">
            <w:r>
              <w:t>Free tiers generally reserve the right to use prompts to improve their models, precisely because there's no paid contract or data-processing agreement behind them — confirmed explicitly for Google's free tier, and Mistral's free tier requires opting in outright. The pseudonymisation rule from Section 5 applies even harder here: never send raw, identifiable resident data through any free API. Route personal data only through a local model (Section 6.1) or, later, a paid tier with a real DPA — reserve the free cloud tiers for non-sensitive work: architecture testing, style/prompt tuning, and comparing models on already-anonymised text.</w:t>
            </w:r>
          </w:p>
        </w:tc>
      </w:tr>
    </w:tbl>
    <w:p w14:paraId="7BAAAD43" w14:textId="77777777" w:rsidR="00D84D0A" w:rsidRDefault="00D84D0A">
      <w:pPr>
        <w:spacing w:after="80"/>
      </w:pPr>
    </w:p>
    <w:p w14:paraId="5DC5D514" w14:textId="77777777" w:rsidR="00D84D0A" w:rsidRDefault="00000000">
      <w:pPr>
        <w:spacing w:after="200"/>
      </w:pPr>
      <w:r>
        <w:t>A practical €0 stack for the 4-month build: GitHub Models or the Gemini free tier as the main development API, Groq or Cerebras for fast high-volume iteration, OpenRouter to cheaply test several models behind one interface, and local Ollama for anything touching raw personal data.</w:t>
      </w:r>
    </w:p>
    <w:p w14:paraId="098C5622" w14:textId="77777777" w:rsidR="00D84D0A" w:rsidRDefault="00000000">
      <w:pPr>
        <w:spacing w:before="80" w:after="200"/>
      </w:pPr>
      <w:r>
        <w:rPr>
          <w:i/>
          <w:iCs/>
          <w:color w:val="5B6770"/>
          <w:sz w:val="16"/>
          <w:szCs w:val="16"/>
        </w:rPr>
        <w:t>Full source list in Appendix 11.3. Free-tier rate limits and terms change often — re-verify at sign-up.</w:t>
      </w:r>
    </w:p>
    <w:p w14:paraId="67D0FF1C" w14:textId="77777777" w:rsidR="00D84D0A" w:rsidRDefault="00000000">
      <w:r>
        <w:br w:type="page"/>
      </w:r>
    </w:p>
    <w:p w14:paraId="57D7CE2E" w14:textId="77777777" w:rsidR="00D84D0A" w:rsidRDefault="00000000">
      <w:pPr>
        <w:pStyle w:val="Heading1"/>
        <w:pBdr>
          <w:bottom w:val="single" w:sz="8" w:space="4" w:color="2C7A7B"/>
        </w:pBdr>
        <w:spacing w:before="420" w:after="200"/>
      </w:pPr>
      <w:r>
        <w:rPr>
          <w:b/>
          <w:bCs/>
          <w:color w:val="1F3B57"/>
          <w:sz w:val="30"/>
          <w:szCs w:val="30"/>
        </w:rPr>
        <w:lastRenderedPageBreak/>
        <w:t>7. Funding the 4-month project at zero budget</w:t>
      </w:r>
    </w:p>
    <w:p w14:paraId="0D0DA1F7" w14:textId="77777777" w:rsidR="00D84D0A" w:rsidRDefault="00000000">
      <w:pPr>
        <w:spacing w:after="160"/>
      </w:pPr>
      <w:r>
        <w:t>Section 4.3 showed that even unoptimised usage costs well under €100 across the whole build phase. Several free-credit programmes comfortably cover that, and are worth activating in week 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50"/>
      </w:tblGrid>
      <w:tr w:rsidR="00D84D0A" w14:paraId="71C5E7DC" w14:textId="77777777">
        <w:tblPrEx>
          <w:tblCellMar>
            <w:top w:w="0" w:type="dxa"/>
            <w:bottom w:w="0" w:type="dxa"/>
          </w:tblCellMar>
        </w:tblPrEx>
        <w:trPr>
          <w:tblHeader/>
        </w:trPr>
        <w:tc>
          <w:tcPr>
            <w:tcW w:w="2400" w:type="dxa"/>
            <w:shd w:val="clear" w:color="auto" w:fill="1F3B57"/>
            <w:tcMar>
              <w:top w:w="100" w:type="dxa"/>
              <w:left w:w="120" w:type="dxa"/>
              <w:bottom w:w="100" w:type="dxa"/>
              <w:right w:w="120" w:type="dxa"/>
            </w:tcMar>
            <w:vAlign w:val="center"/>
          </w:tcPr>
          <w:p w14:paraId="5F0B3FBE" w14:textId="77777777" w:rsidR="00D84D0A" w:rsidRDefault="00000000">
            <w:r>
              <w:rPr>
                <w:b/>
                <w:bCs/>
                <w:color w:val="FFFFFF"/>
                <w:sz w:val="19"/>
                <w:szCs w:val="19"/>
              </w:rPr>
              <w:t>Programme</w:t>
            </w:r>
          </w:p>
        </w:tc>
        <w:tc>
          <w:tcPr>
            <w:tcW w:w="1700" w:type="dxa"/>
            <w:shd w:val="clear" w:color="auto" w:fill="1F3B57"/>
            <w:tcMar>
              <w:top w:w="100" w:type="dxa"/>
              <w:left w:w="120" w:type="dxa"/>
              <w:bottom w:w="100" w:type="dxa"/>
              <w:right w:w="120" w:type="dxa"/>
            </w:tcMar>
            <w:vAlign w:val="center"/>
          </w:tcPr>
          <w:p w14:paraId="4D995302" w14:textId="77777777" w:rsidR="00D84D0A" w:rsidRDefault="00000000">
            <w:r>
              <w:rPr>
                <w:b/>
                <w:bCs/>
                <w:color w:val="FFFFFF"/>
                <w:sz w:val="19"/>
                <w:szCs w:val="19"/>
              </w:rPr>
              <w:t>Value</w:t>
            </w:r>
          </w:p>
        </w:tc>
        <w:tc>
          <w:tcPr>
            <w:tcW w:w="5250" w:type="dxa"/>
            <w:shd w:val="clear" w:color="auto" w:fill="1F3B57"/>
            <w:tcMar>
              <w:top w:w="100" w:type="dxa"/>
              <w:left w:w="120" w:type="dxa"/>
              <w:bottom w:w="100" w:type="dxa"/>
              <w:right w:w="120" w:type="dxa"/>
            </w:tcMar>
            <w:vAlign w:val="center"/>
          </w:tcPr>
          <w:p w14:paraId="0E125EA7" w14:textId="77777777" w:rsidR="00D84D0A" w:rsidRDefault="00000000">
            <w:r>
              <w:rPr>
                <w:b/>
                <w:bCs/>
                <w:color w:val="FFFFFF"/>
                <w:sz w:val="19"/>
                <w:szCs w:val="19"/>
              </w:rPr>
              <w:t>Notes / what to check</w:t>
            </w:r>
          </w:p>
        </w:tc>
      </w:tr>
      <w:tr w:rsidR="00D84D0A" w14:paraId="482C40CD" w14:textId="77777777">
        <w:tblPrEx>
          <w:tblCellMar>
            <w:top w:w="0" w:type="dxa"/>
            <w:bottom w:w="0" w:type="dxa"/>
          </w:tblCellMar>
        </w:tblPrEx>
        <w:tc>
          <w:tcPr>
            <w:tcW w:w="2400" w:type="dxa"/>
            <w:tcMar>
              <w:top w:w="100" w:type="dxa"/>
              <w:left w:w="120" w:type="dxa"/>
              <w:bottom w:w="100" w:type="dxa"/>
              <w:right w:w="120" w:type="dxa"/>
            </w:tcMar>
            <w:vAlign w:val="center"/>
          </w:tcPr>
          <w:p w14:paraId="505CCFCB" w14:textId="77777777" w:rsidR="00D84D0A" w:rsidRDefault="00000000">
            <w:r>
              <w:rPr>
                <w:sz w:val="19"/>
                <w:szCs w:val="19"/>
              </w:rPr>
              <w:t>Azure for Students</w:t>
            </w:r>
          </w:p>
        </w:tc>
        <w:tc>
          <w:tcPr>
            <w:tcW w:w="1700" w:type="dxa"/>
            <w:tcMar>
              <w:top w:w="100" w:type="dxa"/>
              <w:left w:w="120" w:type="dxa"/>
              <w:bottom w:w="100" w:type="dxa"/>
              <w:right w:w="120" w:type="dxa"/>
            </w:tcMar>
            <w:vAlign w:val="center"/>
          </w:tcPr>
          <w:p w14:paraId="139C75BE" w14:textId="77777777" w:rsidR="00D84D0A" w:rsidRDefault="00000000">
            <w:r>
              <w:rPr>
                <w:sz w:val="19"/>
                <w:szCs w:val="19"/>
              </w:rPr>
              <w:t>$100 credit / 12 months, no card required</w:t>
            </w:r>
          </w:p>
        </w:tc>
        <w:tc>
          <w:tcPr>
            <w:tcW w:w="5250" w:type="dxa"/>
            <w:tcMar>
              <w:top w:w="100" w:type="dxa"/>
              <w:left w:w="120" w:type="dxa"/>
              <w:bottom w:w="100" w:type="dxa"/>
              <w:right w:w="120" w:type="dxa"/>
            </w:tcMar>
            <w:vAlign w:val="center"/>
          </w:tcPr>
          <w:p w14:paraId="745DA913" w14:textId="77777777" w:rsidR="00D84D0A" w:rsidRDefault="00000000">
            <w:r>
              <w:rPr>
                <w:sz w:val="19"/>
                <w:szCs w:val="19"/>
              </w:rPr>
              <w:t>Per individual student account. Confirm each team member can register with a Fontys student email, and whether the credit can be used toward Azure AI Foundry model consumption specifically.</w:t>
            </w:r>
          </w:p>
        </w:tc>
      </w:tr>
      <w:tr w:rsidR="00D84D0A" w14:paraId="243A793B" w14:textId="77777777">
        <w:tblPrEx>
          <w:tblCellMar>
            <w:top w:w="0" w:type="dxa"/>
            <w:bottom w:w="0" w:type="dxa"/>
          </w:tblCellMar>
        </w:tblPrEx>
        <w:tc>
          <w:tcPr>
            <w:tcW w:w="2400" w:type="dxa"/>
            <w:shd w:val="clear" w:color="auto" w:fill="EEF3F5"/>
            <w:tcMar>
              <w:top w:w="100" w:type="dxa"/>
              <w:left w:w="120" w:type="dxa"/>
              <w:bottom w:w="100" w:type="dxa"/>
              <w:right w:w="120" w:type="dxa"/>
            </w:tcMar>
            <w:vAlign w:val="center"/>
          </w:tcPr>
          <w:p w14:paraId="64BEDEE6" w14:textId="77777777" w:rsidR="00D84D0A" w:rsidRDefault="00000000">
            <w:r>
              <w:rPr>
                <w:sz w:val="19"/>
                <w:szCs w:val="19"/>
              </w:rPr>
              <w:t>Microsoft nonprofit Azure grant</w:t>
            </w:r>
          </w:p>
        </w:tc>
        <w:tc>
          <w:tcPr>
            <w:tcW w:w="1700" w:type="dxa"/>
            <w:shd w:val="clear" w:color="auto" w:fill="EEF3F5"/>
            <w:tcMar>
              <w:top w:w="100" w:type="dxa"/>
              <w:left w:w="120" w:type="dxa"/>
              <w:bottom w:w="100" w:type="dxa"/>
              <w:right w:w="120" w:type="dxa"/>
            </w:tcMar>
            <w:vAlign w:val="center"/>
          </w:tcPr>
          <w:p w14:paraId="097A0303" w14:textId="77777777" w:rsidR="00D84D0A" w:rsidRDefault="00000000">
            <w:r>
              <w:rPr>
                <w:sz w:val="19"/>
                <w:szCs w:val="19"/>
              </w:rPr>
              <w:t>Up to $2,000/year in Azure credit</w:t>
            </w:r>
          </w:p>
        </w:tc>
        <w:tc>
          <w:tcPr>
            <w:tcW w:w="5250" w:type="dxa"/>
            <w:shd w:val="clear" w:color="auto" w:fill="EEF3F5"/>
            <w:tcMar>
              <w:top w:w="100" w:type="dxa"/>
              <w:left w:w="120" w:type="dxa"/>
              <w:bottom w:w="100" w:type="dxa"/>
              <w:right w:w="120" w:type="dxa"/>
            </w:tcMar>
            <w:vAlign w:val="center"/>
          </w:tcPr>
          <w:p w14:paraId="28D23B52" w14:textId="77777777" w:rsidR="00D84D0A" w:rsidRDefault="00000000">
            <w:r>
              <w:rPr>
                <w:sz w:val="19"/>
                <w:szCs w:val="19"/>
              </w:rPr>
              <w:t>Requires InnoBeweegLab (or a parent entity) to be registered as an eligible nonprofit with Microsoft. Geographic eligibility for a Dutch "stichting" should be confirmed directly at aka.ms/nonprofitgetstarted — if it applies, this alone comfortably funds a full first production year.</w:t>
            </w:r>
          </w:p>
        </w:tc>
      </w:tr>
      <w:tr w:rsidR="00D84D0A" w14:paraId="3AC7990D" w14:textId="77777777">
        <w:tblPrEx>
          <w:tblCellMar>
            <w:top w:w="0" w:type="dxa"/>
            <w:bottom w:w="0" w:type="dxa"/>
          </w:tblCellMar>
        </w:tblPrEx>
        <w:tc>
          <w:tcPr>
            <w:tcW w:w="2400" w:type="dxa"/>
            <w:tcMar>
              <w:top w:w="100" w:type="dxa"/>
              <w:left w:w="120" w:type="dxa"/>
              <w:bottom w:w="100" w:type="dxa"/>
              <w:right w:w="120" w:type="dxa"/>
            </w:tcMar>
            <w:vAlign w:val="center"/>
          </w:tcPr>
          <w:p w14:paraId="72498800" w14:textId="77777777" w:rsidR="00D84D0A" w:rsidRDefault="00000000">
            <w:r>
              <w:rPr>
                <w:sz w:val="19"/>
                <w:szCs w:val="19"/>
              </w:rPr>
              <w:t>GitHub Student Developer Pack</w:t>
            </w:r>
          </w:p>
        </w:tc>
        <w:tc>
          <w:tcPr>
            <w:tcW w:w="1700" w:type="dxa"/>
            <w:tcMar>
              <w:top w:w="100" w:type="dxa"/>
              <w:left w:w="120" w:type="dxa"/>
              <w:bottom w:w="100" w:type="dxa"/>
              <w:right w:w="120" w:type="dxa"/>
            </w:tcMar>
            <w:vAlign w:val="center"/>
          </w:tcPr>
          <w:p w14:paraId="09F3515A" w14:textId="77777777" w:rsidR="00D84D0A" w:rsidRDefault="00000000">
            <w:r>
              <w:rPr>
                <w:sz w:val="19"/>
                <w:szCs w:val="19"/>
              </w:rPr>
              <w:t>Bundle of dev tools &amp; cloud/API credits</w:t>
            </w:r>
          </w:p>
        </w:tc>
        <w:tc>
          <w:tcPr>
            <w:tcW w:w="5250" w:type="dxa"/>
            <w:tcMar>
              <w:top w:w="100" w:type="dxa"/>
              <w:left w:w="120" w:type="dxa"/>
              <w:bottom w:w="100" w:type="dxa"/>
              <w:right w:w="120" w:type="dxa"/>
            </w:tcMar>
            <w:vAlign w:val="center"/>
          </w:tcPr>
          <w:p w14:paraId="5684AC01" w14:textId="77777777" w:rsidR="00D84D0A" w:rsidRDefault="00000000">
            <w:r>
              <w:rPr>
                <w:sz w:val="19"/>
                <w:szCs w:val="19"/>
              </w:rPr>
              <w:t>Contents change over time; check current offers at sign-up — has historically included cloud credits useful for prototyping.</w:t>
            </w:r>
          </w:p>
        </w:tc>
      </w:tr>
      <w:tr w:rsidR="00D84D0A" w14:paraId="588D8637" w14:textId="77777777">
        <w:tblPrEx>
          <w:tblCellMar>
            <w:top w:w="0" w:type="dxa"/>
            <w:bottom w:w="0" w:type="dxa"/>
          </w:tblCellMar>
        </w:tblPrEx>
        <w:tc>
          <w:tcPr>
            <w:tcW w:w="2400" w:type="dxa"/>
            <w:shd w:val="clear" w:color="auto" w:fill="EEF3F5"/>
            <w:tcMar>
              <w:top w:w="100" w:type="dxa"/>
              <w:left w:w="120" w:type="dxa"/>
              <w:bottom w:w="100" w:type="dxa"/>
              <w:right w:w="120" w:type="dxa"/>
            </w:tcMar>
            <w:vAlign w:val="center"/>
          </w:tcPr>
          <w:p w14:paraId="164756C6" w14:textId="77777777" w:rsidR="00D84D0A" w:rsidRDefault="00000000">
            <w:r>
              <w:rPr>
                <w:sz w:val="19"/>
                <w:szCs w:val="19"/>
              </w:rPr>
              <w:t>Anthropic / OpenAI direct</w:t>
            </w:r>
          </w:p>
        </w:tc>
        <w:tc>
          <w:tcPr>
            <w:tcW w:w="1700" w:type="dxa"/>
            <w:shd w:val="clear" w:color="auto" w:fill="EEF3F5"/>
            <w:tcMar>
              <w:top w:w="100" w:type="dxa"/>
              <w:left w:w="120" w:type="dxa"/>
              <w:bottom w:w="100" w:type="dxa"/>
              <w:right w:w="120" w:type="dxa"/>
            </w:tcMar>
            <w:vAlign w:val="center"/>
          </w:tcPr>
          <w:p w14:paraId="49D8B59B" w14:textId="77777777" w:rsidR="00D84D0A" w:rsidRDefault="00000000">
            <w:r>
              <w:rPr>
                <w:sz w:val="19"/>
                <w:szCs w:val="19"/>
              </w:rPr>
              <w:t>No published nonprofit tier</w:t>
            </w:r>
          </w:p>
        </w:tc>
        <w:tc>
          <w:tcPr>
            <w:tcW w:w="5250" w:type="dxa"/>
            <w:shd w:val="clear" w:color="auto" w:fill="EEF3F5"/>
            <w:tcMar>
              <w:top w:w="100" w:type="dxa"/>
              <w:left w:w="120" w:type="dxa"/>
              <w:bottom w:w="100" w:type="dxa"/>
              <w:right w:w="120" w:type="dxa"/>
            </w:tcMar>
            <w:vAlign w:val="center"/>
          </w:tcPr>
          <w:p w14:paraId="19BBE6AF" w14:textId="77777777" w:rsidR="00D84D0A" w:rsidRDefault="00000000">
            <w:r>
              <w:rPr>
                <w:sz w:val="19"/>
                <w:szCs w:val="19"/>
              </w:rPr>
              <w:t>Worth a direct email to sales — both companies run occasional research/startup credit programmes not always publicly listed.</w:t>
            </w:r>
          </w:p>
        </w:tc>
      </w:tr>
      <w:tr w:rsidR="00D84D0A" w14:paraId="5415594A" w14:textId="77777777">
        <w:tblPrEx>
          <w:tblCellMar>
            <w:top w:w="0" w:type="dxa"/>
            <w:bottom w:w="0" w:type="dxa"/>
          </w:tblCellMar>
        </w:tblPrEx>
        <w:tc>
          <w:tcPr>
            <w:tcW w:w="2400" w:type="dxa"/>
            <w:tcMar>
              <w:top w:w="100" w:type="dxa"/>
              <w:left w:w="120" w:type="dxa"/>
              <w:bottom w:w="100" w:type="dxa"/>
              <w:right w:w="120" w:type="dxa"/>
            </w:tcMar>
            <w:vAlign w:val="center"/>
          </w:tcPr>
          <w:p w14:paraId="4862C020" w14:textId="77777777" w:rsidR="00D84D0A" w:rsidRDefault="00000000">
            <w:r>
              <w:rPr>
                <w:sz w:val="19"/>
                <w:szCs w:val="19"/>
              </w:rPr>
              <w:t>Fontys institutional agreement</w:t>
            </w:r>
          </w:p>
        </w:tc>
        <w:tc>
          <w:tcPr>
            <w:tcW w:w="1700" w:type="dxa"/>
            <w:tcMar>
              <w:top w:w="100" w:type="dxa"/>
              <w:left w:w="120" w:type="dxa"/>
              <w:bottom w:w="100" w:type="dxa"/>
              <w:right w:w="120" w:type="dxa"/>
            </w:tcMar>
            <w:vAlign w:val="center"/>
          </w:tcPr>
          <w:p w14:paraId="0F7164CB" w14:textId="77777777" w:rsidR="00D84D0A" w:rsidRDefault="00000000">
            <w:r>
              <w:rPr>
                <w:sz w:val="19"/>
                <w:szCs w:val="19"/>
              </w:rPr>
              <w:t>Unknown — worth checking</w:t>
            </w:r>
          </w:p>
        </w:tc>
        <w:tc>
          <w:tcPr>
            <w:tcW w:w="5250" w:type="dxa"/>
            <w:tcMar>
              <w:top w:w="100" w:type="dxa"/>
              <w:left w:w="120" w:type="dxa"/>
              <w:bottom w:w="100" w:type="dxa"/>
              <w:right w:w="120" w:type="dxa"/>
            </w:tcMar>
            <w:vAlign w:val="center"/>
          </w:tcPr>
          <w:p w14:paraId="0C347912" w14:textId="77777777" w:rsidR="00D84D0A" w:rsidRDefault="00000000">
            <w:r>
              <w:rPr>
                <w:sz w:val="19"/>
                <w:szCs w:val="19"/>
              </w:rPr>
              <w:t>As a Master of Applied IT capstone, Fontys may already hold an Azure, OpenAI, or Copilot enterprise agreement that could cover student project usage — check with the programme coordinator before assuming individual student credits are the only path.</w:t>
            </w:r>
          </w:p>
        </w:tc>
      </w:tr>
    </w:tbl>
    <w:p w14:paraId="520F5D19" w14:textId="77777777" w:rsidR="00D84D0A" w:rsidRDefault="00D84D0A">
      <w:pPr>
        <w:spacing w:after="100"/>
      </w:pPr>
    </w:p>
    <w:p w14:paraId="32737388" w14:textId="77777777" w:rsidR="00D84D0A" w:rsidRDefault="00000000">
      <w:pPr>
        <w:spacing w:after="160"/>
      </w:pPr>
      <w:r>
        <w:rPr>
          <w:color w:val="5B6770"/>
          <w:sz w:val="19"/>
          <w:szCs w:val="19"/>
        </w:rPr>
        <w:t>Given all of this, the 4-month build phase itself should cost the team €0 in licensing if credits are set up early — the real budget risk is time, not money.</w:t>
      </w:r>
    </w:p>
    <w:p w14:paraId="1223EE05" w14:textId="77777777" w:rsidR="00D84D0A" w:rsidRDefault="00000000">
      <w:r>
        <w:br w:type="page"/>
      </w:r>
    </w:p>
    <w:p w14:paraId="076EDF7B" w14:textId="77777777" w:rsidR="00D84D0A" w:rsidRDefault="00000000">
      <w:pPr>
        <w:pStyle w:val="Heading1"/>
        <w:pBdr>
          <w:bottom w:val="single" w:sz="8" w:space="4" w:color="2C7A7B"/>
        </w:pBdr>
        <w:spacing w:before="420" w:after="200"/>
      </w:pPr>
      <w:r>
        <w:rPr>
          <w:b/>
          <w:bCs/>
          <w:color w:val="1F3B57"/>
          <w:sz w:val="30"/>
          <w:szCs w:val="30"/>
        </w:rPr>
        <w:lastRenderedPageBreak/>
        <w:t>8. Business case</w:t>
      </w:r>
    </w:p>
    <w:p w14:paraId="438024DC" w14:textId="77777777" w:rsidR="00D84D0A" w:rsidRDefault="00000000">
      <w:pPr>
        <w:pStyle w:val="Heading2"/>
        <w:spacing w:before="320" w:after="140"/>
      </w:pPr>
      <w:r>
        <w:rPr>
          <w:b/>
          <w:bCs/>
          <w:color w:val="1F3B57"/>
          <w:sz w:val="25"/>
          <w:szCs w:val="25"/>
        </w:rPr>
        <w:t>8.1 The cost side</w:t>
      </w:r>
    </w:p>
    <w:p w14:paraId="2612E816" w14:textId="77777777" w:rsidR="00D84D0A" w:rsidRDefault="00000000">
      <w:pPr>
        <w:spacing w:after="160"/>
      </w:pPr>
      <w:r>
        <w:t>Two cost categories, kept separate deliberately because they behave very differently:</w:t>
      </w:r>
    </w:p>
    <w:p w14:paraId="3E5E5781" w14:textId="77777777" w:rsidR="00D84D0A" w:rsidRDefault="00000000">
      <w:pPr>
        <w:pStyle w:val="ListParagraph"/>
        <w:numPr>
          <w:ilvl w:val="0"/>
          <w:numId w:val="2"/>
        </w:numPr>
        <w:spacing w:after="90"/>
      </w:pPr>
      <w:r>
        <w:rPr>
          <w:b/>
          <w:bCs/>
        </w:rPr>
        <w:t xml:space="preserve">Build phase (4 months, this capstone): </w:t>
      </w:r>
      <w:r>
        <w:t>effectively €0 using zero-cost options (Section 6) and student/education credits (Section 7). The real cost is the team's time, which is already committed to the programme.</w:t>
      </w:r>
    </w:p>
    <w:p w14:paraId="444FBC97" w14:textId="77777777" w:rsidR="00D84D0A" w:rsidRDefault="00000000">
      <w:pPr>
        <w:pStyle w:val="ListParagraph"/>
        <w:numPr>
          <w:ilvl w:val="0"/>
          <w:numId w:val="2"/>
        </w:numPr>
        <w:spacing w:after="90"/>
      </w:pPr>
      <w:r>
        <w:rPr>
          <w:b/>
          <w:bCs/>
        </w:rPr>
        <w:t xml:space="preserve">Year 1 production, after handover: </w:t>
      </w:r>
      <w:r>
        <w:t>model inference cost is €12–400/year depending on adoption (Section 4.3). Infrastructure is the swing factor: €5–600/year for a lean, self-built retrieval layer (Section 4.4 prices the Azure-native version of this) versus €6,000–12,000/year for a fully managed enterprise Azure RAG stack InnoBeweegLab likely doesn't need at this scale. The prototype architecture chosen in the next 4 months effectively decides which of these InnoBeweegLab inherits — this is worth flagging explicitly to the team and to InnoBeweegLab's supervisor as a design decision, not just an implementation detail.</w:t>
      </w:r>
    </w:p>
    <w:p w14:paraId="4202C6B2" w14:textId="77777777" w:rsidR="00D84D0A" w:rsidRDefault="00000000">
      <w:pPr>
        <w:pStyle w:val="Heading2"/>
        <w:spacing w:before="320" w:after="140"/>
      </w:pPr>
      <w:r>
        <w:rPr>
          <w:b/>
          <w:bCs/>
          <w:color w:val="1F3B57"/>
          <w:sz w:val="25"/>
          <w:szCs w:val="25"/>
        </w:rPr>
        <w:t>8.2 The benefit side — illustrative model</w:t>
      </w:r>
    </w:p>
    <w:p w14:paraId="7F8D6C55" w14:textId="77777777" w:rsidR="00D84D0A" w:rsidRDefault="00000000">
      <w:pPr>
        <w:spacing w:after="160"/>
      </w:pPr>
      <w:r>
        <w:rPr>
          <w:i/>
          <w:iCs/>
          <w:color w:val="5B6770"/>
          <w:sz w:val="19"/>
          <w:szCs w:val="19"/>
        </w:rPr>
        <w:t>InnoBeweegLab's actual reporting time and team size weren't included in the brief, so real figures should replace the example below before this goes into any funding conversation. The structure is what matters — plug in real numbers and the conclusion is very unlikely to change, because the cost side is so small.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0"/>
        <w:gridCol w:w="2700"/>
      </w:tblGrid>
      <w:tr w:rsidR="00D84D0A" w14:paraId="01CD03F8" w14:textId="77777777">
        <w:tblPrEx>
          <w:tblCellMar>
            <w:top w:w="0" w:type="dxa"/>
            <w:bottom w:w="0" w:type="dxa"/>
          </w:tblCellMar>
        </w:tblPrEx>
        <w:trPr>
          <w:tblHeader/>
        </w:trPr>
        <w:tc>
          <w:tcPr>
            <w:tcW w:w="6650" w:type="dxa"/>
            <w:shd w:val="clear" w:color="auto" w:fill="1F3B57"/>
            <w:tcMar>
              <w:top w:w="100" w:type="dxa"/>
              <w:left w:w="120" w:type="dxa"/>
              <w:bottom w:w="100" w:type="dxa"/>
              <w:right w:w="120" w:type="dxa"/>
            </w:tcMar>
            <w:vAlign w:val="center"/>
          </w:tcPr>
          <w:p w14:paraId="6F81F8A1" w14:textId="77777777" w:rsidR="00D84D0A" w:rsidRDefault="00000000">
            <w:r>
              <w:rPr>
                <w:b/>
                <w:bCs/>
                <w:color w:val="FFFFFF"/>
                <w:sz w:val="19"/>
                <w:szCs w:val="19"/>
              </w:rPr>
              <w:t>Assumption (illustrative — replace with InnoBeweegLab's real figures)</w:t>
            </w:r>
          </w:p>
        </w:tc>
        <w:tc>
          <w:tcPr>
            <w:tcW w:w="2700" w:type="dxa"/>
            <w:shd w:val="clear" w:color="auto" w:fill="1F3B57"/>
            <w:tcMar>
              <w:top w:w="100" w:type="dxa"/>
              <w:left w:w="120" w:type="dxa"/>
              <w:bottom w:w="100" w:type="dxa"/>
              <w:right w:w="120" w:type="dxa"/>
            </w:tcMar>
            <w:vAlign w:val="center"/>
          </w:tcPr>
          <w:p w14:paraId="682C2D26" w14:textId="77777777" w:rsidR="00D84D0A" w:rsidRDefault="00000000">
            <w:r>
              <w:rPr>
                <w:b/>
                <w:bCs/>
                <w:color w:val="FFFFFF"/>
                <w:sz w:val="19"/>
                <w:szCs w:val="19"/>
              </w:rPr>
              <w:t>Example value</w:t>
            </w:r>
          </w:p>
        </w:tc>
      </w:tr>
      <w:tr w:rsidR="00D84D0A" w14:paraId="0468A696" w14:textId="77777777">
        <w:tblPrEx>
          <w:tblCellMar>
            <w:top w:w="0" w:type="dxa"/>
            <w:bottom w:w="0" w:type="dxa"/>
          </w:tblCellMar>
        </w:tblPrEx>
        <w:tc>
          <w:tcPr>
            <w:tcW w:w="6650" w:type="dxa"/>
            <w:tcMar>
              <w:top w:w="100" w:type="dxa"/>
              <w:left w:w="120" w:type="dxa"/>
              <w:bottom w:w="100" w:type="dxa"/>
              <w:right w:w="120" w:type="dxa"/>
            </w:tcMar>
            <w:vAlign w:val="center"/>
          </w:tcPr>
          <w:p w14:paraId="311DE98E" w14:textId="77777777" w:rsidR="00D84D0A" w:rsidRDefault="00000000">
            <w:r>
              <w:rPr>
                <w:sz w:val="19"/>
                <w:szCs w:val="19"/>
              </w:rPr>
              <w:t>Research reports produced per year</w:t>
            </w:r>
          </w:p>
        </w:tc>
        <w:tc>
          <w:tcPr>
            <w:tcW w:w="2700" w:type="dxa"/>
            <w:tcMar>
              <w:top w:w="100" w:type="dxa"/>
              <w:left w:w="120" w:type="dxa"/>
              <w:bottom w:w="100" w:type="dxa"/>
              <w:right w:w="120" w:type="dxa"/>
            </w:tcMar>
            <w:vAlign w:val="center"/>
          </w:tcPr>
          <w:p w14:paraId="6395C9B9" w14:textId="2801DBA0" w:rsidR="00D84D0A" w:rsidRPr="00377F0C" w:rsidRDefault="00377F0C">
            <w:pPr>
              <w:rPr>
                <w:color w:val="EE0000"/>
              </w:rPr>
            </w:pPr>
            <w:r>
              <w:rPr>
                <w:color w:val="EE0000"/>
              </w:rPr>
              <w:t>todo</w:t>
            </w:r>
          </w:p>
        </w:tc>
      </w:tr>
      <w:tr w:rsidR="00D84D0A" w14:paraId="04BA5B2D" w14:textId="77777777">
        <w:tblPrEx>
          <w:tblCellMar>
            <w:top w:w="0" w:type="dxa"/>
            <w:bottom w:w="0" w:type="dxa"/>
          </w:tblCellMar>
        </w:tblPrEx>
        <w:tc>
          <w:tcPr>
            <w:tcW w:w="6650" w:type="dxa"/>
            <w:tcMar>
              <w:top w:w="100" w:type="dxa"/>
              <w:left w:w="120" w:type="dxa"/>
              <w:bottom w:w="100" w:type="dxa"/>
              <w:right w:w="120" w:type="dxa"/>
            </w:tcMar>
            <w:vAlign w:val="center"/>
          </w:tcPr>
          <w:p w14:paraId="3DCB7CF1" w14:textId="77777777" w:rsidR="00D84D0A" w:rsidRDefault="00000000">
            <w:r>
              <w:rPr>
                <w:sz w:val="19"/>
                <w:szCs w:val="19"/>
              </w:rPr>
              <w:t>Researcher hours currently spent per report on data processing, cross-referencing, and first-draft writing</w:t>
            </w:r>
          </w:p>
        </w:tc>
        <w:tc>
          <w:tcPr>
            <w:tcW w:w="2700" w:type="dxa"/>
            <w:tcMar>
              <w:top w:w="100" w:type="dxa"/>
              <w:left w:w="120" w:type="dxa"/>
              <w:bottom w:w="100" w:type="dxa"/>
              <w:right w:w="120" w:type="dxa"/>
            </w:tcMar>
            <w:vAlign w:val="center"/>
          </w:tcPr>
          <w:p w14:paraId="42850916" w14:textId="27CC33EB" w:rsidR="00D84D0A" w:rsidRDefault="00D84D0A"/>
        </w:tc>
      </w:tr>
      <w:tr w:rsidR="00D84D0A" w14:paraId="69893F61" w14:textId="77777777">
        <w:tblPrEx>
          <w:tblCellMar>
            <w:top w:w="0" w:type="dxa"/>
            <w:bottom w:w="0" w:type="dxa"/>
          </w:tblCellMar>
        </w:tblPrEx>
        <w:tc>
          <w:tcPr>
            <w:tcW w:w="6650" w:type="dxa"/>
            <w:tcMar>
              <w:top w:w="100" w:type="dxa"/>
              <w:left w:w="120" w:type="dxa"/>
              <w:bottom w:w="100" w:type="dxa"/>
              <w:right w:w="120" w:type="dxa"/>
            </w:tcMar>
            <w:vAlign w:val="center"/>
          </w:tcPr>
          <w:p w14:paraId="7C487A14" w14:textId="77777777" w:rsidR="00D84D0A" w:rsidRDefault="00000000">
            <w:r>
              <w:rPr>
                <w:sz w:val="19"/>
                <w:szCs w:val="19"/>
              </w:rPr>
              <w:t>Loaded researcher cost per hour</w:t>
            </w:r>
          </w:p>
        </w:tc>
        <w:tc>
          <w:tcPr>
            <w:tcW w:w="2700" w:type="dxa"/>
            <w:tcMar>
              <w:top w:w="100" w:type="dxa"/>
              <w:left w:w="120" w:type="dxa"/>
              <w:bottom w:w="100" w:type="dxa"/>
              <w:right w:w="120" w:type="dxa"/>
            </w:tcMar>
            <w:vAlign w:val="center"/>
          </w:tcPr>
          <w:p w14:paraId="03803BF8" w14:textId="06246D4E" w:rsidR="00D84D0A" w:rsidRDefault="00D84D0A"/>
        </w:tc>
      </w:tr>
      <w:tr w:rsidR="00D84D0A" w14:paraId="598CA6C3" w14:textId="77777777">
        <w:tblPrEx>
          <w:tblCellMar>
            <w:top w:w="0" w:type="dxa"/>
            <w:bottom w:w="0" w:type="dxa"/>
          </w:tblCellMar>
        </w:tblPrEx>
        <w:tc>
          <w:tcPr>
            <w:tcW w:w="6650" w:type="dxa"/>
            <w:tcMar>
              <w:top w:w="100" w:type="dxa"/>
              <w:left w:w="120" w:type="dxa"/>
              <w:bottom w:w="100" w:type="dxa"/>
              <w:right w:w="120" w:type="dxa"/>
            </w:tcMar>
            <w:vAlign w:val="center"/>
          </w:tcPr>
          <w:p w14:paraId="51516579" w14:textId="77777777" w:rsidR="00D84D0A" w:rsidRDefault="00000000">
            <w:r>
              <w:rPr>
                <w:sz w:val="19"/>
                <w:szCs w:val="19"/>
              </w:rPr>
              <w:t>Current annual labour cost of report drafting</w:t>
            </w:r>
          </w:p>
        </w:tc>
        <w:tc>
          <w:tcPr>
            <w:tcW w:w="2700" w:type="dxa"/>
            <w:tcMar>
              <w:top w:w="100" w:type="dxa"/>
              <w:left w:w="120" w:type="dxa"/>
              <w:bottom w:w="100" w:type="dxa"/>
              <w:right w:w="120" w:type="dxa"/>
            </w:tcMar>
            <w:vAlign w:val="center"/>
          </w:tcPr>
          <w:p w14:paraId="3AAEA8C0" w14:textId="3E81EE5A" w:rsidR="00D84D0A" w:rsidRDefault="00D84D0A"/>
        </w:tc>
      </w:tr>
      <w:tr w:rsidR="00D84D0A" w14:paraId="0A080753" w14:textId="77777777">
        <w:tblPrEx>
          <w:tblCellMar>
            <w:top w:w="0" w:type="dxa"/>
            <w:bottom w:w="0" w:type="dxa"/>
          </w:tblCellMar>
        </w:tblPrEx>
        <w:tc>
          <w:tcPr>
            <w:tcW w:w="6650" w:type="dxa"/>
            <w:tcMar>
              <w:top w:w="100" w:type="dxa"/>
              <w:left w:w="120" w:type="dxa"/>
              <w:bottom w:w="100" w:type="dxa"/>
              <w:right w:w="120" w:type="dxa"/>
            </w:tcMar>
            <w:vAlign w:val="center"/>
          </w:tcPr>
          <w:p w14:paraId="03E67EF4" w14:textId="77777777" w:rsidR="00D84D0A" w:rsidRDefault="00000000">
            <w:r>
              <w:rPr>
                <w:sz w:val="19"/>
                <w:szCs w:val="19"/>
              </w:rPr>
              <w:t>Estimated time saved by AI-assisted drafting (conservative)</w:t>
            </w:r>
          </w:p>
        </w:tc>
        <w:tc>
          <w:tcPr>
            <w:tcW w:w="2700" w:type="dxa"/>
            <w:tcMar>
              <w:top w:w="100" w:type="dxa"/>
              <w:left w:w="120" w:type="dxa"/>
              <w:bottom w:w="100" w:type="dxa"/>
              <w:right w:w="120" w:type="dxa"/>
            </w:tcMar>
            <w:vAlign w:val="center"/>
          </w:tcPr>
          <w:p w14:paraId="3CA110A3" w14:textId="3F213487" w:rsidR="00D84D0A" w:rsidRDefault="00D84D0A"/>
        </w:tc>
      </w:tr>
      <w:tr w:rsidR="00D84D0A" w14:paraId="4E48D45E" w14:textId="77777777">
        <w:tblPrEx>
          <w:tblCellMar>
            <w:top w:w="0" w:type="dxa"/>
            <w:bottom w:w="0" w:type="dxa"/>
          </w:tblCellMar>
        </w:tblPrEx>
        <w:tc>
          <w:tcPr>
            <w:tcW w:w="6650" w:type="dxa"/>
            <w:tcMar>
              <w:top w:w="100" w:type="dxa"/>
              <w:left w:w="120" w:type="dxa"/>
              <w:bottom w:w="100" w:type="dxa"/>
              <w:right w:w="120" w:type="dxa"/>
            </w:tcMar>
            <w:vAlign w:val="center"/>
          </w:tcPr>
          <w:p w14:paraId="710DA0EA" w14:textId="77777777" w:rsidR="00D84D0A" w:rsidRDefault="00000000">
            <w:r>
              <w:rPr>
                <w:sz w:val="19"/>
                <w:szCs w:val="19"/>
              </w:rPr>
              <w:t>Researcher time freed per year, redirected to fieldwork/community engagement</w:t>
            </w:r>
          </w:p>
        </w:tc>
        <w:tc>
          <w:tcPr>
            <w:tcW w:w="2700" w:type="dxa"/>
            <w:tcMar>
              <w:top w:w="100" w:type="dxa"/>
              <w:left w:w="120" w:type="dxa"/>
              <w:bottom w:w="100" w:type="dxa"/>
              <w:right w:w="120" w:type="dxa"/>
            </w:tcMar>
            <w:vAlign w:val="center"/>
          </w:tcPr>
          <w:p w14:paraId="32E31FD4" w14:textId="77E9065E" w:rsidR="00D84D0A" w:rsidRDefault="00D84D0A"/>
        </w:tc>
      </w:tr>
    </w:tbl>
    <w:p w14:paraId="5B07F782" w14:textId="77777777" w:rsidR="00D84D0A" w:rsidRDefault="00D84D0A">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4D0A" w14:paraId="647C6112" w14:textId="77777777">
        <w:tblPrEx>
          <w:tblCellMar>
            <w:top w:w="0" w:type="dxa"/>
            <w:bottom w:w="0" w:type="dxa"/>
          </w:tblCellMar>
        </w:tblPrEx>
        <w:tc>
          <w:tcPr>
            <w:tcW w:w="9350" w:type="dxa"/>
            <w:tcBorders>
              <w:top w:val="single" w:sz="4" w:space="0" w:color="276749"/>
              <w:left w:val="single" w:sz="24" w:space="0" w:color="276749"/>
              <w:bottom w:val="single" w:sz="4" w:space="0" w:color="276749"/>
              <w:right w:val="single" w:sz="4" w:space="0" w:color="276749"/>
            </w:tcBorders>
            <w:shd w:val="clear" w:color="auto" w:fill="EEF3F5"/>
            <w:tcMar>
              <w:top w:w="160" w:type="dxa"/>
              <w:left w:w="200" w:type="dxa"/>
              <w:bottom w:w="160" w:type="dxa"/>
              <w:right w:w="200" w:type="dxa"/>
            </w:tcMar>
          </w:tcPr>
          <w:p w14:paraId="5BAF1C81" w14:textId="77777777" w:rsidR="00D84D0A" w:rsidRDefault="00000000">
            <w:pPr>
              <w:spacing w:after="60"/>
            </w:pPr>
            <w:r>
              <w:rPr>
                <w:b/>
                <w:bCs/>
                <w:color w:val="276749"/>
                <w:sz w:val="18"/>
                <w:szCs w:val="18"/>
              </w:rPr>
              <w:t>BOTTOM LINE</w:t>
            </w:r>
          </w:p>
          <w:p w14:paraId="67E55861" w14:textId="77777777" w:rsidR="00D84D0A" w:rsidRDefault="00000000">
            <w:r>
              <w:t>Even under conservative, illustrative assumptions, the value of researcher time freed up (thousands of euros/year, redirected to the fieldwork and stakeholder engagement the brief says is the organisation's real priority) is one to two orders of magnitude larger than the licensing cost of any provider compared in Section 4. The business case does not hinge on which vendor is cheapest — it hinges on whether the system actually produces trustworthy, minimally-edited drafts. That is a product-quality and evaluation question for the 4-month build, not a procurement question.</w:t>
            </w:r>
          </w:p>
        </w:tc>
      </w:tr>
    </w:tbl>
    <w:p w14:paraId="12A4D598" w14:textId="77777777" w:rsidR="00D84D0A" w:rsidRDefault="00000000">
      <w:pPr>
        <w:pStyle w:val="Heading2"/>
        <w:spacing w:before="320" w:after="140"/>
      </w:pPr>
      <w:r>
        <w:rPr>
          <w:b/>
          <w:bCs/>
          <w:color w:val="1F3B57"/>
          <w:sz w:val="25"/>
          <w:szCs w:val="25"/>
        </w:rPr>
        <w:t>8.3 Payback</w:t>
      </w:r>
    </w:p>
    <w:p w14:paraId="58A2EAD4" w14:textId="77777777" w:rsidR="00D84D0A" w:rsidRDefault="00000000">
      <w:pPr>
        <w:spacing w:after="160"/>
      </w:pPr>
      <w:r>
        <w:t>Because the build phase is free (Sections 6 and 7) and Year 1 production licensing cost is small relative to almost any plausible time saving (Section 8.2), payback on the AI system itself is effectively immediate once it's in real use. The limiting factor for InnoBeweegLab is not return on investment — it is whether the prototype reaches a quality and trust bar where researchers actually adopt it instead of reverting to fully manual drafting. Treat the 4-month project's success criteria (already defined in the brief: grounded, non-generic, consistently styled output) as the real gating milestone, and treat cost as a solved problem.</w:t>
      </w:r>
    </w:p>
    <w:p w14:paraId="7D17B335" w14:textId="77777777" w:rsidR="00D84D0A" w:rsidRDefault="00000000">
      <w:r>
        <w:br w:type="page"/>
      </w:r>
    </w:p>
    <w:p w14:paraId="1143038C" w14:textId="77777777" w:rsidR="00D84D0A" w:rsidRDefault="00000000">
      <w:pPr>
        <w:pStyle w:val="Heading1"/>
        <w:pBdr>
          <w:bottom w:val="single" w:sz="8" w:space="4" w:color="2C7A7B"/>
        </w:pBdr>
        <w:spacing w:before="420" w:after="200"/>
      </w:pPr>
      <w:r>
        <w:rPr>
          <w:b/>
          <w:bCs/>
          <w:color w:val="1F3B57"/>
          <w:sz w:val="30"/>
          <w:szCs w:val="30"/>
        </w:rPr>
        <w:lastRenderedPageBreak/>
        <w:t>9. 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150"/>
        <w:gridCol w:w="5750"/>
      </w:tblGrid>
      <w:tr w:rsidR="00D84D0A" w14:paraId="43610C08" w14:textId="77777777">
        <w:tblPrEx>
          <w:tblCellMar>
            <w:top w:w="0" w:type="dxa"/>
            <w:bottom w:w="0" w:type="dxa"/>
          </w:tblCellMar>
        </w:tblPrEx>
        <w:trPr>
          <w:tblHeader/>
        </w:trPr>
        <w:tc>
          <w:tcPr>
            <w:tcW w:w="2450" w:type="dxa"/>
            <w:shd w:val="clear" w:color="auto" w:fill="1F3B57"/>
            <w:tcMar>
              <w:top w:w="100" w:type="dxa"/>
              <w:left w:w="120" w:type="dxa"/>
              <w:bottom w:w="100" w:type="dxa"/>
              <w:right w:w="120" w:type="dxa"/>
            </w:tcMar>
            <w:vAlign w:val="center"/>
          </w:tcPr>
          <w:p w14:paraId="52EBDF1C" w14:textId="77777777" w:rsidR="00D84D0A" w:rsidRDefault="00000000">
            <w:r>
              <w:rPr>
                <w:b/>
                <w:bCs/>
                <w:color w:val="FFFFFF"/>
                <w:sz w:val="19"/>
                <w:szCs w:val="19"/>
              </w:rPr>
              <w:t>Risk</w:t>
            </w:r>
          </w:p>
        </w:tc>
        <w:tc>
          <w:tcPr>
            <w:tcW w:w="1150" w:type="dxa"/>
            <w:shd w:val="clear" w:color="auto" w:fill="1F3B57"/>
            <w:tcMar>
              <w:top w:w="100" w:type="dxa"/>
              <w:left w:w="120" w:type="dxa"/>
              <w:bottom w:w="100" w:type="dxa"/>
              <w:right w:w="120" w:type="dxa"/>
            </w:tcMar>
            <w:vAlign w:val="center"/>
          </w:tcPr>
          <w:p w14:paraId="3DDB196D" w14:textId="77777777" w:rsidR="00D84D0A" w:rsidRDefault="00000000">
            <w:r>
              <w:rPr>
                <w:b/>
                <w:bCs/>
                <w:color w:val="FFFFFF"/>
                <w:sz w:val="19"/>
                <w:szCs w:val="19"/>
              </w:rPr>
              <w:t>Level</w:t>
            </w:r>
          </w:p>
        </w:tc>
        <w:tc>
          <w:tcPr>
            <w:tcW w:w="5750" w:type="dxa"/>
            <w:shd w:val="clear" w:color="auto" w:fill="1F3B57"/>
            <w:tcMar>
              <w:top w:w="100" w:type="dxa"/>
              <w:left w:w="120" w:type="dxa"/>
              <w:bottom w:w="100" w:type="dxa"/>
              <w:right w:w="120" w:type="dxa"/>
            </w:tcMar>
            <w:vAlign w:val="center"/>
          </w:tcPr>
          <w:p w14:paraId="196B45CA" w14:textId="77777777" w:rsidR="00D84D0A" w:rsidRDefault="00000000">
            <w:r>
              <w:rPr>
                <w:b/>
                <w:bCs/>
                <w:color w:val="FFFFFF"/>
                <w:sz w:val="19"/>
                <w:szCs w:val="19"/>
              </w:rPr>
              <w:t>Mitigation</w:t>
            </w:r>
          </w:p>
        </w:tc>
      </w:tr>
      <w:tr w:rsidR="00D84D0A" w14:paraId="373D4502" w14:textId="77777777">
        <w:tblPrEx>
          <w:tblCellMar>
            <w:top w:w="0" w:type="dxa"/>
            <w:bottom w:w="0" w:type="dxa"/>
          </w:tblCellMar>
        </w:tblPrEx>
        <w:tc>
          <w:tcPr>
            <w:tcW w:w="2450" w:type="dxa"/>
            <w:tcMar>
              <w:top w:w="100" w:type="dxa"/>
              <w:left w:w="120" w:type="dxa"/>
              <w:bottom w:w="100" w:type="dxa"/>
              <w:right w:w="120" w:type="dxa"/>
            </w:tcMar>
            <w:vAlign w:val="center"/>
          </w:tcPr>
          <w:p w14:paraId="7D176AD7" w14:textId="77777777" w:rsidR="00D84D0A" w:rsidRDefault="00000000">
            <w:r>
              <w:rPr>
                <w:sz w:val="19"/>
                <w:szCs w:val="19"/>
              </w:rPr>
              <w:t>Ungrounded or generic recommendations (explicitly called out as a failure mode in the brief)</w:t>
            </w:r>
          </w:p>
        </w:tc>
        <w:tc>
          <w:tcPr>
            <w:tcW w:w="1150" w:type="dxa"/>
            <w:tcMar>
              <w:top w:w="100" w:type="dxa"/>
              <w:left w:w="120" w:type="dxa"/>
              <w:bottom w:w="100" w:type="dxa"/>
              <w:right w:w="120" w:type="dxa"/>
            </w:tcMar>
            <w:vAlign w:val="center"/>
          </w:tcPr>
          <w:p w14:paraId="066AB571" w14:textId="77777777" w:rsidR="00D84D0A" w:rsidRDefault="00000000">
            <w:r>
              <w:rPr>
                <w:sz w:val="19"/>
                <w:szCs w:val="19"/>
              </w:rPr>
              <w:t>High</w:t>
            </w:r>
          </w:p>
        </w:tc>
        <w:tc>
          <w:tcPr>
            <w:tcW w:w="5750" w:type="dxa"/>
            <w:tcMar>
              <w:top w:w="100" w:type="dxa"/>
              <w:left w:w="120" w:type="dxa"/>
              <w:bottom w:w="100" w:type="dxa"/>
              <w:right w:w="120" w:type="dxa"/>
            </w:tcMar>
            <w:vAlign w:val="center"/>
          </w:tcPr>
          <w:p w14:paraId="46BF62C7" w14:textId="77777777" w:rsidR="00D84D0A" w:rsidRDefault="00000000">
            <w:r>
              <w:rPr>
                <w:sz w:val="19"/>
                <w:szCs w:val="19"/>
              </w:rPr>
              <w:t>RAG architecture with source citations for every claim; explicitly separate "observation / finding / conclusion / recommendation" in the data model, as the brief requests; mandatory researcher review before publication.</w:t>
            </w:r>
          </w:p>
        </w:tc>
      </w:tr>
      <w:tr w:rsidR="00D84D0A" w14:paraId="0265A000"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448D39F7" w14:textId="77777777" w:rsidR="00D84D0A" w:rsidRDefault="00000000">
            <w:r>
              <w:rPr>
                <w:sz w:val="19"/>
                <w:szCs w:val="19"/>
              </w:rPr>
              <w:t>Exposure of resident personal (or special-category) data to a third-party API</w:t>
            </w:r>
          </w:p>
        </w:tc>
        <w:tc>
          <w:tcPr>
            <w:tcW w:w="1150" w:type="dxa"/>
            <w:shd w:val="clear" w:color="auto" w:fill="EEF3F5"/>
            <w:tcMar>
              <w:top w:w="100" w:type="dxa"/>
              <w:left w:w="120" w:type="dxa"/>
              <w:bottom w:w="100" w:type="dxa"/>
              <w:right w:w="120" w:type="dxa"/>
            </w:tcMar>
            <w:vAlign w:val="center"/>
          </w:tcPr>
          <w:p w14:paraId="78F58335" w14:textId="77777777" w:rsidR="00D84D0A" w:rsidRDefault="00000000">
            <w:r>
              <w:rPr>
                <w:sz w:val="19"/>
                <w:szCs w:val="19"/>
              </w:rPr>
              <w:t>High</w:t>
            </w:r>
          </w:p>
        </w:tc>
        <w:tc>
          <w:tcPr>
            <w:tcW w:w="5750" w:type="dxa"/>
            <w:shd w:val="clear" w:color="auto" w:fill="EEF3F5"/>
            <w:tcMar>
              <w:top w:w="100" w:type="dxa"/>
              <w:left w:w="120" w:type="dxa"/>
              <w:bottom w:w="100" w:type="dxa"/>
              <w:right w:w="120" w:type="dxa"/>
            </w:tcMar>
            <w:vAlign w:val="center"/>
          </w:tcPr>
          <w:p w14:paraId="7DB77738" w14:textId="77777777" w:rsidR="00D84D0A" w:rsidRDefault="00000000">
            <w:r>
              <w:rPr>
                <w:sz w:val="19"/>
                <w:szCs w:val="19"/>
              </w:rPr>
              <w:t>Pseudonymise resident data before it reaches any LLM where feasible; prefer EU-resident routes (Azure OpenAI West Europe, or Mistral AI) for any step touching identifiable data; sign a Data Processing Agreement with the chosen vendor; avoid Claude-on-Foundry for this specific data type until EU hosting is available.</w:t>
            </w:r>
          </w:p>
        </w:tc>
      </w:tr>
      <w:tr w:rsidR="00D84D0A" w14:paraId="7E80B8B4" w14:textId="77777777">
        <w:tblPrEx>
          <w:tblCellMar>
            <w:top w:w="0" w:type="dxa"/>
            <w:bottom w:w="0" w:type="dxa"/>
          </w:tblCellMar>
        </w:tblPrEx>
        <w:tc>
          <w:tcPr>
            <w:tcW w:w="2450" w:type="dxa"/>
            <w:tcMar>
              <w:top w:w="100" w:type="dxa"/>
              <w:left w:w="120" w:type="dxa"/>
              <w:bottom w:w="100" w:type="dxa"/>
              <w:right w:w="120" w:type="dxa"/>
            </w:tcMar>
            <w:vAlign w:val="center"/>
          </w:tcPr>
          <w:p w14:paraId="0FB7CED5" w14:textId="77777777" w:rsidR="00D84D0A" w:rsidRDefault="00000000">
            <w:r>
              <w:rPr>
                <w:sz w:val="19"/>
                <w:szCs w:val="19"/>
              </w:rPr>
              <w:t>Vendor lock-in to one provider's SDK/agent framework</w:t>
            </w:r>
          </w:p>
        </w:tc>
        <w:tc>
          <w:tcPr>
            <w:tcW w:w="1150" w:type="dxa"/>
            <w:tcMar>
              <w:top w:w="100" w:type="dxa"/>
              <w:left w:w="120" w:type="dxa"/>
              <w:bottom w:w="100" w:type="dxa"/>
              <w:right w:w="120" w:type="dxa"/>
            </w:tcMar>
            <w:vAlign w:val="center"/>
          </w:tcPr>
          <w:p w14:paraId="19868904" w14:textId="77777777" w:rsidR="00D84D0A" w:rsidRDefault="00000000">
            <w:r>
              <w:rPr>
                <w:sz w:val="19"/>
                <w:szCs w:val="19"/>
              </w:rPr>
              <w:t>Medium</w:t>
            </w:r>
          </w:p>
        </w:tc>
        <w:tc>
          <w:tcPr>
            <w:tcW w:w="5750" w:type="dxa"/>
            <w:tcMar>
              <w:top w:w="100" w:type="dxa"/>
              <w:left w:w="120" w:type="dxa"/>
              <w:bottom w:w="100" w:type="dxa"/>
              <w:right w:w="120" w:type="dxa"/>
            </w:tcMar>
            <w:vAlign w:val="center"/>
          </w:tcPr>
          <w:p w14:paraId="59431B72" w14:textId="77777777" w:rsidR="00D84D0A" w:rsidRDefault="00000000">
            <w:r>
              <w:rPr>
                <w:sz w:val="19"/>
                <w:szCs w:val="19"/>
              </w:rPr>
              <w:t>Build the orchestration layer against an abstraction (e.g. a thin internal interface, or a framework like LangChain/LlamaIndex/Semantic Kernel) so swapping the underlying model is a configuration change, not a rewrite.</w:t>
            </w:r>
          </w:p>
        </w:tc>
      </w:tr>
      <w:tr w:rsidR="00D84D0A" w14:paraId="4A1D8775"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2B3ADEDB" w14:textId="77777777" w:rsidR="00D84D0A" w:rsidRDefault="00000000">
            <w:r>
              <w:rPr>
                <w:sz w:val="19"/>
                <w:szCs w:val="19"/>
              </w:rPr>
              <w:t>Model deprecation or repricing mid-project</w:t>
            </w:r>
          </w:p>
        </w:tc>
        <w:tc>
          <w:tcPr>
            <w:tcW w:w="1150" w:type="dxa"/>
            <w:shd w:val="clear" w:color="auto" w:fill="EEF3F5"/>
            <w:tcMar>
              <w:top w:w="100" w:type="dxa"/>
              <w:left w:w="120" w:type="dxa"/>
              <w:bottom w:w="100" w:type="dxa"/>
              <w:right w:w="120" w:type="dxa"/>
            </w:tcMar>
            <w:vAlign w:val="center"/>
          </w:tcPr>
          <w:p w14:paraId="0C844F01" w14:textId="77777777" w:rsidR="00D84D0A" w:rsidRDefault="00000000">
            <w:r>
              <w:rPr>
                <w:sz w:val="19"/>
                <w:szCs w:val="19"/>
              </w:rPr>
              <w:t>Medium</w:t>
            </w:r>
          </w:p>
        </w:tc>
        <w:tc>
          <w:tcPr>
            <w:tcW w:w="5750" w:type="dxa"/>
            <w:shd w:val="clear" w:color="auto" w:fill="EEF3F5"/>
            <w:tcMar>
              <w:top w:w="100" w:type="dxa"/>
              <w:left w:w="120" w:type="dxa"/>
              <w:bottom w:w="100" w:type="dxa"/>
              <w:right w:w="120" w:type="dxa"/>
            </w:tcMar>
            <w:vAlign w:val="center"/>
          </w:tcPr>
          <w:p w14:paraId="4AD78BDD" w14:textId="77777777" w:rsidR="00D84D0A" w:rsidRDefault="00000000">
            <w:r>
              <w:rPr>
                <w:sz w:val="19"/>
                <w:szCs w:val="19"/>
              </w:rPr>
              <w:t>Pin exact model versions in code; budget a light recurring check (quarterly) once in production; the multi-provider comparison in this document gives a ready fallback if one vendor changes terms.</w:t>
            </w:r>
          </w:p>
        </w:tc>
      </w:tr>
      <w:tr w:rsidR="00D84D0A" w14:paraId="1647D644" w14:textId="77777777">
        <w:tblPrEx>
          <w:tblCellMar>
            <w:top w:w="0" w:type="dxa"/>
            <w:bottom w:w="0" w:type="dxa"/>
          </w:tblCellMar>
        </w:tblPrEx>
        <w:tc>
          <w:tcPr>
            <w:tcW w:w="2450" w:type="dxa"/>
            <w:tcMar>
              <w:top w:w="100" w:type="dxa"/>
              <w:left w:w="120" w:type="dxa"/>
              <w:bottom w:w="100" w:type="dxa"/>
              <w:right w:w="120" w:type="dxa"/>
            </w:tcMar>
            <w:vAlign w:val="center"/>
          </w:tcPr>
          <w:p w14:paraId="69E27C1A" w14:textId="77777777" w:rsidR="00D84D0A" w:rsidRDefault="00000000">
            <w:r>
              <w:rPr>
                <w:sz w:val="19"/>
                <w:szCs w:val="19"/>
              </w:rPr>
              <w:t>Usage growing beyond the "Light/Medium" scenarios modelled (e.g. daily interactive use by the whole team)</w:t>
            </w:r>
          </w:p>
        </w:tc>
        <w:tc>
          <w:tcPr>
            <w:tcW w:w="1150" w:type="dxa"/>
            <w:tcMar>
              <w:top w:w="100" w:type="dxa"/>
              <w:left w:w="120" w:type="dxa"/>
              <w:bottom w:w="100" w:type="dxa"/>
              <w:right w:w="120" w:type="dxa"/>
            </w:tcMar>
            <w:vAlign w:val="center"/>
          </w:tcPr>
          <w:p w14:paraId="30BFE12A" w14:textId="77777777" w:rsidR="00D84D0A" w:rsidRDefault="00000000">
            <w:r>
              <w:rPr>
                <w:sz w:val="19"/>
                <w:szCs w:val="19"/>
              </w:rPr>
              <w:t>Low now, Medium later</w:t>
            </w:r>
          </w:p>
        </w:tc>
        <w:tc>
          <w:tcPr>
            <w:tcW w:w="5750" w:type="dxa"/>
            <w:tcMar>
              <w:top w:w="100" w:type="dxa"/>
              <w:left w:w="120" w:type="dxa"/>
              <w:bottom w:w="100" w:type="dxa"/>
              <w:right w:w="120" w:type="dxa"/>
            </w:tcMar>
            <w:vAlign w:val="center"/>
          </w:tcPr>
          <w:p w14:paraId="4C2DDB6E" w14:textId="77777777" w:rsidR="00D84D0A" w:rsidRDefault="00000000">
            <w:r>
              <w:rPr>
                <w:sz w:val="19"/>
                <w:szCs w:val="19"/>
              </w:rPr>
              <w:t>Even the "Heavy" scenario stayed under €400/year for inference (Section 4.3); the actual risk is infrastructure cost scaling with a fully managed stack — monitor usage and revisit the lean-vs-managed infrastructure decision if adoption grows.</w:t>
            </w:r>
          </w:p>
        </w:tc>
      </w:tr>
      <w:tr w:rsidR="00D84D0A" w14:paraId="70515F79" w14:textId="77777777">
        <w:tblPrEx>
          <w:tblCellMar>
            <w:top w:w="0" w:type="dxa"/>
            <w:bottom w:w="0" w:type="dxa"/>
          </w:tblCellMar>
        </w:tblPrEx>
        <w:tc>
          <w:tcPr>
            <w:tcW w:w="2450" w:type="dxa"/>
            <w:shd w:val="clear" w:color="auto" w:fill="EEF3F5"/>
            <w:tcMar>
              <w:top w:w="100" w:type="dxa"/>
              <w:left w:w="120" w:type="dxa"/>
              <w:bottom w:w="100" w:type="dxa"/>
              <w:right w:w="120" w:type="dxa"/>
            </w:tcMar>
            <w:vAlign w:val="center"/>
          </w:tcPr>
          <w:p w14:paraId="5CF3B73B" w14:textId="77777777" w:rsidR="00D84D0A" w:rsidRDefault="00000000">
            <w:r>
              <w:rPr>
                <w:sz w:val="19"/>
                <w:szCs w:val="19"/>
              </w:rPr>
              <w:t>Over-reliance eroding researcher judgement</w:t>
            </w:r>
          </w:p>
        </w:tc>
        <w:tc>
          <w:tcPr>
            <w:tcW w:w="1150" w:type="dxa"/>
            <w:shd w:val="clear" w:color="auto" w:fill="EEF3F5"/>
            <w:tcMar>
              <w:top w:w="100" w:type="dxa"/>
              <w:left w:w="120" w:type="dxa"/>
              <w:bottom w:w="100" w:type="dxa"/>
              <w:right w:w="120" w:type="dxa"/>
            </w:tcMar>
            <w:vAlign w:val="center"/>
          </w:tcPr>
          <w:p w14:paraId="0CC94C0C" w14:textId="77777777" w:rsidR="00D84D0A" w:rsidRDefault="00000000">
            <w:r>
              <w:rPr>
                <w:sz w:val="19"/>
                <w:szCs w:val="19"/>
              </w:rPr>
              <w:t>Medium</w:t>
            </w:r>
          </w:p>
        </w:tc>
        <w:tc>
          <w:tcPr>
            <w:tcW w:w="5750" w:type="dxa"/>
            <w:shd w:val="clear" w:color="auto" w:fill="EEF3F5"/>
            <w:tcMar>
              <w:top w:w="100" w:type="dxa"/>
              <w:left w:w="120" w:type="dxa"/>
              <w:bottom w:w="100" w:type="dxa"/>
              <w:right w:w="120" w:type="dxa"/>
            </w:tcMar>
            <w:vAlign w:val="center"/>
          </w:tcPr>
          <w:p w14:paraId="21771445" w14:textId="77777777" w:rsidR="00D84D0A" w:rsidRDefault="00000000">
            <w:r>
              <w:rPr>
                <w:sz w:val="19"/>
                <w:szCs w:val="19"/>
              </w:rPr>
              <w:t>Already addressed by the brief's own success criteria (human validates interpretation and recommendations); keep this as a hard product requirement, not just a nice-to-have, through the 4-month build.</w:t>
            </w:r>
          </w:p>
        </w:tc>
      </w:tr>
      <w:tr w:rsidR="00D84D0A" w14:paraId="02305C72" w14:textId="77777777">
        <w:tblPrEx>
          <w:tblCellMar>
            <w:top w:w="0" w:type="dxa"/>
            <w:bottom w:w="0" w:type="dxa"/>
          </w:tblCellMar>
        </w:tblPrEx>
        <w:tc>
          <w:tcPr>
            <w:tcW w:w="2450" w:type="dxa"/>
            <w:tcMar>
              <w:top w:w="100" w:type="dxa"/>
              <w:left w:w="120" w:type="dxa"/>
              <w:bottom w:w="100" w:type="dxa"/>
              <w:right w:w="120" w:type="dxa"/>
            </w:tcMar>
            <w:vAlign w:val="center"/>
          </w:tcPr>
          <w:p w14:paraId="7CC89EF0" w14:textId="77777777" w:rsidR="00D84D0A" w:rsidRDefault="00000000">
            <w:r>
              <w:rPr>
                <w:sz w:val="19"/>
                <w:szCs w:val="19"/>
              </w:rPr>
              <w:t>Output used to inform public-sector/municipal decisions — transparency expectations (EU AI Act context)</w:t>
            </w:r>
          </w:p>
        </w:tc>
        <w:tc>
          <w:tcPr>
            <w:tcW w:w="1150" w:type="dxa"/>
            <w:tcMar>
              <w:top w:w="100" w:type="dxa"/>
              <w:left w:w="120" w:type="dxa"/>
              <w:bottom w:w="100" w:type="dxa"/>
              <w:right w:w="120" w:type="dxa"/>
            </w:tcMar>
            <w:vAlign w:val="center"/>
          </w:tcPr>
          <w:p w14:paraId="3786524D" w14:textId="77777777" w:rsidR="00D84D0A" w:rsidRDefault="00000000">
            <w:r>
              <w:rPr>
                <w:sz w:val="19"/>
                <w:szCs w:val="19"/>
              </w:rPr>
              <w:t>Medium</w:t>
            </w:r>
          </w:p>
        </w:tc>
        <w:tc>
          <w:tcPr>
            <w:tcW w:w="5750" w:type="dxa"/>
            <w:tcMar>
              <w:top w:w="100" w:type="dxa"/>
              <w:left w:w="120" w:type="dxa"/>
              <w:bottom w:w="100" w:type="dxa"/>
              <w:right w:w="120" w:type="dxa"/>
            </w:tcMar>
            <w:vAlign w:val="center"/>
          </w:tcPr>
          <w:p w14:paraId="37102A37" w14:textId="77777777" w:rsidR="00D84D0A" w:rsidRDefault="00000000">
            <w:r>
              <w:rPr>
                <w:sz w:val="19"/>
                <w:szCs w:val="19"/>
              </w:rPr>
              <w:t>Keep full provenance logging (which source passages informed which report section) and a clear human sign-off step; this is good practice regardless of the system's eventual regulatory classification, and directly supports the brief's "traceable, evidence-based" goal.</w:t>
            </w:r>
          </w:p>
        </w:tc>
      </w:tr>
    </w:tbl>
    <w:p w14:paraId="14573A70" w14:textId="77777777" w:rsidR="00D84D0A" w:rsidRDefault="00000000">
      <w:r>
        <w:br w:type="page"/>
      </w:r>
    </w:p>
    <w:p w14:paraId="716996EE" w14:textId="77777777" w:rsidR="00D84D0A" w:rsidRDefault="00000000">
      <w:pPr>
        <w:pStyle w:val="Heading1"/>
        <w:pBdr>
          <w:bottom w:val="single" w:sz="8" w:space="4" w:color="2C7A7B"/>
        </w:pBdr>
        <w:spacing w:before="420" w:after="200"/>
      </w:pPr>
      <w:r>
        <w:rPr>
          <w:b/>
          <w:bCs/>
          <w:color w:val="1F3B57"/>
          <w:sz w:val="30"/>
          <w:szCs w:val="30"/>
        </w:rPr>
        <w:lastRenderedPageBreak/>
        <w:t>10. Recommendation &amp; phased approach</w:t>
      </w:r>
    </w:p>
    <w:p w14:paraId="7AD01ACC" w14:textId="77777777" w:rsidR="00D84D0A" w:rsidRDefault="00000000">
      <w:pPr>
        <w:pStyle w:val="Heading2"/>
        <w:spacing w:before="320" w:after="140"/>
      </w:pPr>
      <w:r>
        <w:rPr>
          <w:b/>
          <w:bCs/>
          <w:color w:val="1F3B57"/>
          <w:sz w:val="25"/>
          <w:szCs w:val="25"/>
        </w:rPr>
        <w:t>10.1 Phase 1 — the 4-month build (now → project handover)</w:t>
      </w:r>
    </w:p>
    <w:p w14:paraId="1CA10B5C" w14:textId="77777777" w:rsidR="00D84D0A" w:rsidRDefault="00000000">
      <w:pPr>
        <w:pStyle w:val="ListParagraph"/>
        <w:numPr>
          <w:ilvl w:val="0"/>
          <w:numId w:val="2"/>
        </w:numPr>
        <w:spacing w:after="90"/>
      </w:pPr>
      <w:r>
        <w:rPr>
          <w:b/>
          <w:bCs/>
        </w:rPr>
        <w:t xml:space="preserve">Stay provider-agnostic in the architecture: </w:t>
      </w:r>
      <w:r>
        <w:t>put a thin abstraction layer between the multi-agent pipeline and the model calls, so any provider can be swapped in behind it. This protects the team from being wrong about the production choice, and directly serves the business case's cost-flexibility argument.</w:t>
      </w:r>
    </w:p>
    <w:p w14:paraId="693D76A7" w14:textId="77777777" w:rsidR="00D84D0A" w:rsidRDefault="00000000">
      <w:pPr>
        <w:pStyle w:val="ListParagraph"/>
        <w:numPr>
          <w:ilvl w:val="0"/>
          <w:numId w:val="2"/>
        </w:numPr>
        <w:spacing w:after="90"/>
      </w:pPr>
      <w:r>
        <w:rPr>
          <w:b/>
          <w:bCs/>
        </w:rPr>
        <w:t xml:space="preserve">Prototype and evaluate with at least two models side by side: </w:t>
      </w:r>
      <w:r>
        <w:t>Claude Sonnet 5 (Anthropic) and either Mistral Large 3 or GPT-5.6 Terra (Azure-hosted, EU region) — the free-tier versions of these from Section 6.2 are enough for this stage. Running InnoBeweegLab's own real (anonymised) data through both is the only reliable way to judge which handles this specific report-writing task best — published benchmarks won't answer that.</w:t>
      </w:r>
    </w:p>
    <w:p w14:paraId="75FDC147" w14:textId="77777777" w:rsidR="00D84D0A" w:rsidRDefault="00000000">
      <w:pPr>
        <w:pStyle w:val="ListParagraph"/>
        <w:numPr>
          <w:ilvl w:val="0"/>
          <w:numId w:val="2"/>
        </w:numPr>
        <w:spacing w:after="90"/>
      </w:pPr>
      <w:r>
        <w:rPr>
          <w:b/>
          <w:bCs/>
        </w:rPr>
        <w:t xml:space="preserve">Fund it with the zero-cost options and student/education credits </w:t>
      </w:r>
      <w:r>
        <w:t>(Sections 6 and 7) rather than personal spending, and confirm the nonprofit-grant and Fontys-institutional options in parallel — they matter more for the production decision than the prototype.</w:t>
      </w:r>
    </w:p>
    <w:p w14:paraId="22ECAE1E" w14:textId="77777777" w:rsidR="00D84D0A" w:rsidRDefault="00000000">
      <w:pPr>
        <w:pStyle w:val="ListParagraph"/>
        <w:numPr>
          <w:ilvl w:val="0"/>
          <w:numId w:val="2"/>
        </w:numPr>
        <w:spacing w:after="90"/>
      </w:pPr>
      <w:r>
        <w:rPr>
          <w:b/>
          <w:bCs/>
        </w:rPr>
        <w:t xml:space="preserve">Pseudonymise resident data by default </w:t>
      </w:r>
      <w:r>
        <w:t>in the data-ingestion step, from day one — it's far easier to build this in from the start than retrofit it later.</w:t>
      </w:r>
    </w:p>
    <w:p w14:paraId="6CE068F9" w14:textId="77777777" w:rsidR="00D84D0A" w:rsidRDefault="00000000">
      <w:pPr>
        <w:pStyle w:val="Heading2"/>
        <w:spacing w:before="320" w:after="140"/>
      </w:pPr>
      <w:r>
        <w:rPr>
          <w:b/>
          <w:bCs/>
          <w:color w:val="1F3B57"/>
          <w:sz w:val="25"/>
          <w:szCs w:val="25"/>
        </w:rPr>
        <w:t>10.2 Phase 2 — production recommendation (post-handover)</w:t>
      </w:r>
    </w:p>
    <w:p w14:paraId="7827FB82" w14:textId="77777777" w:rsidR="00D84D0A" w:rsidRDefault="00000000">
      <w:pPr>
        <w:spacing w:after="160"/>
      </w:pPr>
      <w:r>
        <w:t>Two credible production paths, both compliant and both realistic for a Microsoft-using organisation with limited budget:</w:t>
      </w:r>
    </w:p>
    <w:p w14:paraId="30E8AF60" w14:textId="77777777" w:rsidR="00D84D0A" w:rsidRDefault="00000000">
      <w:pPr>
        <w:pStyle w:val="ListParagraph"/>
        <w:numPr>
          <w:ilvl w:val="0"/>
          <w:numId w:val="2"/>
        </w:numPr>
        <w:spacing w:after="90"/>
      </w:pPr>
      <w:r>
        <w:rPr>
          <w:b/>
          <w:bCs/>
        </w:rPr>
        <w:t xml:space="preserve">Path A — Azure OpenAI (GPT-5.6 family), West Europe region: </w:t>
      </w:r>
      <w:r>
        <w:t>best fit if InnoBeweegLab wants to stay inside its existing Microsoft ecosystem (single sign-on via Entra ID, natural fit with SharePoint/OneDrive-stored research data, one vendor relationship to manage) with a straightforward, contractual EU-residency answer. Section 4.4 prices this integration at roughly €5–50/month on a lean setup.</w:t>
      </w:r>
    </w:p>
    <w:p w14:paraId="699CC72C" w14:textId="77777777" w:rsidR="00D84D0A" w:rsidRDefault="00000000">
      <w:pPr>
        <w:pStyle w:val="ListParagraph"/>
        <w:numPr>
          <w:ilvl w:val="0"/>
          <w:numId w:val="2"/>
        </w:numPr>
        <w:spacing w:after="90"/>
      </w:pPr>
      <w:r>
        <w:rPr>
          <w:b/>
          <w:bCs/>
        </w:rPr>
        <w:t xml:space="preserve">Path B — Mistral AI: </w:t>
      </w:r>
      <w:r>
        <w:t>best fit if data sovereignty is the overriding priority, or if InnoBeweegLab wants the lowest possible ongoing cost with no regional configuration to think about. Slightly more integration work outside the Microsoft ecosystem, but no meaningfully higher risk.</w:t>
      </w:r>
    </w:p>
    <w:p w14:paraId="3E91BFE5" w14:textId="77777777" w:rsidR="00D84D0A" w:rsidRDefault="00000000">
      <w:pPr>
        <w:spacing w:after="160"/>
      </w:pPr>
      <w:r>
        <w:t>Either path keeps Anthropic Claude available as a component for specific sub-tasks where its writing/reasoning quality is worth the trade-off (e.g. final polishing passes on non-sensitive, already-anonymised text), routed via Bedrock or Vertex AI's EU regions rather than the first-party API if any personal data is involved. Avoid Claude-on-Microsoft-Foundry specifically until Anthropic and Microsoft add EU hosting for that combination — revisit this document's Section 5 table periodically, since this is exactly the kind of detail that changes with vendor roadmaps.</w:t>
      </w:r>
    </w:p>
    <w:p w14:paraId="787B9705" w14:textId="77777777" w:rsidR="00D84D0A" w:rsidRDefault="00000000">
      <w:pPr>
        <w:pStyle w:val="Heading2"/>
        <w:spacing w:before="320" w:after="140"/>
      </w:pPr>
      <w:r>
        <w:rPr>
          <w:b/>
          <w:bCs/>
          <w:color w:val="1F3B57"/>
          <w:sz w:val="25"/>
          <w:szCs w:val="25"/>
        </w:rPr>
        <w:t>10.3 What not to do</w:t>
      </w:r>
    </w:p>
    <w:p w14:paraId="385D8B0F" w14:textId="77777777" w:rsidR="00D84D0A" w:rsidRDefault="00000000">
      <w:pPr>
        <w:pStyle w:val="ListParagraph"/>
        <w:numPr>
          <w:ilvl w:val="0"/>
          <w:numId w:val="2"/>
        </w:numPr>
        <w:spacing w:after="90"/>
      </w:pPr>
      <w:r>
        <w:rPr>
          <w:b/>
          <w:bCs/>
        </w:rPr>
        <w:t xml:space="preserve">Don't self-host on rented cloud GPUs </w:t>
      </w:r>
      <w:r>
        <w:t>for this project or its first production year — the cost only makes sense at a scale roughly 100–1,000× larger than anything modelled in Section 4.3, and it would consume engineering time InnoBeweegLab doesn't have. Free local self-hosting (Section 6.1) is a different, genuinely worthwhile option for the specific pipeline steps that touch raw personal data.</w:t>
      </w:r>
    </w:p>
    <w:p w14:paraId="77AC9C08" w14:textId="77777777" w:rsidR="00D84D0A" w:rsidRDefault="00000000">
      <w:pPr>
        <w:pStyle w:val="ListParagraph"/>
        <w:numPr>
          <w:ilvl w:val="0"/>
          <w:numId w:val="2"/>
        </w:numPr>
        <w:spacing w:after="90"/>
      </w:pPr>
      <w:r>
        <w:rPr>
          <w:b/>
          <w:bCs/>
        </w:rPr>
        <w:t xml:space="preserve">Don't over-invest in a full managed enterprise RAG stack </w:t>
      </w:r>
      <w:r>
        <w:t>before adoption is proven — Section 4.3's and Section 4.4's infrastructure gap (roughly €5–50/month lean vs €500–1,000+/month fully managed) is the single biggest cost lever in this whole document, and it's a build decision, not a vendor decision.</w:t>
      </w:r>
    </w:p>
    <w:p w14:paraId="33EADA17" w14:textId="77777777" w:rsidR="00D84D0A" w:rsidRDefault="00000000">
      <w:r>
        <w:br w:type="page"/>
      </w:r>
    </w:p>
    <w:p w14:paraId="53BD6F82" w14:textId="77777777" w:rsidR="00D84D0A" w:rsidRDefault="00000000">
      <w:pPr>
        <w:pStyle w:val="Heading1"/>
        <w:pBdr>
          <w:bottom w:val="single" w:sz="8" w:space="4" w:color="2C7A7B"/>
        </w:pBdr>
        <w:spacing w:before="420" w:after="200"/>
      </w:pPr>
      <w:r>
        <w:rPr>
          <w:b/>
          <w:bCs/>
          <w:color w:val="1F3B57"/>
          <w:sz w:val="30"/>
          <w:szCs w:val="30"/>
        </w:rPr>
        <w:lastRenderedPageBreak/>
        <w:t>11. Appendix</w:t>
      </w:r>
    </w:p>
    <w:p w14:paraId="256BAF30" w14:textId="77777777" w:rsidR="00D84D0A" w:rsidRDefault="00000000">
      <w:pPr>
        <w:pStyle w:val="Heading2"/>
        <w:spacing w:before="320" w:after="140"/>
      </w:pPr>
      <w:r>
        <w:rPr>
          <w:b/>
          <w:bCs/>
          <w:color w:val="1F3B57"/>
          <w:sz w:val="25"/>
          <w:szCs w:val="25"/>
        </w:rPr>
        <w:t>11.1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D84D0A" w14:paraId="37E98F32" w14:textId="77777777">
        <w:tblPrEx>
          <w:tblCellMar>
            <w:top w:w="0" w:type="dxa"/>
            <w:bottom w:w="0" w:type="dxa"/>
          </w:tblCellMar>
        </w:tblPrEx>
        <w:trPr>
          <w:tblHeader/>
        </w:trPr>
        <w:tc>
          <w:tcPr>
            <w:tcW w:w="2200" w:type="dxa"/>
            <w:shd w:val="clear" w:color="auto" w:fill="1F3B57"/>
            <w:tcMar>
              <w:top w:w="100" w:type="dxa"/>
              <w:left w:w="120" w:type="dxa"/>
              <w:bottom w:w="100" w:type="dxa"/>
              <w:right w:w="120" w:type="dxa"/>
            </w:tcMar>
            <w:vAlign w:val="center"/>
          </w:tcPr>
          <w:p w14:paraId="2F2C7990" w14:textId="77777777" w:rsidR="00D84D0A" w:rsidRDefault="00000000">
            <w:r>
              <w:rPr>
                <w:b/>
                <w:bCs/>
                <w:color w:val="FFFFFF"/>
                <w:sz w:val="19"/>
                <w:szCs w:val="19"/>
              </w:rPr>
              <w:t>Term</w:t>
            </w:r>
          </w:p>
        </w:tc>
        <w:tc>
          <w:tcPr>
            <w:tcW w:w="7150" w:type="dxa"/>
            <w:shd w:val="clear" w:color="auto" w:fill="1F3B57"/>
            <w:tcMar>
              <w:top w:w="100" w:type="dxa"/>
              <w:left w:w="120" w:type="dxa"/>
              <w:bottom w:w="100" w:type="dxa"/>
              <w:right w:w="120" w:type="dxa"/>
            </w:tcMar>
            <w:vAlign w:val="center"/>
          </w:tcPr>
          <w:p w14:paraId="58405AD5" w14:textId="77777777" w:rsidR="00D84D0A" w:rsidRDefault="00000000">
            <w:r>
              <w:rPr>
                <w:b/>
                <w:bCs/>
                <w:color w:val="FFFFFF"/>
                <w:sz w:val="19"/>
                <w:szCs w:val="19"/>
              </w:rPr>
              <w:t>Meaning</w:t>
            </w:r>
          </w:p>
        </w:tc>
      </w:tr>
      <w:tr w:rsidR="00D84D0A" w14:paraId="556C9094" w14:textId="77777777">
        <w:tblPrEx>
          <w:tblCellMar>
            <w:top w:w="0" w:type="dxa"/>
            <w:bottom w:w="0" w:type="dxa"/>
          </w:tblCellMar>
        </w:tblPrEx>
        <w:tc>
          <w:tcPr>
            <w:tcW w:w="2200" w:type="dxa"/>
            <w:tcMar>
              <w:top w:w="100" w:type="dxa"/>
              <w:left w:w="120" w:type="dxa"/>
              <w:bottom w:w="100" w:type="dxa"/>
              <w:right w:w="120" w:type="dxa"/>
            </w:tcMar>
            <w:vAlign w:val="center"/>
          </w:tcPr>
          <w:p w14:paraId="162747A2" w14:textId="77777777" w:rsidR="00D84D0A" w:rsidRDefault="00000000">
            <w:r>
              <w:rPr>
                <w:sz w:val="19"/>
                <w:szCs w:val="19"/>
              </w:rPr>
              <w:t>Token</w:t>
            </w:r>
          </w:p>
        </w:tc>
        <w:tc>
          <w:tcPr>
            <w:tcW w:w="7150" w:type="dxa"/>
            <w:tcMar>
              <w:top w:w="100" w:type="dxa"/>
              <w:left w:w="120" w:type="dxa"/>
              <w:bottom w:w="100" w:type="dxa"/>
              <w:right w:w="120" w:type="dxa"/>
            </w:tcMar>
            <w:vAlign w:val="center"/>
          </w:tcPr>
          <w:p w14:paraId="7BF3DCDA" w14:textId="77777777" w:rsidR="00D84D0A" w:rsidRDefault="00000000">
            <w:r>
              <w:rPr>
                <w:sz w:val="19"/>
                <w:szCs w:val="19"/>
              </w:rPr>
              <w:t>A fragment of text (roughly ¾ of a word on average) — the unit LLM providers bill by. 1,000 tokens ≈ 750 words.</w:t>
            </w:r>
          </w:p>
        </w:tc>
      </w:tr>
      <w:tr w:rsidR="00D84D0A" w14:paraId="3C855E24" w14:textId="77777777">
        <w:tblPrEx>
          <w:tblCellMar>
            <w:top w:w="0" w:type="dxa"/>
            <w:bottom w:w="0" w:type="dxa"/>
          </w:tblCellMar>
        </w:tblPrEx>
        <w:tc>
          <w:tcPr>
            <w:tcW w:w="2200" w:type="dxa"/>
            <w:shd w:val="clear" w:color="auto" w:fill="EEF3F5"/>
            <w:tcMar>
              <w:top w:w="100" w:type="dxa"/>
              <w:left w:w="120" w:type="dxa"/>
              <w:bottom w:w="100" w:type="dxa"/>
              <w:right w:w="120" w:type="dxa"/>
            </w:tcMar>
            <w:vAlign w:val="center"/>
          </w:tcPr>
          <w:p w14:paraId="40F3617F" w14:textId="77777777" w:rsidR="00D84D0A" w:rsidRDefault="00000000">
            <w:r>
              <w:rPr>
                <w:sz w:val="19"/>
                <w:szCs w:val="19"/>
              </w:rPr>
              <w:t>Context window</w:t>
            </w:r>
          </w:p>
        </w:tc>
        <w:tc>
          <w:tcPr>
            <w:tcW w:w="7150" w:type="dxa"/>
            <w:shd w:val="clear" w:color="auto" w:fill="EEF3F5"/>
            <w:tcMar>
              <w:top w:w="100" w:type="dxa"/>
              <w:left w:w="120" w:type="dxa"/>
              <w:bottom w:w="100" w:type="dxa"/>
              <w:right w:w="120" w:type="dxa"/>
            </w:tcMar>
            <w:vAlign w:val="center"/>
          </w:tcPr>
          <w:p w14:paraId="53F015E9" w14:textId="77777777" w:rsidR="00D84D0A" w:rsidRDefault="00000000">
            <w:r>
              <w:rPr>
                <w:sz w:val="19"/>
                <w:szCs w:val="19"/>
              </w:rPr>
              <w:t>How much text a model can "see" at once in a single request — matters for feeding it long transcripts/datasets.</w:t>
            </w:r>
          </w:p>
        </w:tc>
      </w:tr>
      <w:tr w:rsidR="00D84D0A" w14:paraId="6E0E6326" w14:textId="77777777">
        <w:tblPrEx>
          <w:tblCellMar>
            <w:top w:w="0" w:type="dxa"/>
            <w:bottom w:w="0" w:type="dxa"/>
          </w:tblCellMar>
        </w:tblPrEx>
        <w:tc>
          <w:tcPr>
            <w:tcW w:w="2200" w:type="dxa"/>
            <w:tcMar>
              <w:top w:w="100" w:type="dxa"/>
              <w:left w:w="120" w:type="dxa"/>
              <w:bottom w:w="100" w:type="dxa"/>
              <w:right w:w="120" w:type="dxa"/>
            </w:tcMar>
            <w:vAlign w:val="center"/>
          </w:tcPr>
          <w:p w14:paraId="63796464" w14:textId="77777777" w:rsidR="00D84D0A" w:rsidRDefault="00000000">
            <w:r>
              <w:rPr>
                <w:sz w:val="19"/>
                <w:szCs w:val="19"/>
              </w:rPr>
              <w:t>RAG (Retrieval-Augmented Generation)</w:t>
            </w:r>
          </w:p>
        </w:tc>
        <w:tc>
          <w:tcPr>
            <w:tcW w:w="7150" w:type="dxa"/>
            <w:tcMar>
              <w:top w:w="100" w:type="dxa"/>
              <w:left w:w="120" w:type="dxa"/>
              <w:bottom w:w="100" w:type="dxa"/>
              <w:right w:w="120" w:type="dxa"/>
            </w:tcMar>
            <w:vAlign w:val="center"/>
          </w:tcPr>
          <w:p w14:paraId="430D3DF3" w14:textId="77777777" w:rsidR="00D84D0A" w:rsidRDefault="00000000">
            <w:r>
              <w:rPr>
                <w:sz w:val="19"/>
                <w:szCs w:val="19"/>
              </w:rPr>
              <w:t>An architecture where the system first searches/retrieves the most relevant source passages, then gives only those to the model — improves grounding and reduces cost versus sending everything every time.</w:t>
            </w:r>
          </w:p>
        </w:tc>
      </w:tr>
      <w:tr w:rsidR="00D84D0A" w14:paraId="62CC0216" w14:textId="77777777">
        <w:tblPrEx>
          <w:tblCellMar>
            <w:top w:w="0" w:type="dxa"/>
            <w:bottom w:w="0" w:type="dxa"/>
          </w:tblCellMar>
        </w:tblPrEx>
        <w:tc>
          <w:tcPr>
            <w:tcW w:w="2200" w:type="dxa"/>
            <w:shd w:val="clear" w:color="auto" w:fill="EEF3F5"/>
            <w:tcMar>
              <w:top w:w="100" w:type="dxa"/>
              <w:left w:w="120" w:type="dxa"/>
              <w:bottom w:w="100" w:type="dxa"/>
              <w:right w:w="120" w:type="dxa"/>
            </w:tcMar>
            <w:vAlign w:val="center"/>
          </w:tcPr>
          <w:p w14:paraId="38FE9AC5" w14:textId="77777777" w:rsidR="00D84D0A" w:rsidRDefault="00000000">
            <w:r>
              <w:rPr>
                <w:sz w:val="19"/>
                <w:szCs w:val="19"/>
              </w:rPr>
              <w:t>Prompt caching</w:t>
            </w:r>
          </w:p>
        </w:tc>
        <w:tc>
          <w:tcPr>
            <w:tcW w:w="7150" w:type="dxa"/>
            <w:shd w:val="clear" w:color="auto" w:fill="EEF3F5"/>
            <w:tcMar>
              <w:top w:w="100" w:type="dxa"/>
              <w:left w:w="120" w:type="dxa"/>
              <w:bottom w:w="100" w:type="dxa"/>
              <w:right w:w="120" w:type="dxa"/>
            </w:tcMar>
            <w:vAlign w:val="center"/>
          </w:tcPr>
          <w:p w14:paraId="1A845C0C" w14:textId="77777777" w:rsidR="00D84D0A" w:rsidRDefault="00000000">
            <w:r>
              <w:rPr>
                <w:sz w:val="19"/>
                <w:szCs w:val="19"/>
              </w:rPr>
              <w:t>A discount for re-sending the same context (e.g. a transcript) across multiple calls — the provider reuses its prior processing instead of redoing it.</w:t>
            </w:r>
          </w:p>
        </w:tc>
      </w:tr>
      <w:tr w:rsidR="00D84D0A" w14:paraId="51531300" w14:textId="77777777">
        <w:tblPrEx>
          <w:tblCellMar>
            <w:top w:w="0" w:type="dxa"/>
            <w:bottom w:w="0" w:type="dxa"/>
          </w:tblCellMar>
        </w:tblPrEx>
        <w:tc>
          <w:tcPr>
            <w:tcW w:w="2200" w:type="dxa"/>
            <w:tcMar>
              <w:top w:w="100" w:type="dxa"/>
              <w:left w:w="120" w:type="dxa"/>
              <w:bottom w:w="100" w:type="dxa"/>
              <w:right w:w="120" w:type="dxa"/>
            </w:tcMar>
            <w:vAlign w:val="center"/>
          </w:tcPr>
          <w:p w14:paraId="4778FC01" w14:textId="77777777" w:rsidR="00D84D0A" w:rsidRDefault="00000000">
            <w:r>
              <w:rPr>
                <w:sz w:val="19"/>
                <w:szCs w:val="19"/>
              </w:rPr>
              <w:t>Batch API</w:t>
            </w:r>
          </w:p>
        </w:tc>
        <w:tc>
          <w:tcPr>
            <w:tcW w:w="7150" w:type="dxa"/>
            <w:tcMar>
              <w:top w:w="100" w:type="dxa"/>
              <w:left w:w="120" w:type="dxa"/>
              <w:bottom w:w="100" w:type="dxa"/>
              <w:right w:w="120" w:type="dxa"/>
            </w:tcMar>
            <w:vAlign w:val="center"/>
          </w:tcPr>
          <w:p w14:paraId="07688F6E" w14:textId="77777777" w:rsidR="00D84D0A" w:rsidRDefault="00000000">
            <w:r>
              <w:rPr>
                <w:sz w:val="19"/>
                <w:szCs w:val="19"/>
              </w:rPr>
              <w:t>Asynchronous, non-real-time processing at a discount (typically 50% off) — well suited to overnight report generation.</w:t>
            </w:r>
          </w:p>
        </w:tc>
      </w:tr>
      <w:tr w:rsidR="00D84D0A" w14:paraId="5A9BDE17" w14:textId="77777777">
        <w:tblPrEx>
          <w:tblCellMar>
            <w:top w:w="0" w:type="dxa"/>
            <w:bottom w:w="0" w:type="dxa"/>
          </w:tblCellMar>
        </w:tblPrEx>
        <w:tc>
          <w:tcPr>
            <w:tcW w:w="2200" w:type="dxa"/>
            <w:shd w:val="clear" w:color="auto" w:fill="EEF3F5"/>
            <w:tcMar>
              <w:top w:w="100" w:type="dxa"/>
              <w:left w:w="120" w:type="dxa"/>
              <w:bottom w:w="100" w:type="dxa"/>
              <w:right w:w="120" w:type="dxa"/>
            </w:tcMar>
            <w:vAlign w:val="center"/>
          </w:tcPr>
          <w:p w14:paraId="7B0CCEFF" w14:textId="77777777" w:rsidR="00D84D0A" w:rsidRDefault="00000000">
            <w:r>
              <w:rPr>
                <w:sz w:val="19"/>
                <w:szCs w:val="19"/>
              </w:rPr>
              <w:t>Data residency</w:t>
            </w:r>
          </w:p>
        </w:tc>
        <w:tc>
          <w:tcPr>
            <w:tcW w:w="7150" w:type="dxa"/>
            <w:shd w:val="clear" w:color="auto" w:fill="EEF3F5"/>
            <w:tcMar>
              <w:top w:w="100" w:type="dxa"/>
              <w:left w:w="120" w:type="dxa"/>
              <w:bottom w:w="100" w:type="dxa"/>
              <w:right w:w="120" w:type="dxa"/>
            </w:tcMar>
            <w:vAlign w:val="center"/>
          </w:tcPr>
          <w:p w14:paraId="356E1156" w14:textId="77777777" w:rsidR="00D84D0A" w:rsidRDefault="00000000">
            <w:r>
              <w:rPr>
                <w:sz w:val="19"/>
                <w:szCs w:val="19"/>
              </w:rPr>
              <w:t>A guarantee that data is processed and stored within a specific geographic/legal region (e.g. the EU) — central to GDPR compliance for personal data.</w:t>
            </w:r>
          </w:p>
        </w:tc>
      </w:tr>
      <w:tr w:rsidR="00D84D0A" w14:paraId="45B61591" w14:textId="77777777">
        <w:tblPrEx>
          <w:tblCellMar>
            <w:top w:w="0" w:type="dxa"/>
            <w:bottom w:w="0" w:type="dxa"/>
          </w:tblCellMar>
        </w:tblPrEx>
        <w:tc>
          <w:tcPr>
            <w:tcW w:w="2200" w:type="dxa"/>
            <w:tcMar>
              <w:top w:w="100" w:type="dxa"/>
              <w:left w:w="120" w:type="dxa"/>
              <w:bottom w:w="100" w:type="dxa"/>
              <w:right w:w="120" w:type="dxa"/>
            </w:tcMar>
            <w:vAlign w:val="center"/>
          </w:tcPr>
          <w:p w14:paraId="28A40DFF" w14:textId="77777777" w:rsidR="00D84D0A" w:rsidRDefault="00000000">
            <w:r>
              <w:rPr>
                <w:sz w:val="19"/>
                <w:szCs w:val="19"/>
              </w:rPr>
              <w:t>Open-weight model</w:t>
            </w:r>
          </w:p>
        </w:tc>
        <w:tc>
          <w:tcPr>
            <w:tcW w:w="7150" w:type="dxa"/>
            <w:tcMar>
              <w:top w:w="100" w:type="dxa"/>
              <w:left w:w="120" w:type="dxa"/>
              <w:bottom w:w="100" w:type="dxa"/>
              <w:right w:w="120" w:type="dxa"/>
            </w:tcMar>
            <w:vAlign w:val="center"/>
          </w:tcPr>
          <w:p w14:paraId="38B9A9DB" w14:textId="77777777" w:rsidR="00D84D0A" w:rsidRDefault="00000000">
            <w:r>
              <w:rPr>
                <w:sz w:val="19"/>
                <w:szCs w:val="19"/>
              </w:rPr>
              <w:t>A model whose underlying parameters are published and can be downloaded and run on one's own infrastructure, rather than accessed only via a provider's API.</w:t>
            </w:r>
          </w:p>
        </w:tc>
      </w:tr>
    </w:tbl>
    <w:p w14:paraId="756641CD" w14:textId="77777777" w:rsidR="00D84D0A" w:rsidRDefault="00000000">
      <w:pPr>
        <w:pStyle w:val="Heading2"/>
        <w:spacing w:before="320" w:after="140"/>
      </w:pPr>
      <w:r>
        <w:rPr>
          <w:b/>
          <w:bCs/>
          <w:color w:val="1F3B57"/>
          <w:sz w:val="25"/>
          <w:szCs w:val="25"/>
        </w:rPr>
        <w:t>11.2 Full model pricing reference (September 2026)</w:t>
      </w:r>
    </w:p>
    <w:p w14:paraId="6EF7456A" w14:textId="77777777" w:rsidR="00D84D0A" w:rsidRDefault="00000000">
      <w:pPr>
        <w:spacing w:after="160"/>
      </w:pPr>
      <w:r>
        <w:rPr>
          <w:color w:val="5B6770"/>
          <w:sz w:val="19"/>
          <w:szCs w:val="19"/>
        </w:rPr>
        <w:t>Repeated in full here for convenience; identical to Section 4.1's table, plus items not carried into the main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50"/>
        <w:gridCol w:w="1300"/>
        <w:gridCol w:w="1300"/>
        <w:gridCol w:w="2650"/>
      </w:tblGrid>
      <w:tr w:rsidR="00D84D0A" w14:paraId="0881EBFF" w14:textId="77777777">
        <w:tblPrEx>
          <w:tblCellMar>
            <w:top w:w="0" w:type="dxa"/>
            <w:bottom w:w="0" w:type="dxa"/>
          </w:tblCellMar>
        </w:tblPrEx>
        <w:trPr>
          <w:tblHeader/>
        </w:trPr>
        <w:tc>
          <w:tcPr>
            <w:tcW w:w="1750" w:type="dxa"/>
            <w:shd w:val="clear" w:color="auto" w:fill="1F3B57"/>
            <w:tcMar>
              <w:top w:w="100" w:type="dxa"/>
              <w:left w:w="120" w:type="dxa"/>
              <w:bottom w:w="100" w:type="dxa"/>
              <w:right w:w="120" w:type="dxa"/>
            </w:tcMar>
            <w:vAlign w:val="center"/>
          </w:tcPr>
          <w:p w14:paraId="1F2EDB96" w14:textId="77777777" w:rsidR="00D84D0A" w:rsidRDefault="00000000">
            <w:r>
              <w:rPr>
                <w:b/>
                <w:bCs/>
                <w:color w:val="FFFFFF"/>
                <w:sz w:val="19"/>
                <w:szCs w:val="19"/>
              </w:rPr>
              <w:t>Provider</w:t>
            </w:r>
          </w:p>
        </w:tc>
        <w:tc>
          <w:tcPr>
            <w:tcW w:w="2350" w:type="dxa"/>
            <w:shd w:val="clear" w:color="auto" w:fill="1F3B57"/>
            <w:tcMar>
              <w:top w:w="100" w:type="dxa"/>
              <w:left w:w="120" w:type="dxa"/>
              <w:bottom w:w="100" w:type="dxa"/>
              <w:right w:w="120" w:type="dxa"/>
            </w:tcMar>
            <w:vAlign w:val="center"/>
          </w:tcPr>
          <w:p w14:paraId="63AAC881" w14:textId="77777777" w:rsidR="00D84D0A" w:rsidRDefault="00000000">
            <w:r>
              <w:rPr>
                <w:b/>
                <w:bCs/>
                <w:color w:val="FFFFFF"/>
                <w:sz w:val="19"/>
                <w:szCs w:val="19"/>
              </w:rPr>
              <w:t>Model</w:t>
            </w:r>
          </w:p>
        </w:tc>
        <w:tc>
          <w:tcPr>
            <w:tcW w:w="1300" w:type="dxa"/>
            <w:shd w:val="clear" w:color="auto" w:fill="1F3B57"/>
            <w:tcMar>
              <w:top w:w="100" w:type="dxa"/>
              <w:left w:w="120" w:type="dxa"/>
              <w:bottom w:w="100" w:type="dxa"/>
              <w:right w:w="120" w:type="dxa"/>
            </w:tcMar>
            <w:vAlign w:val="center"/>
          </w:tcPr>
          <w:p w14:paraId="29DAF3DA" w14:textId="77777777" w:rsidR="00D84D0A" w:rsidRDefault="00000000">
            <w:r>
              <w:rPr>
                <w:b/>
                <w:bCs/>
                <w:color w:val="FFFFFF"/>
                <w:sz w:val="19"/>
                <w:szCs w:val="19"/>
              </w:rPr>
              <w:t>Input $/1M</w:t>
            </w:r>
          </w:p>
        </w:tc>
        <w:tc>
          <w:tcPr>
            <w:tcW w:w="1300" w:type="dxa"/>
            <w:shd w:val="clear" w:color="auto" w:fill="1F3B57"/>
            <w:tcMar>
              <w:top w:w="100" w:type="dxa"/>
              <w:left w:w="120" w:type="dxa"/>
              <w:bottom w:w="100" w:type="dxa"/>
              <w:right w:w="120" w:type="dxa"/>
            </w:tcMar>
            <w:vAlign w:val="center"/>
          </w:tcPr>
          <w:p w14:paraId="4FC9B6C1" w14:textId="77777777" w:rsidR="00D84D0A" w:rsidRDefault="00000000">
            <w:r>
              <w:rPr>
                <w:b/>
                <w:bCs/>
                <w:color w:val="FFFFFF"/>
                <w:sz w:val="19"/>
                <w:szCs w:val="19"/>
              </w:rPr>
              <w:t>Output $/1M</w:t>
            </w:r>
          </w:p>
        </w:tc>
        <w:tc>
          <w:tcPr>
            <w:tcW w:w="2650" w:type="dxa"/>
            <w:shd w:val="clear" w:color="auto" w:fill="1F3B57"/>
            <w:tcMar>
              <w:top w:w="100" w:type="dxa"/>
              <w:left w:w="120" w:type="dxa"/>
              <w:bottom w:w="100" w:type="dxa"/>
              <w:right w:w="120" w:type="dxa"/>
            </w:tcMar>
            <w:vAlign w:val="center"/>
          </w:tcPr>
          <w:p w14:paraId="0874EBAC" w14:textId="77777777" w:rsidR="00D84D0A" w:rsidRDefault="00000000">
            <w:r>
              <w:rPr>
                <w:b/>
                <w:bCs/>
                <w:color w:val="FFFFFF"/>
                <w:sz w:val="19"/>
                <w:szCs w:val="19"/>
              </w:rPr>
              <w:t>Notes</w:t>
            </w:r>
          </w:p>
        </w:tc>
      </w:tr>
      <w:tr w:rsidR="00D84D0A" w14:paraId="50C07998" w14:textId="77777777">
        <w:tblPrEx>
          <w:tblCellMar>
            <w:top w:w="0" w:type="dxa"/>
            <w:bottom w:w="0" w:type="dxa"/>
          </w:tblCellMar>
        </w:tblPrEx>
        <w:tc>
          <w:tcPr>
            <w:tcW w:w="1750" w:type="dxa"/>
            <w:tcMar>
              <w:top w:w="100" w:type="dxa"/>
              <w:left w:w="120" w:type="dxa"/>
              <w:bottom w:w="100" w:type="dxa"/>
              <w:right w:w="120" w:type="dxa"/>
            </w:tcMar>
            <w:vAlign w:val="center"/>
          </w:tcPr>
          <w:p w14:paraId="7B474630" w14:textId="77777777" w:rsidR="00D84D0A" w:rsidRDefault="00000000">
            <w:r>
              <w:rPr>
                <w:sz w:val="19"/>
                <w:szCs w:val="19"/>
              </w:rPr>
              <w:t>Anthropic</w:t>
            </w:r>
          </w:p>
        </w:tc>
        <w:tc>
          <w:tcPr>
            <w:tcW w:w="2350" w:type="dxa"/>
            <w:tcMar>
              <w:top w:w="100" w:type="dxa"/>
              <w:left w:w="120" w:type="dxa"/>
              <w:bottom w:w="100" w:type="dxa"/>
              <w:right w:w="120" w:type="dxa"/>
            </w:tcMar>
            <w:vAlign w:val="center"/>
          </w:tcPr>
          <w:p w14:paraId="785C943F" w14:textId="77777777" w:rsidR="00D84D0A" w:rsidRDefault="00000000">
            <w:r>
              <w:rPr>
                <w:sz w:val="19"/>
                <w:szCs w:val="19"/>
              </w:rPr>
              <w:t>Fable 5.1 / Mythos 5.1 (frontier)</w:t>
            </w:r>
          </w:p>
        </w:tc>
        <w:tc>
          <w:tcPr>
            <w:tcW w:w="1300" w:type="dxa"/>
            <w:tcMar>
              <w:top w:w="100" w:type="dxa"/>
              <w:left w:w="120" w:type="dxa"/>
              <w:bottom w:w="100" w:type="dxa"/>
              <w:right w:w="120" w:type="dxa"/>
            </w:tcMar>
            <w:vAlign w:val="center"/>
          </w:tcPr>
          <w:p w14:paraId="12B03BFC" w14:textId="77777777" w:rsidR="00D84D0A" w:rsidRDefault="00000000">
            <w:r>
              <w:rPr>
                <w:sz w:val="19"/>
                <w:szCs w:val="19"/>
              </w:rPr>
              <w:t>$10.00</w:t>
            </w:r>
          </w:p>
        </w:tc>
        <w:tc>
          <w:tcPr>
            <w:tcW w:w="1300" w:type="dxa"/>
            <w:tcMar>
              <w:top w:w="100" w:type="dxa"/>
              <w:left w:w="120" w:type="dxa"/>
              <w:bottom w:w="100" w:type="dxa"/>
              <w:right w:w="120" w:type="dxa"/>
            </w:tcMar>
            <w:vAlign w:val="center"/>
          </w:tcPr>
          <w:p w14:paraId="0DF9F935" w14:textId="77777777" w:rsidR="00D84D0A" w:rsidRDefault="00000000">
            <w:r>
              <w:rPr>
                <w:sz w:val="19"/>
                <w:szCs w:val="19"/>
              </w:rPr>
              <w:t>$50.00</w:t>
            </w:r>
          </w:p>
        </w:tc>
        <w:tc>
          <w:tcPr>
            <w:tcW w:w="2650" w:type="dxa"/>
            <w:tcMar>
              <w:top w:w="100" w:type="dxa"/>
              <w:left w:w="120" w:type="dxa"/>
              <w:bottom w:w="100" w:type="dxa"/>
              <w:right w:w="120" w:type="dxa"/>
            </w:tcMar>
            <w:vAlign w:val="center"/>
          </w:tcPr>
          <w:p w14:paraId="49DA24BE" w14:textId="77777777" w:rsidR="00D84D0A" w:rsidRDefault="00000000">
            <w:r>
              <w:rPr>
                <w:sz w:val="19"/>
                <w:szCs w:val="19"/>
              </w:rPr>
              <w:t>Highest capability tier; not needed for this use case</w:t>
            </w:r>
          </w:p>
        </w:tc>
      </w:tr>
      <w:tr w:rsidR="00D84D0A" w14:paraId="51EDD5A9"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03059DA1" w14:textId="77777777" w:rsidR="00D84D0A" w:rsidRDefault="00000000">
            <w:r>
              <w:rPr>
                <w:sz w:val="19"/>
                <w:szCs w:val="19"/>
              </w:rPr>
              <w:t>Anthropic</w:t>
            </w:r>
          </w:p>
        </w:tc>
        <w:tc>
          <w:tcPr>
            <w:tcW w:w="2350" w:type="dxa"/>
            <w:shd w:val="clear" w:color="auto" w:fill="EEF3F5"/>
            <w:tcMar>
              <w:top w:w="100" w:type="dxa"/>
              <w:left w:w="120" w:type="dxa"/>
              <w:bottom w:w="100" w:type="dxa"/>
              <w:right w:w="120" w:type="dxa"/>
            </w:tcMar>
            <w:vAlign w:val="center"/>
          </w:tcPr>
          <w:p w14:paraId="097CE210" w14:textId="77777777" w:rsidR="00D84D0A" w:rsidRDefault="00000000">
            <w:r>
              <w:rPr>
                <w:sz w:val="19"/>
                <w:szCs w:val="19"/>
              </w:rPr>
              <w:t>Opus 5</w:t>
            </w:r>
          </w:p>
        </w:tc>
        <w:tc>
          <w:tcPr>
            <w:tcW w:w="1300" w:type="dxa"/>
            <w:shd w:val="clear" w:color="auto" w:fill="EEF3F5"/>
            <w:tcMar>
              <w:top w:w="100" w:type="dxa"/>
              <w:left w:w="120" w:type="dxa"/>
              <w:bottom w:w="100" w:type="dxa"/>
              <w:right w:w="120" w:type="dxa"/>
            </w:tcMar>
            <w:vAlign w:val="center"/>
          </w:tcPr>
          <w:p w14:paraId="16F9389D" w14:textId="77777777" w:rsidR="00D84D0A" w:rsidRDefault="00000000">
            <w:r>
              <w:rPr>
                <w:sz w:val="19"/>
                <w:szCs w:val="19"/>
              </w:rPr>
              <w:t>$5.00</w:t>
            </w:r>
          </w:p>
        </w:tc>
        <w:tc>
          <w:tcPr>
            <w:tcW w:w="1300" w:type="dxa"/>
            <w:shd w:val="clear" w:color="auto" w:fill="EEF3F5"/>
            <w:tcMar>
              <w:top w:w="100" w:type="dxa"/>
              <w:left w:w="120" w:type="dxa"/>
              <w:bottom w:w="100" w:type="dxa"/>
              <w:right w:w="120" w:type="dxa"/>
            </w:tcMar>
            <w:vAlign w:val="center"/>
          </w:tcPr>
          <w:p w14:paraId="71FD9D5D" w14:textId="77777777" w:rsidR="00D84D0A" w:rsidRDefault="00000000">
            <w:r>
              <w:rPr>
                <w:sz w:val="19"/>
                <w:szCs w:val="19"/>
              </w:rPr>
              <w:t>$25.00</w:t>
            </w:r>
          </w:p>
        </w:tc>
        <w:tc>
          <w:tcPr>
            <w:tcW w:w="2650" w:type="dxa"/>
            <w:shd w:val="clear" w:color="auto" w:fill="EEF3F5"/>
            <w:tcMar>
              <w:top w:w="100" w:type="dxa"/>
              <w:left w:w="120" w:type="dxa"/>
              <w:bottom w:w="100" w:type="dxa"/>
              <w:right w:w="120" w:type="dxa"/>
            </w:tcMar>
            <w:vAlign w:val="center"/>
          </w:tcPr>
          <w:p w14:paraId="298AEE89" w14:textId="77777777" w:rsidR="00D84D0A" w:rsidRDefault="00D84D0A"/>
        </w:tc>
      </w:tr>
      <w:tr w:rsidR="00D84D0A" w14:paraId="3F2F3256" w14:textId="77777777">
        <w:tblPrEx>
          <w:tblCellMar>
            <w:top w:w="0" w:type="dxa"/>
            <w:bottom w:w="0" w:type="dxa"/>
          </w:tblCellMar>
        </w:tblPrEx>
        <w:tc>
          <w:tcPr>
            <w:tcW w:w="1750" w:type="dxa"/>
            <w:tcMar>
              <w:top w:w="100" w:type="dxa"/>
              <w:left w:w="120" w:type="dxa"/>
              <w:bottom w:w="100" w:type="dxa"/>
              <w:right w:w="120" w:type="dxa"/>
            </w:tcMar>
            <w:vAlign w:val="center"/>
          </w:tcPr>
          <w:p w14:paraId="2C2A90B5" w14:textId="77777777" w:rsidR="00D84D0A" w:rsidRDefault="00000000">
            <w:r>
              <w:rPr>
                <w:sz w:val="19"/>
                <w:szCs w:val="19"/>
              </w:rPr>
              <w:t>Anthropic</w:t>
            </w:r>
          </w:p>
        </w:tc>
        <w:tc>
          <w:tcPr>
            <w:tcW w:w="2350" w:type="dxa"/>
            <w:tcMar>
              <w:top w:w="100" w:type="dxa"/>
              <w:left w:w="120" w:type="dxa"/>
              <w:bottom w:w="100" w:type="dxa"/>
              <w:right w:w="120" w:type="dxa"/>
            </w:tcMar>
            <w:vAlign w:val="center"/>
          </w:tcPr>
          <w:p w14:paraId="77FE4133" w14:textId="77777777" w:rsidR="00D84D0A" w:rsidRDefault="00000000">
            <w:r>
              <w:rPr>
                <w:sz w:val="19"/>
                <w:szCs w:val="19"/>
              </w:rPr>
              <w:t>Sonnet 5</w:t>
            </w:r>
          </w:p>
        </w:tc>
        <w:tc>
          <w:tcPr>
            <w:tcW w:w="1300" w:type="dxa"/>
            <w:tcMar>
              <w:top w:w="100" w:type="dxa"/>
              <w:left w:w="120" w:type="dxa"/>
              <w:bottom w:w="100" w:type="dxa"/>
              <w:right w:w="120" w:type="dxa"/>
            </w:tcMar>
            <w:vAlign w:val="center"/>
          </w:tcPr>
          <w:p w14:paraId="70182C5F" w14:textId="77777777" w:rsidR="00D84D0A" w:rsidRDefault="00000000">
            <w:r>
              <w:rPr>
                <w:sz w:val="19"/>
                <w:szCs w:val="19"/>
              </w:rPr>
              <w:t>$2.00</w:t>
            </w:r>
          </w:p>
        </w:tc>
        <w:tc>
          <w:tcPr>
            <w:tcW w:w="1300" w:type="dxa"/>
            <w:tcMar>
              <w:top w:w="100" w:type="dxa"/>
              <w:left w:w="120" w:type="dxa"/>
              <w:bottom w:w="100" w:type="dxa"/>
              <w:right w:w="120" w:type="dxa"/>
            </w:tcMar>
            <w:vAlign w:val="center"/>
          </w:tcPr>
          <w:p w14:paraId="6A6B3976" w14:textId="77777777" w:rsidR="00D84D0A" w:rsidRDefault="00000000">
            <w:r>
              <w:rPr>
                <w:sz w:val="19"/>
                <w:szCs w:val="19"/>
              </w:rPr>
              <w:t>$10.00</w:t>
            </w:r>
          </w:p>
        </w:tc>
        <w:tc>
          <w:tcPr>
            <w:tcW w:w="2650" w:type="dxa"/>
            <w:tcMar>
              <w:top w:w="100" w:type="dxa"/>
              <w:left w:w="120" w:type="dxa"/>
              <w:bottom w:w="100" w:type="dxa"/>
              <w:right w:w="120" w:type="dxa"/>
            </w:tcMar>
            <w:vAlign w:val="center"/>
          </w:tcPr>
          <w:p w14:paraId="2E8854EF" w14:textId="77777777" w:rsidR="00D84D0A" w:rsidRDefault="00000000">
            <w:r>
              <w:rPr>
                <w:sz w:val="19"/>
                <w:szCs w:val="19"/>
              </w:rPr>
              <w:t>Pricing confirmed permanent, not introductory</w:t>
            </w:r>
          </w:p>
        </w:tc>
      </w:tr>
      <w:tr w:rsidR="00D84D0A" w14:paraId="72A37E6A"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10AADB19" w14:textId="77777777" w:rsidR="00D84D0A" w:rsidRDefault="00000000">
            <w:r>
              <w:rPr>
                <w:sz w:val="19"/>
                <w:szCs w:val="19"/>
              </w:rPr>
              <w:t>Anthropic</w:t>
            </w:r>
          </w:p>
        </w:tc>
        <w:tc>
          <w:tcPr>
            <w:tcW w:w="2350" w:type="dxa"/>
            <w:shd w:val="clear" w:color="auto" w:fill="EEF3F5"/>
            <w:tcMar>
              <w:top w:w="100" w:type="dxa"/>
              <w:left w:w="120" w:type="dxa"/>
              <w:bottom w:w="100" w:type="dxa"/>
              <w:right w:w="120" w:type="dxa"/>
            </w:tcMar>
            <w:vAlign w:val="center"/>
          </w:tcPr>
          <w:p w14:paraId="05A3F6FF" w14:textId="77777777" w:rsidR="00D84D0A" w:rsidRDefault="00000000">
            <w:r>
              <w:rPr>
                <w:sz w:val="19"/>
                <w:szCs w:val="19"/>
              </w:rPr>
              <w:t>Haiku 4.5</w:t>
            </w:r>
          </w:p>
        </w:tc>
        <w:tc>
          <w:tcPr>
            <w:tcW w:w="1300" w:type="dxa"/>
            <w:shd w:val="clear" w:color="auto" w:fill="EEF3F5"/>
            <w:tcMar>
              <w:top w:w="100" w:type="dxa"/>
              <w:left w:w="120" w:type="dxa"/>
              <w:bottom w:w="100" w:type="dxa"/>
              <w:right w:w="120" w:type="dxa"/>
            </w:tcMar>
            <w:vAlign w:val="center"/>
          </w:tcPr>
          <w:p w14:paraId="7E474EDA" w14:textId="77777777" w:rsidR="00D84D0A" w:rsidRDefault="00000000">
            <w:r>
              <w:rPr>
                <w:sz w:val="19"/>
                <w:szCs w:val="19"/>
              </w:rPr>
              <w:t>$1.00</w:t>
            </w:r>
          </w:p>
        </w:tc>
        <w:tc>
          <w:tcPr>
            <w:tcW w:w="1300" w:type="dxa"/>
            <w:shd w:val="clear" w:color="auto" w:fill="EEF3F5"/>
            <w:tcMar>
              <w:top w:w="100" w:type="dxa"/>
              <w:left w:w="120" w:type="dxa"/>
              <w:bottom w:w="100" w:type="dxa"/>
              <w:right w:w="120" w:type="dxa"/>
            </w:tcMar>
            <w:vAlign w:val="center"/>
          </w:tcPr>
          <w:p w14:paraId="10A90692" w14:textId="77777777" w:rsidR="00D84D0A" w:rsidRDefault="00000000">
            <w:r>
              <w:rPr>
                <w:sz w:val="19"/>
                <w:szCs w:val="19"/>
              </w:rPr>
              <w:t>$5.00</w:t>
            </w:r>
          </w:p>
        </w:tc>
        <w:tc>
          <w:tcPr>
            <w:tcW w:w="2650" w:type="dxa"/>
            <w:shd w:val="clear" w:color="auto" w:fill="EEF3F5"/>
            <w:tcMar>
              <w:top w:w="100" w:type="dxa"/>
              <w:left w:w="120" w:type="dxa"/>
              <w:bottom w:w="100" w:type="dxa"/>
              <w:right w:w="120" w:type="dxa"/>
            </w:tcMar>
            <w:vAlign w:val="center"/>
          </w:tcPr>
          <w:p w14:paraId="3F6DCECE" w14:textId="77777777" w:rsidR="00D84D0A" w:rsidRDefault="00D84D0A"/>
        </w:tc>
      </w:tr>
      <w:tr w:rsidR="00D84D0A" w14:paraId="6FA37CFD" w14:textId="77777777">
        <w:tblPrEx>
          <w:tblCellMar>
            <w:top w:w="0" w:type="dxa"/>
            <w:bottom w:w="0" w:type="dxa"/>
          </w:tblCellMar>
        </w:tblPrEx>
        <w:tc>
          <w:tcPr>
            <w:tcW w:w="1750" w:type="dxa"/>
            <w:tcMar>
              <w:top w:w="100" w:type="dxa"/>
              <w:left w:w="120" w:type="dxa"/>
              <w:bottom w:w="100" w:type="dxa"/>
              <w:right w:w="120" w:type="dxa"/>
            </w:tcMar>
            <w:vAlign w:val="center"/>
          </w:tcPr>
          <w:p w14:paraId="05359096" w14:textId="77777777" w:rsidR="00D84D0A" w:rsidRDefault="00000000">
            <w:r>
              <w:rPr>
                <w:sz w:val="19"/>
                <w:szCs w:val="19"/>
              </w:rPr>
              <w:t>OpenAI</w:t>
            </w:r>
          </w:p>
        </w:tc>
        <w:tc>
          <w:tcPr>
            <w:tcW w:w="2350" w:type="dxa"/>
            <w:tcMar>
              <w:top w:w="100" w:type="dxa"/>
              <w:left w:w="120" w:type="dxa"/>
              <w:bottom w:w="100" w:type="dxa"/>
              <w:right w:w="120" w:type="dxa"/>
            </w:tcMar>
            <w:vAlign w:val="center"/>
          </w:tcPr>
          <w:p w14:paraId="72F88981" w14:textId="77777777" w:rsidR="00D84D0A" w:rsidRDefault="00000000">
            <w:r>
              <w:rPr>
                <w:sz w:val="19"/>
                <w:szCs w:val="19"/>
              </w:rPr>
              <w:t>GPT-5.6 Sol</w:t>
            </w:r>
          </w:p>
        </w:tc>
        <w:tc>
          <w:tcPr>
            <w:tcW w:w="1300" w:type="dxa"/>
            <w:tcMar>
              <w:top w:w="100" w:type="dxa"/>
              <w:left w:w="120" w:type="dxa"/>
              <w:bottom w:w="100" w:type="dxa"/>
              <w:right w:w="120" w:type="dxa"/>
            </w:tcMar>
            <w:vAlign w:val="center"/>
          </w:tcPr>
          <w:p w14:paraId="43C010D9" w14:textId="77777777" w:rsidR="00D84D0A" w:rsidRDefault="00000000">
            <w:r>
              <w:rPr>
                <w:sz w:val="19"/>
                <w:szCs w:val="19"/>
              </w:rPr>
              <w:t>$5.00</w:t>
            </w:r>
          </w:p>
        </w:tc>
        <w:tc>
          <w:tcPr>
            <w:tcW w:w="1300" w:type="dxa"/>
            <w:tcMar>
              <w:top w:w="100" w:type="dxa"/>
              <w:left w:w="120" w:type="dxa"/>
              <w:bottom w:w="100" w:type="dxa"/>
              <w:right w:w="120" w:type="dxa"/>
            </w:tcMar>
            <w:vAlign w:val="center"/>
          </w:tcPr>
          <w:p w14:paraId="3A533FC1" w14:textId="77777777" w:rsidR="00D84D0A" w:rsidRDefault="00000000">
            <w:r>
              <w:rPr>
                <w:sz w:val="19"/>
                <w:szCs w:val="19"/>
              </w:rPr>
              <w:t>$30.00</w:t>
            </w:r>
          </w:p>
        </w:tc>
        <w:tc>
          <w:tcPr>
            <w:tcW w:w="2650" w:type="dxa"/>
            <w:tcMar>
              <w:top w:w="100" w:type="dxa"/>
              <w:left w:w="120" w:type="dxa"/>
              <w:bottom w:w="100" w:type="dxa"/>
              <w:right w:w="120" w:type="dxa"/>
            </w:tcMar>
            <w:vAlign w:val="center"/>
          </w:tcPr>
          <w:p w14:paraId="26C1B0AC" w14:textId="77777777" w:rsidR="00D84D0A" w:rsidRDefault="00000000">
            <w:r>
              <w:rPr>
                <w:sz w:val="19"/>
                <w:szCs w:val="19"/>
              </w:rPr>
              <w:t>Flagship agentic model</w:t>
            </w:r>
          </w:p>
        </w:tc>
      </w:tr>
      <w:tr w:rsidR="00D84D0A" w14:paraId="0F9138B5"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6DFEF330" w14:textId="77777777" w:rsidR="00D84D0A" w:rsidRDefault="00000000">
            <w:r>
              <w:rPr>
                <w:sz w:val="19"/>
                <w:szCs w:val="19"/>
              </w:rPr>
              <w:t>OpenAI</w:t>
            </w:r>
          </w:p>
        </w:tc>
        <w:tc>
          <w:tcPr>
            <w:tcW w:w="2350" w:type="dxa"/>
            <w:shd w:val="clear" w:color="auto" w:fill="EEF3F5"/>
            <w:tcMar>
              <w:top w:w="100" w:type="dxa"/>
              <w:left w:w="120" w:type="dxa"/>
              <w:bottom w:w="100" w:type="dxa"/>
              <w:right w:w="120" w:type="dxa"/>
            </w:tcMar>
            <w:vAlign w:val="center"/>
          </w:tcPr>
          <w:p w14:paraId="68C46D40" w14:textId="77777777" w:rsidR="00D84D0A" w:rsidRDefault="00000000">
            <w:r>
              <w:rPr>
                <w:sz w:val="19"/>
                <w:szCs w:val="19"/>
              </w:rPr>
              <w:t>GPT-5.6 Terra</w:t>
            </w:r>
          </w:p>
        </w:tc>
        <w:tc>
          <w:tcPr>
            <w:tcW w:w="1300" w:type="dxa"/>
            <w:shd w:val="clear" w:color="auto" w:fill="EEF3F5"/>
            <w:tcMar>
              <w:top w:w="100" w:type="dxa"/>
              <w:left w:w="120" w:type="dxa"/>
              <w:bottom w:w="100" w:type="dxa"/>
              <w:right w:w="120" w:type="dxa"/>
            </w:tcMar>
            <w:vAlign w:val="center"/>
          </w:tcPr>
          <w:p w14:paraId="52A010FB" w14:textId="77777777" w:rsidR="00D84D0A" w:rsidRDefault="00000000">
            <w:r>
              <w:rPr>
                <w:sz w:val="19"/>
                <w:szCs w:val="19"/>
              </w:rPr>
              <w:t>$2.00</w:t>
            </w:r>
          </w:p>
        </w:tc>
        <w:tc>
          <w:tcPr>
            <w:tcW w:w="1300" w:type="dxa"/>
            <w:shd w:val="clear" w:color="auto" w:fill="EEF3F5"/>
            <w:tcMar>
              <w:top w:w="100" w:type="dxa"/>
              <w:left w:w="120" w:type="dxa"/>
              <w:bottom w:w="100" w:type="dxa"/>
              <w:right w:w="120" w:type="dxa"/>
            </w:tcMar>
            <w:vAlign w:val="center"/>
          </w:tcPr>
          <w:p w14:paraId="61B85A21" w14:textId="77777777" w:rsidR="00D84D0A" w:rsidRDefault="00000000">
            <w:r>
              <w:rPr>
                <w:sz w:val="19"/>
                <w:szCs w:val="19"/>
              </w:rPr>
              <w:t>$12.00</w:t>
            </w:r>
          </w:p>
        </w:tc>
        <w:tc>
          <w:tcPr>
            <w:tcW w:w="2650" w:type="dxa"/>
            <w:shd w:val="clear" w:color="auto" w:fill="EEF3F5"/>
            <w:tcMar>
              <w:top w:w="100" w:type="dxa"/>
              <w:left w:w="120" w:type="dxa"/>
              <w:bottom w:w="100" w:type="dxa"/>
              <w:right w:w="120" w:type="dxa"/>
            </w:tcMar>
            <w:vAlign w:val="center"/>
          </w:tcPr>
          <w:p w14:paraId="786681DF" w14:textId="77777777" w:rsidR="00D84D0A" w:rsidRDefault="00D84D0A"/>
        </w:tc>
      </w:tr>
      <w:tr w:rsidR="00D84D0A" w14:paraId="0E7B65A6" w14:textId="77777777">
        <w:tblPrEx>
          <w:tblCellMar>
            <w:top w:w="0" w:type="dxa"/>
            <w:bottom w:w="0" w:type="dxa"/>
          </w:tblCellMar>
        </w:tblPrEx>
        <w:tc>
          <w:tcPr>
            <w:tcW w:w="1750" w:type="dxa"/>
            <w:tcMar>
              <w:top w:w="100" w:type="dxa"/>
              <w:left w:w="120" w:type="dxa"/>
              <w:bottom w:w="100" w:type="dxa"/>
              <w:right w:w="120" w:type="dxa"/>
            </w:tcMar>
            <w:vAlign w:val="center"/>
          </w:tcPr>
          <w:p w14:paraId="5139326C" w14:textId="77777777" w:rsidR="00D84D0A" w:rsidRDefault="00000000">
            <w:r>
              <w:rPr>
                <w:sz w:val="19"/>
                <w:szCs w:val="19"/>
              </w:rPr>
              <w:t>OpenAI</w:t>
            </w:r>
          </w:p>
        </w:tc>
        <w:tc>
          <w:tcPr>
            <w:tcW w:w="2350" w:type="dxa"/>
            <w:tcMar>
              <w:top w:w="100" w:type="dxa"/>
              <w:left w:w="120" w:type="dxa"/>
              <w:bottom w:w="100" w:type="dxa"/>
              <w:right w:w="120" w:type="dxa"/>
            </w:tcMar>
            <w:vAlign w:val="center"/>
          </w:tcPr>
          <w:p w14:paraId="1A503BB1" w14:textId="77777777" w:rsidR="00D84D0A" w:rsidRDefault="00000000">
            <w:r>
              <w:rPr>
                <w:sz w:val="19"/>
                <w:szCs w:val="19"/>
              </w:rPr>
              <w:t>GPT-5.6 Luna</w:t>
            </w:r>
          </w:p>
        </w:tc>
        <w:tc>
          <w:tcPr>
            <w:tcW w:w="1300" w:type="dxa"/>
            <w:tcMar>
              <w:top w:w="100" w:type="dxa"/>
              <w:left w:w="120" w:type="dxa"/>
              <w:bottom w:w="100" w:type="dxa"/>
              <w:right w:w="120" w:type="dxa"/>
            </w:tcMar>
            <w:vAlign w:val="center"/>
          </w:tcPr>
          <w:p w14:paraId="130EC2B4" w14:textId="77777777" w:rsidR="00D84D0A" w:rsidRDefault="00000000">
            <w:r>
              <w:rPr>
                <w:sz w:val="19"/>
                <w:szCs w:val="19"/>
              </w:rPr>
              <w:t>$0.20</w:t>
            </w:r>
          </w:p>
        </w:tc>
        <w:tc>
          <w:tcPr>
            <w:tcW w:w="1300" w:type="dxa"/>
            <w:tcMar>
              <w:top w:w="100" w:type="dxa"/>
              <w:left w:w="120" w:type="dxa"/>
              <w:bottom w:w="100" w:type="dxa"/>
              <w:right w:w="120" w:type="dxa"/>
            </w:tcMar>
            <w:vAlign w:val="center"/>
          </w:tcPr>
          <w:p w14:paraId="38503F38" w14:textId="77777777" w:rsidR="00D84D0A" w:rsidRDefault="00000000">
            <w:r>
              <w:rPr>
                <w:sz w:val="19"/>
                <w:szCs w:val="19"/>
              </w:rPr>
              <w:t>$1.20</w:t>
            </w:r>
          </w:p>
        </w:tc>
        <w:tc>
          <w:tcPr>
            <w:tcW w:w="2650" w:type="dxa"/>
            <w:tcMar>
              <w:top w:w="100" w:type="dxa"/>
              <w:left w:w="120" w:type="dxa"/>
              <w:bottom w:w="100" w:type="dxa"/>
              <w:right w:w="120" w:type="dxa"/>
            </w:tcMar>
            <w:vAlign w:val="center"/>
          </w:tcPr>
          <w:p w14:paraId="79961A49" w14:textId="77777777" w:rsidR="00D84D0A" w:rsidRDefault="00D84D0A"/>
        </w:tc>
      </w:tr>
      <w:tr w:rsidR="00D84D0A" w14:paraId="4C5C4256"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2EF73FD6" w14:textId="77777777" w:rsidR="00D84D0A" w:rsidRDefault="00000000">
            <w:r>
              <w:rPr>
                <w:sz w:val="19"/>
                <w:szCs w:val="19"/>
              </w:rPr>
              <w:t>Azure AI Foundry</w:t>
            </w:r>
          </w:p>
        </w:tc>
        <w:tc>
          <w:tcPr>
            <w:tcW w:w="2350" w:type="dxa"/>
            <w:shd w:val="clear" w:color="auto" w:fill="EEF3F5"/>
            <w:tcMar>
              <w:top w:w="100" w:type="dxa"/>
              <w:left w:w="120" w:type="dxa"/>
              <w:bottom w:w="100" w:type="dxa"/>
              <w:right w:w="120" w:type="dxa"/>
            </w:tcMar>
            <w:vAlign w:val="center"/>
          </w:tcPr>
          <w:p w14:paraId="5E58C6DD" w14:textId="77777777" w:rsidR="00D84D0A" w:rsidRDefault="00000000">
            <w:r>
              <w:rPr>
                <w:sz w:val="19"/>
                <w:szCs w:val="19"/>
              </w:rPr>
              <w:t>GPT-4o</w:t>
            </w:r>
          </w:p>
        </w:tc>
        <w:tc>
          <w:tcPr>
            <w:tcW w:w="1300" w:type="dxa"/>
            <w:shd w:val="clear" w:color="auto" w:fill="EEF3F5"/>
            <w:tcMar>
              <w:top w:w="100" w:type="dxa"/>
              <w:left w:w="120" w:type="dxa"/>
              <w:bottom w:w="100" w:type="dxa"/>
              <w:right w:w="120" w:type="dxa"/>
            </w:tcMar>
            <w:vAlign w:val="center"/>
          </w:tcPr>
          <w:p w14:paraId="0ED1E920" w14:textId="77777777" w:rsidR="00D84D0A" w:rsidRDefault="00000000">
            <w:r>
              <w:rPr>
                <w:sz w:val="19"/>
                <w:szCs w:val="19"/>
              </w:rPr>
              <w:t>$2.50</w:t>
            </w:r>
          </w:p>
        </w:tc>
        <w:tc>
          <w:tcPr>
            <w:tcW w:w="1300" w:type="dxa"/>
            <w:shd w:val="clear" w:color="auto" w:fill="EEF3F5"/>
            <w:tcMar>
              <w:top w:w="100" w:type="dxa"/>
              <w:left w:w="120" w:type="dxa"/>
              <w:bottom w:w="100" w:type="dxa"/>
              <w:right w:w="120" w:type="dxa"/>
            </w:tcMar>
            <w:vAlign w:val="center"/>
          </w:tcPr>
          <w:p w14:paraId="25E92620" w14:textId="77777777" w:rsidR="00D84D0A" w:rsidRDefault="00000000">
            <w:r>
              <w:rPr>
                <w:sz w:val="19"/>
                <w:szCs w:val="19"/>
              </w:rPr>
              <w:t>$10.00</w:t>
            </w:r>
          </w:p>
        </w:tc>
        <w:tc>
          <w:tcPr>
            <w:tcW w:w="2650" w:type="dxa"/>
            <w:shd w:val="clear" w:color="auto" w:fill="EEF3F5"/>
            <w:tcMar>
              <w:top w:w="100" w:type="dxa"/>
              <w:left w:w="120" w:type="dxa"/>
              <w:bottom w:w="100" w:type="dxa"/>
              <w:right w:w="120" w:type="dxa"/>
            </w:tcMar>
            <w:vAlign w:val="center"/>
          </w:tcPr>
          <w:p w14:paraId="7C68679F" w14:textId="77777777" w:rsidR="00D84D0A" w:rsidRDefault="00000000">
            <w:r>
              <w:rPr>
                <w:sz w:val="19"/>
                <w:szCs w:val="19"/>
              </w:rPr>
              <w:t>Legacy, still available</w:t>
            </w:r>
          </w:p>
        </w:tc>
      </w:tr>
      <w:tr w:rsidR="00D84D0A" w14:paraId="40F6A551" w14:textId="77777777">
        <w:tblPrEx>
          <w:tblCellMar>
            <w:top w:w="0" w:type="dxa"/>
            <w:bottom w:w="0" w:type="dxa"/>
          </w:tblCellMar>
        </w:tblPrEx>
        <w:tc>
          <w:tcPr>
            <w:tcW w:w="1750" w:type="dxa"/>
            <w:tcMar>
              <w:top w:w="100" w:type="dxa"/>
              <w:left w:w="120" w:type="dxa"/>
              <w:bottom w:w="100" w:type="dxa"/>
              <w:right w:w="120" w:type="dxa"/>
            </w:tcMar>
            <w:vAlign w:val="center"/>
          </w:tcPr>
          <w:p w14:paraId="0A69B596" w14:textId="77777777" w:rsidR="00D84D0A" w:rsidRDefault="00000000">
            <w:r>
              <w:rPr>
                <w:sz w:val="19"/>
                <w:szCs w:val="19"/>
              </w:rPr>
              <w:t>Azure AI Foundry</w:t>
            </w:r>
          </w:p>
        </w:tc>
        <w:tc>
          <w:tcPr>
            <w:tcW w:w="2350" w:type="dxa"/>
            <w:tcMar>
              <w:top w:w="100" w:type="dxa"/>
              <w:left w:w="120" w:type="dxa"/>
              <w:bottom w:w="100" w:type="dxa"/>
              <w:right w:w="120" w:type="dxa"/>
            </w:tcMar>
            <w:vAlign w:val="center"/>
          </w:tcPr>
          <w:p w14:paraId="1467F4E4" w14:textId="77777777" w:rsidR="00D84D0A" w:rsidRDefault="00000000">
            <w:r>
              <w:rPr>
                <w:sz w:val="19"/>
                <w:szCs w:val="19"/>
              </w:rPr>
              <w:t>GPT-4o mini</w:t>
            </w:r>
          </w:p>
        </w:tc>
        <w:tc>
          <w:tcPr>
            <w:tcW w:w="1300" w:type="dxa"/>
            <w:tcMar>
              <w:top w:w="100" w:type="dxa"/>
              <w:left w:w="120" w:type="dxa"/>
              <w:bottom w:w="100" w:type="dxa"/>
              <w:right w:w="120" w:type="dxa"/>
            </w:tcMar>
            <w:vAlign w:val="center"/>
          </w:tcPr>
          <w:p w14:paraId="732A878C" w14:textId="77777777" w:rsidR="00D84D0A" w:rsidRDefault="00000000">
            <w:r>
              <w:rPr>
                <w:sz w:val="19"/>
                <w:szCs w:val="19"/>
              </w:rPr>
              <w:t>$0.165</w:t>
            </w:r>
          </w:p>
        </w:tc>
        <w:tc>
          <w:tcPr>
            <w:tcW w:w="1300" w:type="dxa"/>
            <w:tcMar>
              <w:top w:w="100" w:type="dxa"/>
              <w:left w:w="120" w:type="dxa"/>
              <w:bottom w:w="100" w:type="dxa"/>
              <w:right w:w="120" w:type="dxa"/>
            </w:tcMar>
            <w:vAlign w:val="center"/>
          </w:tcPr>
          <w:p w14:paraId="419EF2F5" w14:textId="77777777" w:rsidR="00D84D0A" w:rsidRDefault="00000000">
            <w:r>
              <w:rPr>
                <w:sz w:val="19"/>
                <w:szCs w:val="19"/>
              </w:rPr>
              <w:t>$0.66</w:t>
            </w:r>
          </w:p>
        </w:tc>
        <w:tc>
          <w:tcPr>
            <w:tcW w:w="2650" w:type="dxa"/>
            <w:tcMar>
              <w:top w:w="100" w:type="dxa"/>
              <w:left w:w="120" w:type="dxa"/>
              <w:bottom w:w="100" w:type="dxa"/>
              <w:right w:w="120" w:type="dxa"/>
            </w:tcMar>
            <w:vAlign w:val="center"/>
          </w:tcPr>
          <w:p w14:paraId="09DB6677" w14:textId="77777777" w:rsidR="00D84D0A" w:rsidRDefault="00D84D0A"/>
        </w:tc>
      </w:tr>
      <w:tr w:rsidR="00D84D0A" w14:paraId="27322E0B"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5130F635" w14:textId="77777777" w:rsidR="00D84D0A" w:rsidRDefault="00000000">
            <w:r>
              <w:rPr>
                <w:sz w:val="19"/>
                <w:szCs w:val="19"/>
              </w:rPr>
              <w:t>Azure AI Foundry</w:t>
            </w:r>
          </w:p>
        </w:tc>
        <w:tc>
          <w:tcPr>
            <w:tcW w:w="2350" w:type="dxa"/>
            <w:shd w:val="clear" w:color="auto" w:fill="EEF3F5"/>
            <w:tcMar>
              <w:top w:w="100" w:type="dxa"/>
              <w:left w:w="120" w:type="dxa"/>
              <w:bottom w:w="100" w:type="dxa"/>
              <w:right w:w="120" w:type="dxa"/>
            </w:tcMar>
            <w:vAlign w:val="center"/>
          </w:tcPr>
          <w:p w14:paraId="5E622AAA" w14:textId="77777777" w:rsidR="00D84D0A" w:rsidRDefault="00000000">
            <w:r>
              <w:rPr>
                <w:sz w:val="19"/>
                <w:szCs w:val="19"/>
              </w:rPr>
              <w:t>Claude 4.5 Sonnet</w:t>
            </w:r>
          </w:p>
        </w:tc>
        <w:tc>
          <w:tcPr>
            <w:tcW w:w="1300" w:type="dxa"/>
            <w:shd w:val="clear" w:color="auto" w:fill="EEF3F5"/>
            <w:tcMar>
              <w:top w:w="100" w:type="dxa"/>
              <w:left w:w="120" w:type="dxa"/>
              <w:bottom w:w="100" w:type="dxa"/>
              <w:right w:w="120" w:type="dxa"/>
            </w:tcMar>
            <w:vAlign w:val="center"/>
          </w:tcPr>
          <w:p w14:paraId="770BACAC" w14:textId="77777777" w:rsidR="00D84D0A" w:rsidRDefault="00000000">
            <w:r>
              <w:rPr>
                <w:sz w:val="19"/>
                <w:szCs w:val="19"/>
              </w:rPr>
              <w:t>$3.00</w:t>
            </w:r>
          </w:p>
        </w:tc>
        <w:tc>
          <w:tcPr>
            <w:tcW w:w="1300" w:type="dxa"/>
            <w:shd w:val="clear" w:color="auto" w:fill="EEF3F5"/>
            <w:tcMar>
              <w:top w:w="100" w:type="dxa"/>
              <w:left w:w="120" w:type="dxa"/>
              <w:bottom w:w="100" w:type="dxa"/>
              <w:right w:w="120" w:type="dxa"/>
            </w:tcMar>
            <w:vAlign w:val="center"/>
          </w:tcPr>
          <w:p w14:paraId="15EC386D" w14:textId="77777777" w:rsidR="00D84D0A" w:rsidRDefault="00000000">
            <w:r>
              <w:rPr>
                <w:sz w:val="19"/>
                <w:szCs w:val="19"/>
              </w:rPr>
              <w:t>$15.00</w:t>
            </w:r>
          </w:p>
        </w:tc>
        <w:tc>
          <w:tcPr>
            <w:tcW w:w="2650" w:type="dxa"/>
            <w:shd w:val="clear" w:color="auto" w:fill="EEF3F5"/>
            <w:tcMar>
              <w:top w:w="100" w:type="dxa"/>
              <w:left w:w="120" w:type="dxa"/>
              <w:bottom w:w="100" w:type="dxa"/>
              <w:right w:w="120" w:type="dxa"/>
            </w:tcMar>
            <w:vAlign w:val="center"/>
          </w:tcPr>
          <w:p w14:paraId="223D5D54" w14:textId="77777777" w:rsidR="00D84D0A" w:rsidRDefault="00000000">
            <w:r>
              <w:rPr>
                <w:sz w:val="19"/>
                <w:szCs w:val="19"/>
              </w:rPr>
              <w:t>No EU region — see Section 5</w:t>
            </w:r>
          </w:p>
        </w:tc>
      </w:tr>
      <w:tr w:rsidR="00D84D0A" w14:paraId="055E3AD0" w14:textId="77777777">
        <w:tblPrEx>
          <w:tblCellMar>
            <w:top w:w="0" w:type="dxa"/>
            <w:bottom w:w="0" w:type="dxa"/>
          </w:tblCellMar>
        </w:tblPrEx>
        <w:tc>
          <w:tcPr>
            <w:tcW w:w="1750" w:type="dxa"/>
            <w:tcMar>
              <w:top w:w="100" w:type="dxa"/>
              <w:left w:w="120" w:type="dxa"/>
              <w:bottom w:w="100" w:type="dxa"/>
              <w:right w:w="120" w:type="dxa"/>
            </w:tcMar>
            <w:vAlign w:val="center"/>
          </w:tcPr>
          <w:p w14:paraId="4B1D1D42" w14:textId="77777777" w:rsidR="00D84D0A" w:rsidRDefault="00000000">
            <w:r>
              <w:rPr>
                <w:sz w:val="19"/>
                <w:szCs w:val="19"/>
              </w:rPr>
              <w:t>Azure AI Foundry</w:t>
            </w:r>
          </w:p>
        </w:tc>
        <w:tc>
          <w:tcPr>
            <w:tcW w:w="2350" w:type="dxa"/>
            <w:tcMar>
              <w:top w:w="100" w:type="dxa"/>
              <w:left w:w="120" w:type="dxa"/>
              <w:bottom w:w="100" w:type="dxa"/>
              <w:right w:w="120" w:type="dxa"/>
            </w:tcMar>
            <w:vAlign w:val="center"/>
          </w:tcPr>
          <w:p w14:paraId="36F84ED5" w14:textId="77777777" w:rsidR="00D84D0A" w:rsidRDefault="00000000">
            <w:r>
              <w:rPr>
                <w:sz w:val="19"/>
                <w:szCs w:val="19"/>
              </w:rPr>
              <w:t>Llama 4.1 405B</w:t>
            </w:r>
          </w:p>
        </w:tc>
        <w:tc>
          <w:tcPr>
            <w:tcW w:w="1300" w:type="dxa"/>
            <w:tcMar>
              <w:top w:w="100" w:type="dxa"/>
              <w:left w:w="120" w:type="dxa"/>
              <w:bottom w:w="100" w:type="dxa"/>
              <w:right w:w="120" w:type="dxa"/>
            </w:tcMar>
            <w:vAlign w:val="center"/>
          </w:tcPr>
          <w:p w14:paraId="6EF523C2" w14:textId="77777777" w:rsidR="00D84D0A" w:rsidRDefault="00000000">
            <w:r>
              <w:rPr>
                <w:sz w:val="19"/>
                <w:szCs w:val="19"/>
              </w:rPr>
              <w:t>$5.00</w:t>
            </w:r>
          </w:p>
        </w:tc>
        <w:tc>
          <w:tcPr>
            <w:tcW w:w="1300" w:type="dxa"/>
            <w:tcMar>
              <w:top w:w="100" w:type="dxa"/>
              <w:left w:w="120" w:type="dxa"/>
              <w:bottom w:w="100" w:type="dxa"/>
              <w:right w:w="120" w:type="dxa"/>
            </w:tcMar>
            <w:vAlign w:val="center"/>
          </w:tcPr>
          <w:p w14:paraId="4D69B646" w14:textId="77777777" w:rsidR="00D84D0A" w:rsidRDefault="00000000">
            <w:r>
              <w:rPr>
                <w:sz w:val="19"/>
                <w:szCs w:val="19"/>
              </w:rPr>
              <w:t>$15.00</w:t>
            </w:r>
          </w:p>
        </w:tc>
        <w:tc>
          <w:tcPr>
            <w:tcW w:w="2650" w:type="dxa"/>
            <w:tcMar>
              <w:top w:w="100" w:type="dxa"/>
              <w:left w:w="120" w:type="dxa"/>
              <w:bottom w:w="100" w:type="dxa"/>
              <w:right w:w="120" w:type="dxa"/>
            </w:tcMar>
            <w:vAlign w:val="center"/>
          </w:tcPr>
          <w:p w14:paraId="6B826B60" w14:textId="77777777" w:rsidR="00D84D0A" w:rsidRDefault="00000000">
            <w:r>
              <w:rPr>
                <w:sz w:val="19"/>
                <w:szCs w:val="19"/>
              </w:rPr>
              <w:t>Meta open-weight, Azure-hosted</w:t>
            </w:r>
          </w:p>
        </w:tc>
      </w:tr>
      <w:tr w:rsidR="00D84D0A" w14:paraId="693EED37"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0B02F77C" w14:textId="77777777" w:rsidR="00D84D0A" w:rsidRDefault="00000000">
            <w:r>
              <w:rPr>
                <w:sz w:val="19"/>
                <w:szCs w:val="19"/>
              </w:rPr>
              <w:t>Azure AI Foundry</w:t>
            </w:r>
          </w:p>
        </w:tc>
        <w:tc>
          <w:tcPr>
            <w:tcW w:w="2350" w:type="dxa"/>
            <w:shd w:val="clear" w:color="auto" w:fill="EEF3F5"/>
            <w:tcMar>
              <w:top w:w="100" w:type="dxa"/>
              <w:left w:w="120" w:type="dxa"/>
              <w:bottom w:w="100" w:type="dxa"/>
              <w:right w:w="120" w:type="dxa"/>
            </w:tcMar>
            <w:vAlign w:val="center"/>
          </w:tcPr>
          <w:p w14:paraId="0BDD1330" w14:textId="77777777" w:rsidR="00D84D0A" w:rsidRDefault="00000000">
            <w:r>
              <w:rPr>
                <w:sz w:val="19"/>
                <w:szCs w:val="19"/>
              </w:rPr>
              <w:t>DeepSeek-V4 Pro</w:t>
            </w:r>
          </w:p>
        </w:tc>
        <w:tc>
          <w:tcPr>
            <w:tcW w:w="1300" w:type="dxa"/>
            <w:shd w:val="clear" w:color="auto" w:fill="EEF3F5"/>
            <w:tcMar>
              <w:top w:w="100" w:type="dxa"/>
              <w:left w:w="120" w:type="dxa"/>
              <w:bottom w:w="100" w:type="dxa"/>
              <w:right w:w="120" w:type="dxa"/>
            </w:tcMar>
            <w:vAlign w:val="center"/>
          </w:tcPr>
          <w:p w14:paraId="3B35C253" w14:textId="77777777" w:rsidR="00D84D0A" w:rsidRDefault="00000000">
            <w:r>
              <w:rPr>
                <w:sz w:val="19"/>
                <w:szCs w:val="19"/>
              </w:rPr>
              <w:t>$2.00</w:t>
            </w:r>
          </w:p>
        </w:tc>
        <w:tc>
          <w:tcPr>
            <w:tcW w:w="1300" w:type="dxa"/>
            <w:shd w:val="clear" w:color="auto" w:fill="EEF3F5"/>
            <w:tcMar>
              <w:top w:w="100" w:type="dxa"/>
              <w:left w:w="120" w:type="dxa"/>
              <w:bottom w:w="100" w:type="dxa"/>
              <w:right w:w="120" w:type="dxa"/>
            </w:tcMar>
            <w:vAlign w:val="center"/>
          </w:tcPr>
          <w:p w14:paraId="186CB23C" w14:textId="77777777" w:rsidR="00D84D0A" w:rsidRDefault="00000000">
            <w:r>
              <w:rPr>
                <w:sz w:val="19"/>
                <w:szCs w:val="19"/>
              </w:rPr>
              <w:t>$8.00</w:t>
            </w:r>
          </w:p>
        </w:tc>
        <w:tc>
          <w:tcPr>
            <w:tcW w:w="2650" w:type="dxa"/>
            <w:shd w:val="clear" w:color="auto" w:fill="EEF3F5"/>
            <w:tcMar>
              <w:top w:w="100" w:type="dxa"/>
              <w:left w:w="120" w:type="dxa"/>
              <w:bottom w:w="100" w:type="dxa"/>
              <w:right w:w="120" w:type="dxa"/>
            </w:tcMar>
            <w:vAlign w:val="center"/>
          </w:tcPr>
          <w:p w14:paraId="1CFE7799" w14:textId="77777777" w:rsidR="00D84D0A" w:rsidRDefault="00D84D0A"/>
        </w:tc>
      </w:tr>
      <w:tr w:rsidR="00D84D0A" w14:paraId="556402F9" w14:textId="77777777">
        <w:tblPrEx>
          <w:tblCellMar>
            <w:top w:w="0" w:type="dxa"/>
            <w:bottom w:w="0" w:type="dxa"/>
          </w:tblCellMar>
        </w:tblPrEx>
        <w:tc>
          <w:tcPr>
            <w:tcW w:w="1750" w:type="dxa"/>
            <w:tcMar>
              <w:top w:w="100" w:type="dxa"/>
              <w:left w:w="120" w:type="dxa"/>
              <w:bottom w:w="100" w:type="dxa"/>
              <w:right w:w="120" w:type="dxa"/>
            </w:tcMar>
            <w:vAlign w:val="center"/>
          </w:tcPr>
          <w:p w14:paraId="2E1F3F82" w14:textId="77777777" w:rsidR="00D84D0A" w:rsidRDefault="00000000">
            <w:r>
              <w:rPr>
                <w:sz w:val="19"/>
                <w:szCs w:val="19"/>
              </w:rPr>
              <w:t>Mistral AI</w:t>
            </w:r>
          </w:p>
        </w:tc>
        <w:tc>
          <w:tcPr>
            <w:tcW w:w="2350" w:type="dxa"/>
            <w:tcMar>
              <w:top w:w="100" w:type="dxa"/>
              <w:left w:w="120" w:type="dxa"/>
              <w:bottom w:w="100" w:type="dxa"/>
              <w:right w:w="120" w:type="dxa"/>
            </w:tcMar>
            <w:vAlign w:val="center"/>
          </w:tcPr>
          <w:p w14:paraId="7FD4209C" w14:textId="77777777" w:rsidR="00D84D0A" w:rsidRDefault="00000000">
            <w:r>
              <w:rPr>
                <w:sz w:val="19"/>
                <w:szCs w:val="19"/>
              </w:rPr>
              <w:t>Mistral Large 3</w:t>
            </w:r>
          </w:p>
        </w:tc>
        <w:tc>
          <w:tcPr>
            <w:tcW w:w="1300" w:type="dxa"/>
            <w:tcMar>
              <w:top w:w="100" w:type="dxa"/>
              <w:left w:w="120" w:type="dxa"/>
              <w:bottom w:w="100" w:type="dxa"/>
              <w:right w:w="120" w:type="dxa"/>
            </w:tcMar>
            <w:vAlign w:val="center"/>
          </w:tcPr>
          <w:p w14:paraId="07F3FE55" w14:textId="77777777" w:rsidR="00D84D0A" w:rsidRDefault="00000000">
            <w:r>
              <w:rPr>
                <w:sz w:val="19"/>
                <w:szCs w:val="19"/>
              </w:rPr>
              <w:t>$0.50</w:t>
            </w:r>
          </w:p>
        </w:tc>
        <w:tc>
          <w:tcPr>
            <w:tcW w:w="1300" w:type="dxa"/>
            <w:tcMar>
              <w:top w:w="100" w:type="dxa"/>
              <w:left w:w="120" w:type="dxa"/>
              <w:bottom w:w="100" w:type="dxa"/>
              <w:right w:w="120" w:type="dxa"/>
            </w:tcMar>
            <w:vAlign w:val="center"/>
          </w:tcPr>
          <w:p w14:paraId="3670A785" w14:textId="77777777" w:rsidR="00D84D0A" w:rsidRDefault="00000000">
            <w:r>
              <w:rPr>
                <w:sz w:val="19"/>
                <w:szCs w:val="19"/>
              </w:rPr>
              <w:t>$1.50</w:t>
            </w:r>
          </w:p>
        </w:tc>
        <w:tc>
          <w:tcPr>
            <w:tcW w:w="2650" w:type="dxa"/>
            <w:tcMar>
              <w:top w:w="100" w:type="dxa"/>
              <w:left w:w="120" w:type="dxa"/>
              <w:bottom w:w="100" w:type="dxa"/>
              <w:right w:w="120" w:type="dxa"/>
            </w:tcMar>
            <w:vAlign w:val="center"/>
          </w:tcPr>
          <w:p w14:paraId="1AD76C57" w14:textId="77777777" w:rsidR="00D84D0A" w:rsidRDefault="00D84D0A"/>
        </w:tc>
      </w:tr>
      <w:tr w:rsidR="00D84D0A" w14:paraId="5ADFCFE3"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78D2DB3A" w14:textId="77777777" w:rsidR="00D84D0A" w:rsidRDefault="00000000">
            <w:r>
              <w:rPr>
                <w:sz w:val="19"/>
                <w:szCs w:val="19"/>
              </w:rPr>
              <w:lastRenderedPageBreak/>
              <w:t>Mistral AI</w:t>
            </w:r>
          </w:p>
        </w:tc>
        <w:tc>
          <w:tcPr>
            <w:tcW w:w="2350" w:type="dxa"/>
            <w:shd w:val="clear" w:color="auto" w:fill="EEF3F5"/>
            <w:tcMar>
              <w:top w:w="100" w:type="dxa"/>
              <w:left w:w="120" w:type="dxa"/>
              <w:bottom w:w="100" w:type="dxa"/>
              <w:right w:w="120" w:type="dxa"/>
            </w:tcMar>
            <w:vAlign w:val="center"/>
          </w:tcPr>
          <w:p w14:paraId="4C3138EE" w14:textId="77777777" w:rsidR="00D84D0A" w:rsidRDefault="00000000">
            <w:r>
              <w:rPr>
                <w:sz w:val="19"/>
                <w:szCs w:val="19"/>
              </w:rPr>
              <w:t>Mistral Small 4</w:t>
            </w:r>
          </w:p>
        </w:tc>
        <w:tc>
          <w:tcPr>
            <w:tcW w:w="1300" w:type="dxa"/>
            <w:shd w:val="clear" w:color="auto" w:fill="EEF3F5"/>
            <w:tcMar>
              <w:top w:w="100" w:type="dxa"/>
              <w:left w:w="120" w:type="dxa"/>
              <w:bottom w:w="100" w:type="dxa"/>
              <w:right w:w="120" w:type="dxa"/>
            </w:tcMar>
            <w:vAlign w:val="center"/>
          </w:tcPr>
          <w:p w14:paraId="1761DBDA" w14:textId="77777777" w:rsidR="00D84D0A" w:rsidRDefault="00000000">
            <w:r>
              <w:rPr>
                <w:sz w:val="19"/>
                <w:szCs w:val="19"/>
              </w:rPr>
              <w:t>$0.15</w:t>
            </w:r>
          </w:p>
        </w:tc>
        <w:tc>
          <w:tcPr>
            <w:tcW w:w="1300" w:type="dxa"/>
            <w:shd w:val="clear" w:color="auto" w:fill="EEF3F5"/>
            <w:tcMar>
              <w:top w:w="100" w:type="dxa"/>
              <w:left w:w="120" w:type="dxa"/>
              <w:bottom w:w="100" w:type="dxa"/>
              <w:right w:w="120" w:type="dxa"/>
            </w:tcMar>
            <w:vAlign w:val="center"/>
          </w:tcPr>
          <w:p w14:paraId="203C086C" w14:textId="77777777" w:rsidR="00D84D0A" w:rsidRDefault="00000000">
            <w:r>
              <w:rPr>
                <w:sz w:val="19"/>
                <w:szCs w:val="19"/>
              </w:rPr>
              <w:t>$0.60</w:t>
            </w:r>
          </w:p>
        </w:tc>
        <w:tc>
          <w:tcPr>
            <w:tcW w:w="2650" w:type="dxa"/>
            <w:shd w:val="clear" w:color="auto" w:fill="EEF3F5"/>
            <w:tcMar>
              <w:top w:w="100" w:type="dxa"/>
              <w:left w:w="120" w:type="dxa"/>
              <w:bottom w:w="100" w:type="dxa"/>
              <w:right w:w="120" w:type="dxa"/>
            </w:tcMar>
            <w:vAlign w:val="center"/>
          </w:tcPr>
          <w:p w14:paraId="3A1BE2FD" w14:textId="77777777" w:rsidR="00D84D0A" w:rsidRDefault="00D84D0A"/>
        </w:tc>
      </w:tr>
      <w:tr w:rsidR="00D84D0A" w14:paraId="20E33D50" w14:textId="77777777">
        <w:tblPrEx>
          <w:tblCellMar>
            <w:top w:w="0" w:type="dxa"/>
            <w:bottom w:w="0" w:type="dxa"/>
          </w:tblCellMar>
        </w:tblPrEx>
        <w:tc>
          <w:tcPr>
            <w:tcW w:w="1750" w:type="dxa"/>
            <w:tcMar>
              <w:top w:w="100" w:type="dxa"/>
              <w:left w:w="120" w:type="dxa"/>
              <w:bottom w:w="100" w:type="dxa"/>
              <w:right w:w="120" w:type="dxa"/>
            </w:tcMar>
            <w:vAlign w:val="center"/>
          </w:tcPr>
          <w:p w14:paraId="57371859" w14:textId="77777777" w:rsidR="00D84D0A" w:rsidRDefault="00000000">
            <w:r>
              <w:rPr>
                <w:sz w:val="19"/>
                <w:szCs w:val="19"/>
              </w:rPr>
              <w:t>Mistral AI</w:t>
            </w:r>
          </w:p>
        </w:tc>
        <w:tc>
          <w:tcPr>
            <w:tcW w:w="2350" w:type="dxa"/>
            <w:tcMar>
              <w:top w:w="100" w:type="dxa"/>
              <w:left w:w="120" w:type="dxa"/>
              <w:bottom w:w="100" w:type="dxa"/>
              <w:right w:w="120" w:type="dxa"/>
            </w:tcMar>
            <w:vAlign w:val="center"/>
          </w:tcPr>
          <w:p w14:paraId="77ADE2D9" w14:textId="77777777" w:rsidR="00D84D0A" w:rsidRDefault="00000000">
            <w:r>
              <w:rPr>
                <w:sz w:val="19"/>
                <w:szCs w:val="19"/>
              </w:rPr>
              <w:t>Ministral 14B/8B/3B</w:t>
            </w:r>
          </w:p>
        </w:tc>
        <w:tc>
          <w:tcPr>
            <w:tcW w:w="1300" w:type="dxa"/>
            <w:tcMar>
              <w:top w:w="100" w:type="dxa"/>
              <w:left w:w="120" w:type="dxa"/>
              <w:bottom w:w="100" w:type="dxa"/>
              <w:right w:w="120" w:type="dxa"/>
            </w:tcMar>
            <w:vAlign w:val="center"/>
          </w:tcPr>
          <w:p w14:paraId="64E49AD6" w14:textId="77777777" w:rsidR="00D84D0A" w:rsidRDefault="00000000">
            <w:r>
              <w:rPr>
                <w:sz w:val="19"/>
                <w:szCs w:val="19"/>
              </w:rPr>
              <w:t>$0.10–$0.20</w:t>
            </w:r>
          </w:p>
        </w:tc>
        <w:tc>
          <w:tcPr>
            <w:tcW w:w="1300" w:type="dxa"/>
            <w:tcMar>
              <w:top w:w="100" w:type="dxa"/>
              <w:left w:w="120" w:type="dxa"/>
              <w:bottom w:w="100" w:type="dxa"/>
              <w:right w:w="120" w:type="dxa"/>
            </w:tcMar>
            <w:vAlign w:val="center"/>
          </w:tcPr>
          <w:p w14:paraId="3114F543" w14:textId="77777777" w:rsidR="00D84D0A" w:rsidRDefault="00000000">
            <w:r>
              <w:rPr>
                <w:sz w:val="19"/>
                <w:szCs w:val="19"/>
              </w:rPr>
              <w:t>$0.10–$0.20</w:t>
            </w:r>
          </w:p>
        </w:tc>
        <w:tc>
          <w:tcPr>
            <w:tcW w:w="2650" w:type="dxa"/>
            <w:tcMar>
              <w:top w:w="100" w:type="dxa"/>
              <w:left w:w="120" w:type="dxa"/>
              <w:bottom w:w="100" w:type="dxa"/>
              <w:right w:w="120" w:type="dxa"/>
            </w:tcMar>
            <w:vAlign w:val="center"/>
          </w:tcPr>
          <w:p w14:paraId="0C11C5F0" w14:textId="77777777" w:rsidR="00D84D0A" w:rsidRDefault="00000000">
            <w:r>
              <w:rPr>
                <w:sz w:val="19"/>
                <w:szCs w:val="19"/>
              </w:rPr>
              <w:t>Small/edge models</w:t>
            </w:r>
          </w:p>
        </w:tc>
      </w:tr>
      <w:tr w:rsidR="00D84D0A" w14:paraId="0D9B5F1F" w14:textId="77777777">
        <w:tblPrEx>
          <w:tblCellMar>
            <w:top w:w="0" w:type="dxa"/>
            <w:bottom w:w="0" w:type="dxa"/>
          </w:tblCellMar>
        </w:tblPrEx>
        <w:tc>
          <w:tcPr>
            <w:tcW w:w="1750" w:type="dxa"/>
            <w:shd w:val="clear" w:color="auto" w:fill="EEF3F5"/>
            <w:tcMar>
              <w:top w:w="100" w:type="dxa"/>
              <w:left w:w="120" w:type="dxa"/>
              <w:bottom w:w="100" w:type="dxa"/>
              <w:right w:w="120" w:type="dxa"/>
            </w:tcMar>
            <w:vAlign w:val="center"/>
          </w:tcPr>
          <w:p w14:paraId="48B3F796" w14:textId="77777777" w:rsidR="00D84D0A" w:rsidRDefault="00000000">
            <w:r>
              <w:rPr>
                <w:sz w:val="19"/>
                <w:szCs w:val="19"/>
              </w:rPr>
              <w:t>Self-hosted</w:t>
            </w:r>
          </w:p>
        </w:tc>
        <w:tc>
          <w:tcPr>
            <w:tcW w:w="2350" w:type="dxa"/>
            <w:shd w:val="clear" w:color="auto" w:fill="EEF3F5"/>
            <w:tcMar>
              <w:top w:w="100" w:type="dxa"/>
              <w:left w:w="120" w:type="dxa"/>
              <w:bottom w:w="100" w:type="dxa"/>
              <w:right w:w="120" w:type="dxa"/>
            </w:tcMar>
            <w:vAlign w:val="center"/>
          </w:tcPr>
          <w:p w14:paraId="3B2E00F2" w14:textId="77777777" w:rsidR="00D84D0A" w:rsidRDefault="00000000">
            <w:r>
              <w:rPr>
                <w:sz w:val="19"/>
                <w:szCs w:val="19"/>
              </w:rPr>
              <w:t>Open-weight on rented H100 GPU (e.g. RunPod)</w:t>
            </w:r>
          </w:p>
        </w:tc>
        <w:tc>
          <w:tcPr>
            <w:tcW w:w="1300" w:type="dxa"/>
            <w:shd w:val="clear" w:color="auto" w:fill="EEF3F5"/>
            <w:tcMar>
              <w:top w:w="100" w:type="dxa"/>
              <w:left w:w="120" w:type="dxa"/>
              <w:bottom w:w="100" w:type="dxa"/>
              <w:right w:w="120" w:type="dxa"/>
            </w:tcMar>
            <w:vAlign w:val="center"/>
          </w:tcPr>
          <w:p w14:paraId="6EE71A61" w14:textId="77777777" w:rsidR="00D84D0A" w:rsidRDefault="00000000">
            <w:r>
              <w:rPr>
                <w:sz w:val="19"/>
                <w:szCs w:val="19"/>
              </w:rPr>
              <w:t>~$0.10 raw compute</w:t>
            </w:r>
          </w:p>
        </w:tc>
        <w:tc>
          <w:tcPr>
            <w:tcW w:w="1300" w:type="dxa"/>
            <w:shd w:val="clear" w:color="auto" w:fill="EEF3F5"/>
            <w:tcMar>
              <w:top w:w="100" w:type="dxa"/>
              <w:left w:w="120" w:type="dxa"/>
              <w:bottom w:w="100" w:type="dxa"/>
              <w:right w:w="120" w:type="dxa"/>
            </w:tcMar>
            <w:vAlign w:val="center"/>
          </w:tcPr>
          <w:p w14:paraId="32EBEC9B" w14:textId="77777777" w:rsidR="00D84D0A" w:rsidRDefault="00000000">
            <w:r>
              <w:rPr>
                <w:sz w:val="19"/>
                <w:szCs w:val="19"/>
              </w:rPr>
              <w:t>—</w:t>
            </w:r>
          </w:p>
        </w:tc>
        <w:tc>
          <w:tcPr>
            <w:tcW w:w="2650" w:type="dxa"/>
            <w:shd w:val="clear" w:color="auto" w:fill="EEF3F5"/>
            <w:tcMar>
              <w:top w:w="100" w:type="dxa"/>
              <w:left w:w="120" w:type="dxa"/>
              <w:bottom w:w="100" w:type="dxa"/>
              <w:right w:w="120" w:type="dxa"/>
            </w:tcMar>
            <w:vAlign w:val="center"/>
          </w:tcPr>
          <w:p w14:paraId="1FE0C968" w14:textId="77777777" w:rsidR="00D84D0A" w:rsidRDefault="00000000">
            <w:r>
              <w:rPr>
                <w:sz w:val="19"/>
                <w:szCs w:val="19"/>
              </w:rPr>
              <w:t>3–5× higher all-in with ops overhead</w:t>
            </w:r>
          </w:p>
        </w:tc>
      </w:tr>
    </w:tbl>
    <w:p w14:paraId="1C9CCE8D" w14:textId="77777777" w:rsidR="00D84D0A" w:rsidRDefault="00000000">
      <w:pPr>
        <w:pStyle w:val="Heading2"/>
        <w:spacing w:before="320" w:after="140"/>
      </w:pPr>
      <w:r>
        <w:rPr>
          <w:b/>
          <w:bCs/>
          <w:color w:val="1F3B57"/>
          <w:sz w:val="25"/>
          <w:szCs w:val="25"/>
        </w:rPr>
        <w:t>11.3 Sources</w:t>
      </w:r>
    </w:p>
    <w:p w14:paraId="46ACCA18" w14:textId="77777777" w:rsidR="00D84D0A" w:rsidRDefault="00000000">
      <w:pPr>
        <w:spacing w:after="140"/>
      </w:pPr>
      <w:r>
        <w:rPr>
          <w:color w:val="5B6770"/>
          <w:sz w:val="19"/>
          <w:szCs w:val="19"/>
        </w:rPr>
        <w:t>All figures are as published by each provider or reputable pricing-tracking sites in August–September 2026; verify current terms directly before procurement, as this market moves quickly.</w:t>
      </w:r>
    </w:p>
    <w:p w14:paraId="6DD1D082" w14:textId="77777777" w:rsidR="00D84D0A" w:rsidRDefault="00000000">
      <w:pPr>
        <w:pStyle w:val="ListParagraph"/>
        <w:numPr>
          <w:ilvl w:val="0"/>
          <w:numId w:val="2"/>
        </w:numPr>
        <w:spacing w:after="90"/>
      </w:pPr>
      <w:r>
        <w:t>Anthropic — official pricing: platform.claude.com/docs/en/about-claude/pricing</w:t>
      </w:r>
    </w:p>
    <w:p w14:paraId="25390A9B" w14:textId="77777777" w:rsidR="00D84D0A" w:rsidRDefault="00000000">
      <w:pPr>
        <w:pStyle w:val="ListParagraph"/>
        <w:numPr>
          <w:ilvl w:val="0"/>
          <w:numId w:val="2"/>
        </w:numPr>
        <w:spacing w:after="90"/>
      </w:pPr>
      <w:r>
        <w:t>OpenAI — official pricing: openai.com/api/pricing</w:t>
      </w:r>
    </w:p>
    <w:p w14:paraId="1858AE0F" w14:textId="77777777" w:rsidR="00D84D0A" w:rsidRDefault="00000000">
      <w:pPr>
        <w:pStyle w:val="ListParagraph"/>
        <w:numPr>
          <w:ilvl w:val="0"/>
          <w:numId w:val="2"/>
        </w:numPr>
        <w:spacing w:after="90"/>
      </w:pPr>
      <w:r>
        <w:t>Microsoft Azure — AI Foundry pricing: azure.microsoft.com/en-us/pricing/details/ai-foundry-models</w:t>
      </w:r>
    </w:p>
    <w:p w14:paraId="1D1A2F72" w14:textId="77777777" w:rsidR="00D84D0A" w:rsidRDefault="00000000">
      <w:pPr>
        <w:pStyle w:val="ListParagraph"/>
        <w:numPr>
          <w:ilvl w:val="0"/>
          <w:numId w:val="2"/>
        </w:numPr>
        <w:spacing w:after="90"/>
      </w:pPr>
      <w:r>
        <w:t>Azure AI Foundry cost breakdown — nOps, August 2026: nops.io/blog/azure-ai-foundry-pricing</w:t>
      </w:r>
    </w:p>
    <w:p w14:paraId="109AF285" w14:textId="77777777" w:rsidR="00D84D0A" w:rsidRDefault="00000000">
      <w:pPr>
        <w:pStyle w:val="ListParagraph"/>
        <w:numPr>
          <w:ilvl w:val="0"/>
          <w:numId w:val="2"/>
        </w:numPr>
        <w:spacing w:after="90"/>
      </w:pPr>
      <w:r>
        <w:t>Azure Functions Consumption plan pricing — official: azure.microsoft.com/en-us/pricing/details/functions</w:t>
      </w:r>
    </w:p>
    <w:p w14:paraId="2356A472" w14:textId="77777777" w:rsidR="00D84D0A" w:rsidRDefault="00000000">
      <w:pPr>
        <w:pStyle w:val="ListParagraph"/>
        <w:numPr>
          <w:ilvl w:val="0"/>
          <w:numId w:val="2"/>
        </w:numPr>
        <w:spacing w:after="90"/>
      </w:pPr>
      <w:r>
        <w:t>Azure AI Search service tiers &amp; limits — official Microsoft Learn: learn.microsoft.com/azure/search/search-sku-tier and search-limits-quotas-capacity</w:t>
      </w:r>
    </w:p>
    <w:p w14:paraId="4DEF71DF" w14:textId="77777777" w:rsidR="00D84D0A" w:rsidRDefault="00000000">
      <w:pPr>
        <w:pStyle w:val="ListParagraph"/>
        <w:numPr>
          <w:ilvl w:val="0"/>
          <w:numId w:val="2"/>
        </w:numPr>
        <w:spacing w:after="90"/>
      </w:pPr>
      <w:r>
        <w:t>Microsoft Entra ID Free — official Microsoft Learn: learn.microsoft.com/azure/cost-management-billing/manage/microsoft-entra-id-free</w:t>
      </w:r>
    </w:p>
    <w:p w14:paraId="75F04449" w14:textId="77777777" w:rsidR="00D84D0A" w:rsidRDefault="00000000">
      <w:pPr>
        <w:pStyle w:val="ListParagraph"/>
        <w:numPr>
          <w:ilvl w:val="0"/>
          <w:numId w:val="2"/>
        </w:numPr>
        <w:spacing w:after="90"/>
      </w:pPr>
      <w:r>
        <w:t>Claude on Microsoft Foundry EU residency gap — AI for Anything, 2026: aiforanything.io/blog/claude-microsoft-foundry-eu-data-residency-guide-2026</w:t>
      </w:r>
    </w:p>
    <w:p w14:paraId="1D78A147" w14:textId="77777777" w:rsidR="00D84D0A" w:rsidRDefault="00000000">
      <w:pPr>
        <w:pStyle w:val="ListParagraph"/>
        <w:numPr>
          <w:ilvl w:val="0"/>
          <w:numId w:val="2"/>
        </w:numPr>
        <w:spacing w:after="90"/>
      </w:pPr>
      <w:r>
        <w:t>Claude on Microsoft Foundry GA / EU limitation — InfoQ, July 2026: infoq.com/news/2026/07/claude-foundry-ga-europe</w:t>
      </w:r>
    </w:p>
    <w:p w14:paraId="37CFE4E7" w14:textId="77777777" w:rsidR="00D84D0A" w:rsidRDefault="00000000">
      <w:pPr>
        <w:pStyle w:val="ListParagraph"/>
        <w:numPr>
          <w:ilvl w:val="0"/>
          <w:numId w:val="2"/>
        </w:numPr>
        <w:spacing w:after="90"/>
      </w:pPr>
      <w:r>
        <w:t>Mistral AI pricing &amp; EU positioning — CloudZero, 2026: cloudzero.com/blog/mistral-api-pricing</w:t>
      </w:r>
    </w:p>
    <w:p w14:paraId="3D8D5007" w14:textId="77777777" w:rsidR="00D84D0A" w:rsidRDefault="00000000">
      <w:pPr>
        <w:pStyle w:val="ListParagraph"/>
        <w:numPr>
          <w:ilvl w:val="0"/>
          <w:numId w:val="2"/>
        </w:numPr>
        <w:spacing w:after="90"/>
      </w:pPr>
      <w:r>
        <w:t>Claude pricing overview — CloudZero, 2026: cloudzero.com/blog/claude-pricing</w:t>
      </w:r>
    </w:p>
    <w:p w14:paraId="7143FBC6" w14:textId="77777777" w:rsidR="00D84D0A" w:rsidRDefault="00000000">
      <w:pPr>
        <w:pStyle w:val="ListParagraph"/>
        <w:numPr>
          <w:ilvl w:val="0"/>
          <w:numId w:val="2"/>
        </w:numPr>
        <w:spacing w:after="90"/>
      </w:pPr>
      <w:r>
        <w:t>Self-hosting vs API break-even analysis — LeanLM, 2026: leanlm.ai/blog/self-hosting-llm-cost</w:t>
      </w:r>
    </w:p>
    <w:p w14:paraId="581ED5F6" w14:textId="77777777" w:rsidR="00D84D0A" w:rsidRDefault="00000000">
      <w:pPr>
        <w:pStyle w:val="ListParagraph"/>
        <w:numPr>
          <w:ilvl w:val="0"/>
          <w:numId w:val="2"/>
        </w:numPr>
        <w:spacing w:after="90"/>
      </w:pPr>
      <w:r>
        <w:t>Local LLM hardware requirements — PromptQuorum, 2026: promptquorum.com/local-llms/local-llm-hardware-guide-2026</w:t>
      </w:r>
    </w:p>
    <w:p w14:paraId="320321F3" w14:textId="77777777" w:rsidR="00D84D0A" w:rsidRDefault="00000000">
      <w:pPr>
        <w:pStyle w:val="ListParagraph"/>
        <w:numPr>
          <w:ilvl w:val="0"/>
          <w:numId w:val="2"/>
        </w:numPr>
        <w:spacing w:after="90"/>
      </w:pPr>
      <w:r>
        <w:t>Best local LLM models for RAG — Layer3Labs, 2026: layer3labs.io/guides/best-local-llms</w:t>
      </w:r>
    </w:p>
    <w:p w14:paraId="3D3A2A1D" w14:textId="77777777" w:rsidR="00D84D0A" w:rsidRDefault="00000000">
      <w:pPr>
        <w:pStyle w:val="ListParagraph"/>
        <w:numPr>
          <w:ilvl w:val="0"/>
          <w:numId w:val="2"/>
        </w:numPr>
        <w:spacing w:after="90"/>
      </w:pPr>
      <w:r>
        <w:t>Kaggle free GPU/TPU tier — AI Credit Mart, 2026: aicreditmart.com/ai-credits-providers/kaggle-free-gpu-tpu-30-hours-week-access-guide-2026</w:t>
      </w:r>
    </w:p>
    <w:p w14:paraId="7B6E7545" w14:textId="77777777" w:rsidR="00D84D0A" w:rsidRDefault="00000000">
      <w:pPr>
        <w:pStyle w:val="ListParagraph"/>
        <w:numPr>
          <w:ilvl w:val="0"/>
          <w:numId w:val="2"/>
        </w:numPr>
        <w:spacing w:after="90"/>
      </w:pPr>
      <w:r>
        <w:t>Free LLM APIs compared (13 options) — OpenRouter, 2026: openrouter.ai/blog/tutorials/free-llm-apis-compared</w:t>
      </w:r>
    </w:p>
    <w:p w14:paraId="5795D6FE" w14:textId="77777777" w:rsidR="00D84D0A" w:rsidRDefault="00000000">
      <w:pPr>
        <w:pStyle w:val="ListParagraph"/>
        <w:numPr>
          <w:ilvl w:val="0"/>
          <w:numId w:val="2"/>
        </w:numPr>
        <w:spacing w:after="90"/>
      </w:pPr>
      <w:r>
        <w:t>Gemini API free tier limits — TokenMix, 2026: tokenmix.ai/blog/gemini-api-free-tier-limits</w:t>
      </w:r>
    </w:p>
    <w:p w14:paraId="2A65C2F0" w14:textId="77777777" w:rsidR="00D84D0A" w:rsidRDefault="00000000">
      <w:pPr>
        <w:pStyle w:val="ListParagraph"/>
        <w:numPr>
          <w:ilvl w:val="0"/>
          <w:numId w:val="2"/>
        </w:numPr>
        <w:spacing w:after="90"/>
      </w:pPr>
      <w:r>
        <w:t>Gemini API rate limits — official: ai.google.dev/gemini-api/docs/rate-limits</w:t>
      </w:r>
    </w:p>
    <w:p w14:paraId="1CF443E9" w14:textId="77777777" w:rsidR="00D84D0A" w:rsidRDefault="00000000">
      <w:pPr>
        <w:pStyle w:val="ListParagraph"/>
        <w:numPr>
          <w:ilvl w:val="0"/>
          <w:numId w:val="2"/>
        </w:numPr>
        <w:spacing w:after="90"/>
      </w:pPr>
      <w:r>
        <w:t>Groq pricing &amp; free tier — eesel AI, 2026: eesel.ai/blog/groq-pricing</w:t>
      </w:r>
    </w:p>
    <w:p w14:paraId="61DE0980" w14:textId="77777777" w:rsidR="00D84D0A" w:rsidRDefault="00000000">
      <w:pPr>
        <w:pStyle w:val="ListParagraph"/>
        <w:numPr>
          <w:ilvl w:val="0"/>
          <w:numId w:val="2"/>
        </w:numPr>
        <w:spacing w:after="90"/>
      </w:pPr>
      <w:r>
        <w:t>GitHub Models free tier — free-llm-apis.pages.dev/providers/github-models</w:t>
      </w:r>
    </w:p>
    <w:p w14:paraId="1E1F54C2" w14:textId="77777777" w:rsidR="00D84D0A" w:rsidRDefault="00000000">
      <w:pPr>
        <w:pStyle w:val="ListParagraph"/>
        <w:numPr>
          <w:ilvl w:val="0"/>
          <w:numId w:val="2"/>
        </w:numPr>
        <w:spacing w:after="90"/>
      </w:pPr>
      <w:r>
        <w:t>Azure for Students — official: azure.microsoft.com/en-us/free/students</w:t>
      </w:r>
    </w:p>
    <w:p w14:paraId="3303677A" w14:textId="77777777" w:rsidR="00D84D0A" w:rsidRDefault="00000000">
      <w:pPr>
        <w:pStyle w:val="ListParagraph"/>
        <w:numPr>
          <w:ilvl w:val="0"/>
          <w:numId w:val="2"/>
        </w:numPr>
        <w:spacing w:after="90"/>
      </w:pPr>
      <w:r>
        <w:t>Microsoft Azure for Nonprofits: microsoft.com/en-us/nonprofits/azure</w:t>
      </w:r>
    </w:p>
    <w:p w14:paraId="24A5745C" w14:textId="77777777" w:rsidR="00D84D0A" w:rsidRDefault="00000000">
      <w:pPr>
        <w:pStyle w:val="ListParagraph"/>
        <w:numPr>
          <w:ilvl w:val="0"/>
          <w:numId w:val="2"/>
        </w:numPr>
        <w:spacing w:after="90"/>
      </w:pPr>
      <w:r>
        <w:t>GitHub Student Developer Pack: education.github.com/pack</w:t>
      </w:r>
    </w:p>
    <w:p w14:paraId="7A6DBA5F" w14:textId="77777777" w:rsidR="00D84D0A" w:rsidRDefault="00D84D0A">
      <w:pPr>
        <w:spacing w:after="200"/>
      </w:pPr>
    </w:p>
    <w:p w14:paraId="5E93BD41" w14:textId="77777777" w:rsidR="00D84D0A" w:rsidRDefault="00000000">
      <w:pPr>
        <w:spacing w:after="160"/>
      </w:pPr>
      <w:r>
        <w:rPr>
          <w:i/>
          <w:iCs/>
          <w:color w:val="5B6770"/>
          <w:sz w:val="18"/>
          <w:szCs w:val="18"/>
        </w:rPr>
        <w:t>End of document.</w:t>
      </w:r>
    </w:p>
    <w:sectPr w:rsidR="00D84D0A">
      <w:headerReference w:type="default" r:id="rId7"/>
      <w:footerReference w:type="default" r:id="rId8"/>
      <w:pgSz w:w="11906" w:h="16838"/>
      <w:pgMar w:top="900" w:right="1280" w:bottom="90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753FFC" w14:textId="77777777" w:rsidR="00D76FEA" w:rsidRDefault="00D76FEA">
      <w:r>
        <w:separator/>
      </w:r>
    </w:p>
  </w:endnote>
  <w:endnote w:type="continuationSeparator" w:id="0">
    <w:p w14:paraId="1A58BEEB" w14:textId="77777777" w:rsidR="00D76FEA" w:rsidRDefault="00D76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10384" w14:textId="77777777" w:rsidR="00D84D0A" w:rsidRDefault="00000000">
    <w:pPr>
      <w:jc w:val="center"/>
    </w:pPr>
    <w:r>
      <w:rPr>
        <w:color w:val="5B6770"/>
        <w:sz w:val="16"/>
        <w:szCs w:val="16"/>
      </w:rPr>
      <w:fldChar w:fldCharType="begin"/>
    </w:r>
    <w:r>
      <w:rPr>
        <w:color w:val="5B6770"/>
        <w:sz w:val="16"/>
        <w:szCs w:val="16"/>
      </w:rPr>
      <w:instrText>PAGE</w:instrText>
    </w:r>
    <w:r>
      <w:rPr>
        <w:color w:val="5B6770"/>
        <w:sz w:val="16"/>
        <w:szCs w:val="16"/>
      </w:rPr>
      <w:fldChar w:fldCharType="separate"/>
    </w:r>
    <w:r w:rsidR="00377F0C">
      <w:rPr>
        <w:noProof/>
        <w:color w:val="5B6770"/>
        <w:sz w:val="16"/>
        <w:szCs w:val="16"/>
      </w:rPr>
      <w:t>1</w:t>
    </w:r>
    <w:r>
      <w:rPr>
        <w:color w:val="5B6770"/>
        <w:sz w:val="16"/>
        <w:szCs w:val="16"/>
      </w:rPr>
      <w:fldChar w:fldCharType="end"/>
    </w:r>
    <w:r>
      <w:rPr>
        <w:color w:val="5B6770"/>
        <w:sz w:val="16"/>
        <w:szCs w:val="16"/>
      </w:rPr>
      <w:t xml:space="preserve"> </w:t>
    </w:r>
    <w:r>
      <w:rPr>
        <w:color w:val="5B6770"/>
        <w:sz w:val="16"/>
        <w:szCs w:val="16"/>
      </w:rPr>
      <w:t xml:space="preserve">/ </w:t>
    </w:r>
    <w:r>
      <w:rPr>
        <w:color w:val="5B6770"/>
        <w:sz w:val="16"/>
        <w:szCs w:val="16"/>
      </w:rPr>
      <w:fldChar w:fldCharType="begin"/>
    </w:r>
    <w:r>
      <w:rPr>
        <w:color w:val="5B6770"/>
        <w:sz w:val="16"/>
        <w:szCs w:val="16"/>
      </w:rPr>
      <w:instrText>NUMPAGES</w:instrText>
    </w:r>
    <w:r>
      <w:rPr>
        <w:color w:val="5B6770"/>
        <w:sz w:val="16"/>
        <w:szCs w:val="16"/>
      </w:rPr>
      <w:fldChar w:fldCharType="separate"/>
    </w:r>
    <w:r w:rsidR="00377F0C">
      <w:rPr>
        <w:noProof/>
        <w:color w:val="5B6770"/>
        <w:sz w:val="16"/>
        <w:szCs w:val="16"/>
      </w:rPr>
      <w:t>2</w:t>
    </w:r>
    <w:r>
      <w:rPr>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03D044" w14:textId="77777777" w:rsidR="00D76FEA" w:rsidRDefault="00D76FEA">
      <w:r>
        <w:separator/>
      </w:r>
    </w:p>
  </w:footnote>
  <w:footnote w:type="continuationSeparator" w:id="0">
    <w:p w14:paraId="0E31A7B1" w14:textId="77777777" w:rsidR="00D76FEA" w:rsidRDefault="00D76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6C68A" w14:textId="77777777" w:rsidR="00D84D0A" w:rsidRDefault="00000000">
    <w:pPr>
      <w:pBdr>
        <w:bottom w:val="single" w:sz="4" w:space="4" w:color="D6E2E6"/>
      </w:pBdr>
      <w:tabs>
        <w:tab w:val="right" w:pos="9026"/>
      </w:tabs>
    </w:pPr>
    <w:r>
      <w:rPr>
        <w:color w:val="5B6770"/>
        <w:sz w:val="16"/>
        <w:szCs w:val="16"/>
      </w:rPr>
      <w:t>InnoBeweegLab — GenAI Provider Cost Comparison &amp; Business Case</w:t>
    </w:r>
    <w:r>
      <w:tab/>
    </w:r>
    <w:r>
      <w:rPr>
        <w:color w:val="5B6770"/>
        <w:sz w:val="16"/>
        <w:szCs w:val="16"/>
      </w:rPr>
      <w:t>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A832F4"/>
    <w:multiLevelType w:val="hybridMultilevel"/>
    <w:tmpl w:val="11FAF696"/>
    <w:lvl w:ilvl="0" w:tplc="7DA24AB0">
      <w:start w:val="1"/>
      <w:numFmt w:val="bullet"/>
      <w:lvlText w:val="•"/>
      <w:lvlJc w:val="left"/>
      <w:pPr>
        <w:ind w:left="400" w:hanging="260"/>
      </w:pPr>
    </w:lvl>
    <w:lvl w:ilvl="1" w:tplc="B38A27E6">
      <w:start w:val="1"/>
      <w:numFmt w:val="bullet"/>
      <w:lvlText w:val="◦"/>
      <w:lvlJc w:val="left"/>
      <w:pPr>
        <w:ind w:left="760" w:hanging="260"/>
      </w:pPr>
    </w:lvl>
    <w:lvl w:ilvl="2" w:tplc="E77290C4">
      <w:numFmt w:val="decimal"/>
      <w:lvlText w:val=""/>
      <w:lvlJc w:val="left"/>
    </w:lvl>
    <w:lvl w:ilvl="3" w:tplc="3D683C7C">
      <w:numFmt w:val="decimal"/>
      <w:lvlText w:val=""/>
      <w:lvlJc w:val="left"/>
    </w:lvl>
    <w:lvl w:ilvl="4" w:tplc="B9E4F2B0">
      <w:numFmt w:val="decimal"/>
      <w:lvlText w:val=""/>
      <w:lvlJc w:val="left"/>
    </w:lvl>
    <w:lvl w:ilvl="5" w:tplc="E1D8C81C">
      <w:numFmt w:val="decimal"/>
      <w:lvlText w:val=""/>
      <w:lvlJc w:val="left"/>
    </w:lvl>
    <w:lvl w:ilvl="6" w:tplc="6D302698">
      <w:numFmt w:val="decimal"/>
      <w:lvlText w:val=""/>
      <w:lvlJc w:val="left"/>
    </w:lvl>
    <w:lvl w:ilvl="7" w:tplc="F140ABC6">
      <w:numFmt w:val="decimal"/>
      <w:lvlText w:val=""/>
      <w:lvlJc w:val="left"/>
    </w:lvl>
    <w:lvl w:ilvl="8" w:tplc="403CD33C">
      <w:numFmt w:val="decimal"/>
      <w:lvlText w:val=""/>
      <w:lvlJc w:val="left"/>
    </w:lvl>
  </w:abstractNum>
  <w:abstractNum w:abstractNumId="1" w15:restartNumberingAfterBreak="0">
    <w:nsid w:val="5A2E521D"/>
    <w:multiLevelType w:val="hybridMultilevel"/>
    <w:tmpl w:val="DF66F84A"/>
    <w:lvl w:ilvl="0" w:tplc="BE14AB3E">
      <w:start w:val="1"/>
      <w:numFmt w:val="bullet"/>
      <w:lvlText w:val="●"/>
      <w:lvlJc w:val="left"/>
      <w:pPr>
        <w:ind w:left="720" w:hanging="360"/>
      </w:pPr>
    </w:lvl>
    <w:lvl w:ilvl="1" w:tplc="1A0CB61E">
      <w:start w:val="1"/>
      <w:numFmt w:val="bullet"/>
      <w:lvlText w:val="○"/>
      <w:lvlJc w:val="left"/>
      <w:pPr>
        <w:ind w:left="1440" w:hanging="360"/>
      </w:pPr>
    </w:lvl>
    <w:lvl w:ilvl="2" w:tplc="52ACEB1C">
      <w:start w:val="1"/>
      <w:numFmt w:val="bullet"/>
      <w:lvlText w:val="■"/>
      <w:lvlJc w:val="left"/>
      <w:pPr>
        <w:ind w:left="2160" w:hanging="360"/>
      </w:pPr>
    </w:lvl>
    <w:lvl w:ilvl="3" w:tplc="2364FD90">
      <w:start w:val="1"/>
      <w:numFmt w:val="bullet"/>
      <w:lvlText w:val="●"/>
      <w:lvlJc w:val="left"/>
      <w:pPr>
        <w:ind w:left="2880" w:hanging="360"/>
      </w:pPr>
    </w:lvl>
    <w:lvl w:ilvl="4" w:tplc="18FE4652">
      <w:start w:val="1"/>
      <w:numFmt w:val="bullet"/>
      <w:lvlText w:val="○"/>
      <w:lvlJc w:val="left"/>
      <w:pPr>
        <w:ind w:left="3600" w:hanging="360"/>
      </w:pPr>
    </w:lvl>
    <w:lvl w:ilvl="5" w:tplc="25C2FFC8">
      <w:start w:val="1"/>
      <w:numFmt w:val="bullet"/>
      <w:lvlText w:val="■"/>
      <w:lvlJc w:val="left"/>
      <w:pPr>
        <w:ind w:left="4320" w:hanging="360"/>
      </w:pPr>
    </w:lvl>
    <w:lvl w:ilvl="6" w:tplc="36B890F6">
      <w:start w:val="1"/>
      <w:numFmt w:val="bullet"/>
      <w:lvlText w:val="●"/>
      <w:lvlJc w:val="left"/>
      <w:pPr>
        <w:ind w:left="5040" w:hanging="360"/>
      </w:pPr>
    </w:lvl>
    <w:lvl w:ilvl="7" w:tplc="C3C25C7C">
      <w:start w:val="1"/>
      <w:numFmt w:val="bullet"/>
      <w:lvlText w:val="●"/>
      <w:lvlJc w:val="left"/>
      <w:pPr>
        <w:ind w:left="5760" w:hanging="360"/>
      </w:pPr>
    </w:lvl>
    <w:lvl w:ilvl="8" w:tplc="6ECC0B0A">
      <w:start w:val="1"/>
      <w:numFmt w:val="bullet"/>
      <w:lvlText w:val="●"/>
      <w:lvlJc w:val="left"/>
      <w:pPr>
        <w:ind w:left="6480" w:hanging="360"/>
      </w:pPr>
    </w:lvl>
  </w:abstractNum>
  <w:num w:numId="1" w16cid:durableId="2107185941">
    <w:abstractNumId w:val="1"/>
    <w:lvlOverride w:ilvl="0">
      <w:startOverride w:val="1"/>
    </w:lvlOverride>
  </w:num>
  <w:num w:numId="2" w16cid:durableId="17732393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0A"/>
    <w:rsid w:val="00377F0C"/>
    <w:rsid w:val="004E7E9A"/>
    <w:rsid w:val="00C13C29"/>
    <w:rsid w:val="00D76FEA"/>
    <w:rsid w:val="00D84D0A"/>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AA9AB11"/>
  <w15:docId w15:val="{920BEFDA-E0F3-D24D-B56F-A93576F1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1"/>
        <w:szCs w:val="21"/>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5983</Words>
  <Characters>34107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Constantinescu,Alex A.</cp:lastModifiedBy>
  <cp:revision>3</cp:revision>
  <dcterms:created xsi:type="dcterms:W3CDTF">2026-09-10T13:15:00Z</dcterms:created>
  <dcterms:modified xsi:type="dcterms:W3CDTF">2026-09-14T12:12:00Z</dcterms:modified>
</cp:coreProperties>
</file>