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568EAC" w14:textId="77777777" w:rsidR="0008444E" w:rsidRDefault="00000000">
      <w:pPr>
        <w:spacing w:before="400" w:after="60"/>
      </w:pPr>
      <w:r>
        <w:rPr>
          <w:b/>
          <w:bCs/>
          <w:color w:val="2C7A7B"/>
          <w:sz w:val="22"/>
          <w:szCs w:val="22"/>
        </w:rPr>
        <w:t>InnoBeweegLab — AI-Assisted Research Reporting</w:t>
      </w:r>
    </w:p>
    <w:p w14:paraId="11AC27DE" w14:textId="77777777" w:rsidR="0008444E" w:rsidRDefault="00000000">
      <w:pPr>
        <w:spacing w:before="160" w:after="160"/>
      </w:pPr>
      <w:r>
        <w:rPr>
          <w:b/>
          <w:bCs/>
          <w:color w:val="1F3B57"/>
          <w:sz w:val="40"/>
          <w:szCs w:val="40"/>
        </w:rPr>
        <w:t>GenAI Cost Comparison</w:t>
      </w:r>
    </w:p>
    <w:p w14:paraId="148218C9" w14:textId="77777777" w:rsidR="0008444E" w:rsidRDefault="00000000">
      <w:pPr>
        <w:spacing w:after="400"/>
      </w:pPr>
      <w:r>
        <w:rPr>
          <w:b/>
          <w:bCs/>
          <w:color w:val="2C7A7B"/>
          <w:sz w:val="26"/>
          <w:szCs w:val="26"/>
        </w:rPr>
        <w:t>Summary Tables — Claude API, Azure AI Foundry, Small Local Models</w:t>
      </w:r>
    </w:p>
    <w:p w14:paraId="5DFDA624" w14:textId="77777777" w:rsidR="0008444E" w:rsidRDefault="00000000">
      <w:pPr>
        <w:spacing w:after="60"/>
      </w:pPr>
      <w:r>
        <w:rPr>
          <w:sz w:val="19"/>
          <w:szCs w:val="19"/>
        </w:rPr>
        <w:t>Prepared by: Alex Constantinescu</w:t>
      </w:r>
    </w:p>
    <w:p w14:paraId="66DBAC16" w14:textId="77777777" w:rsidR="0008444E" w:rsidRDefault="00000000">
      <w:pPr>
        <w:spacing w:after="60"/>
      </w:pPr>
      <w:r>
        <w:rPr>
          <w:sz w:val="19"/>
          <w:szCs w:val="19"/>
        </w:rPr>
        <w:t>September 2026</w:t>
      </w:r>
    </w:p>
    <w:p w14:paraId="1465AF3F" w14:textId="77777777" w:rsidR="0008444E" w:rsidRDefault="00000000">
      <w:pPr>
        <w:spacing w:after="300"/>
      </w:pPr>
      <w:r>
        <w:rPr>
          <w:i/>
          <w:iCs/>
          <w:color w:val="5B6770"/>
          <w:sz w:val="18"/>
          <w:szCs w:val="18"/>
        </w:rPr>
        <w:t>Companion summary to the full GenAI Provider Cost Comparison &amp; Business Case document.</w:t>
      </w:r>
    </w:p>
    <w:p w14:paraId="1C00C2E7" w14:textId="77777777" w:rsidR="0008444E" w:rsidRDefault="00000000">
      <w:pPr>
        <w:pStyle w:val="Heading1"/>
        <w:pBdr>
          <w:bottom w:val="single" w:sz="8" w:space="4" w:color="2C7A7B"/>
        </w:pBdr>
        <w:spacing w:before="420" w:after="200"/>
      </w:pPr>
      <w:r>
        <w:rPr>
          <w:b/>
          <w:bCs/>
          <w:color w:val="1F3B57"/>
          <w:sz w:val="30"/>
          <w:szCs w:val="30"/>
        </w:rPr>
        <w:t>1. Claude API (Anthropic, direct)</w:t>
      </w:r>
    </w:p>
    <w:p w14:paraId="6441E88A" w14:textId="77777777" w:rsidR="0008444E" w:rsidRDefault="00000000">
      <w:pPr>
        <w:spacing w:after="140"/>
      </w:pPr>
      <w:r>
        <w:t>Pricing per 1 million tokens, as published September 2026.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50"/>
        <w:gridCol w:w="1750"/>
        <w:gridCol w:w="3450"/>
      </w:tblGrid>
      <w:tr w:rsidR="0008444E" w14:paraId="66AFF7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2E10E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7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0B7A4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Input $/1M tok</w:t>
            </w:r>
          </w:p>
        </w:tc>
        <w:tc>
          <w:tcPr>
            <w:tcW w:w="17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1FB74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$/1M tok</w:t>
            </w:r>
          </w:p>
        </w:tc>
        <w:tc>
          <w:tcPr>
            <w:tcW w:w="34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6841C6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Best use in this project</w:t>
            </w:r>
          </w:p>
        </w:tc>
      </w:tr>
      <w:tr w:rsidR="0008444E" w14:paraId="72C395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95B16" w14:textId="77777777" w:rsidR="0008444E" w:rsidRDefault="00000000">
            <w:r>
              <w:rPr>
                <w:sz w:val="18"/>
                <w:szCs w:val="18"/>
              </w:rPr>
              <w:t>Haiku 4.5</w:t>
            </w:r>
          </w:p>
        </w:tc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81AFB" w14:textId="77777777" w:rsidR="0008444E" w:rsidRDefault="00000000">
            <w:r>
              <w:rPr>
                <w:sz w:val="18"/>
                <w:szCs w:val="18"/>
              </w:rPr>
              <w:t>$1.00</w:t>
            </w:r>
          </w:p>
        </w:tc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FEDAA" w14:textId="77777777" w:rsidR="0008444E" w:rsidRDefault="00000000">
            <w:r>
              <w:rPr>
                <w:sz w:val="18"/>
                <w:szCs w:val="18"/>
              </w:rPr>
              <w:t>$5.00</w:t>
            </w: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7D94D5" w14:textId="77777777" w:rsidR="0008444E" w:rsidRDefault="00000000">
            <w:r>
              <w:rPr>
                <w:sz w:val="18"/>
                <w:szCs w:val="18"/>
              </w:rPr>
              <w:t>Cheap first-pass: tagging, extraction, chunk summarising</w:t>
            </w:r>
          </w:p>
        </w:tc>
      </w:tr>
      <w:tr w:rsidR="0008444E" w14:paraId="345306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56E54A" w14:textId="77777777" w:rsidR="0008444E" w:rsidRDefault="00000000">
            <w:r>
              <w:rPr>
                <w:sz w:val="18"/>
                <w:szCs w:val="18"/>
              </w:rPr>
              <w:t>Sonnet 5</w:t>
            </w:r>
          </w:p>
        </w:tc>
        <w:tc>
          <w:tcPr>
            <w:tcW w:w="17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A71F7A" w14:textId="77777777" w:rsidR="0008444E" w:rsidRDefault="00000000">
            <w:r>
              <w:rPr>
                <w:sz w:val="18"/>
                <w:szCs w:val="18"/>
              </w:rPr>
              <w:t>$2.00</w:t>
            </w:r>
          </w:p>
        </w:tc>
        <w:tc>
          <w:tcPr>
            <w:tcW w:w="17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F4BC2" w14:textId="77777777" w:rsidR="0008444E" w:rsidRDefault="00000000">
            <w:r>
              <w:rPr>
                <w:sz w:val="18"/>
                <w:szCs w:val="18"/>
              </w:rPr>
              <w:t>$10.00</w:t>
            </w:r>
          </w:p>
        </w:tc>
        <w:tc>
          <w:tcPr>
            <w:tcW w:w="34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A3368" w14:textId="77777777" w:rsidR="0008444E" w:rsidRDefault="00000000">
            <w:r>
              <w:rPr>
                <w:sz w:val="18"/>
                <w:szCs w:val="18"/>
              </w:rPr>
              <w:t>Default drafting / synthesis model</w:t>
            </w:r>
          </w:p>
        </w:tc>
      </w:tr>
      <w:tr w:rsidR="0008444E" w14:paraId="450C03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F08A9" w14:textId="77777777" w:rsidR="0008444E" w:rsidRDefault="00000000">
            <w:r>
              <w:rPr>
                <w:sz w:val="18"/>
                <w:szCs w:val="18"/>
              </w:rPr>
              <w:t>Opus 5</w:t>
            </w:r>
          </w:p>
        </w:tc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9C3214" w14:textId="77777777" w:rsidR="0008444E" w:rsidRDefault="00000000">
            <w:r>
              <w:rPr>
                <w:sz w:val="18"/>
                <w:szCs w:val="18"/>
              </w:rPr>
              <w:t>$5.00</w:t>
            </w:r>
          </w:p>
        </w:tc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3A1EAE" w14:textId="77777777" w:rsidR="0008444E" w:rsidRDefault="00000000">
            <w:r>
              <w:rPr>
                <w:sz w:val="18"/>
                <w:szCs w:val="18"/>
              </w:rPr>
              <w:t>$25.00</w:t>
            </w:r>
          </w:p>
        </w:tc>
        <w:tc>
          <w:tcPr>
            <w:tcW w:w="3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B7C4F7" w14:textId="77777777" w:rsidR="0008444E" w:rsidRDefault="00000000">
            <w:r>
              <w:rPr>
                <w:sz w:val="18"/>
                <w:szCs w:val="18"/>
              </w:rPr>
              <w:t>Final-pass polishing of key sections</w:t>
            </w:r>
          </w:p>
        </w:tc>
      </w:tr>
    </w:tbl>
    <w:p w14:paraId="78F717A2" w14:textId="77777777" w:rsidR="0008444E" w:rsidRDefault="0008444E">
      <w:pPr>
        <w:spacing w:after="220"/>
      </w:pPr>
    </w:p>
    <w:p w14:paraId="3A529CBC" w14:textId="77777777" w:rsidR="0008444E" w:rsidRDefault="00000000">
      <w:pPr>
        <w:pStyle w:val="Heading2"/>
        <w:spacing w:before="320" w:after="140"/>
      </w:pPr>
      <w:r>
        <w:rPr>
          <w:b/>
          <w:bCs/>
          <w:color w:val="1F3B57"/>
          <w:sz w:val="25"/>
          <w:szCs w:val="25"/>
        </w:rPr>
        <w:t>Annual cost at InnoBeweegLab's scale</w:t>
      </w:r>
    </w:p>
    <w:p w14:paraId="0E53ADF1" w14:textId="77777777" w:rsidR="0008444E" w:rsidRDefault="00000000">
      <w:pPr>
        <w:spacing w:after="140"/>
      </w:pPr>
      <w:r>
        <w:t>Three usage scenarios sized to a periodic report-generation workflow (not a high-traffic chat app), compared against the two other leading frontier options.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0"/>
        <w:gridCol w:w="1600"/>
        <w:gridCol w:w="1650"/>
        <w:gridCol w:w="1650"/>
        <w:gridCol w:w="2000"/>
      </w:tblGrid>
      <w:tr w:rsidR="0008444E" w14:paraId="1660D5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4C1A1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6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5177A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Light /yr</w:t>
            </w:r>
          </w:p>
        </w:tc>
        <w:tc>
          <w:tcPr>
            <w:tcW w:w="16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282EE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Medium /yr</w:t>
            </w:r>
          </w:p>
        </w:tc>
        <w:tc>
          <w:tcPr>
            <w:tcW w:w="16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5B59C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Heavy /yr</w:t>
            </w:r>
          </w:p>
        </w:tc>
        <w:tc>
          <w:tcPr>
            <w:tcW w:w="20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14F0A6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8444E" w14:paraId="25E54A4E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8C396" w14:textId="77777777" w:rsidR="0008444E" w:rsidRDefault="00000000">
            <w:r>
              <w:rPr>
                <w:b/>
                <w:bCs/>
                <w:sz w:val="18"/>
                <w:szCs w:val="18"/>
              </w:rPr>
              <w:t>Claude Sonnet 5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D40FC1" w14:textId="77777777" w:rsidR="0008444E" w:rsidRDefault="00000000">
            <w:r>
              <w:rPr>
                <w:sz w:val="18"/>
                <w:szCs w:val="18"/>
              </w:rPr>
              <w:t>$12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D5D25" w14:textId="77777777" w:rsidR="0008444E" w:rsidRDefault="00000000">
            <w:r>
              <w:rPr>
                <w:sz w:val="18"/>
                <w:szCs w:val="18"/>
              </w:rPr>
              <w:t>$60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B1BD9" w14:textId="77777777" w:rsidR="0008444E" w:rsidRDefault="00000000">
            <w:r>
              <w:rPr>
                <w:sz w:val="18"/>
                <w:szCs w:val="18"/>
              </w:rPr>
              <w:t>$380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8831A5" w14:textId="77777777" w:rsidR="0008444E" w:rsidRDefault="00000000">
            <w:r>
              <w:rPr>
                <w:sz w:val="18"/>
                <w:szCs w:val="18"/>
              </w:rPr>
              <w:t>Anthropic direct</w:t>
            </w:r>
          </w:p>
        </w:tc>
      </w:tr>
      <w:tr w:rsidR="0008444E" w14:paraId="2972CD7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605120" w14:textId="77777777" w:rsidR="0008444E" w:rsidRDefault="00000000">
            <w:r>
              <w:rPr>
                <w:b/>
                <w:bCs/>
                <w:sz w:val="18"/>
                <w:szCs w:val="18"/>
              </w:rPr>
              <w:t>GPT-5.6 Terra</w:t>
            </w:r>
          </w:p>
        </w:tc>
        <w:tc>
          <w:tcPr>
            <w:tcW w:w="16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51AB5" w14:textId="77777777" w:rsidR="0008444E" w:rsidRDefault="00000000">
            <w:r>
              <w:rPr>
                <w:sz w:val="18"/>
                <w:szCs w:val="18"/>
              </w:rPr>
              <w:t>$12</w:t>
            </w:r>
          </w:p>
        </w:tc>
        <w:tc>
          <w:tcPr>
            <w:tcW w:w="16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E62AE" w14:textId="77777777" w:rsidR="0008444E" w:rsidRDefault="00000000">
            <w:r>
              <w:rPr>
                <w:sz w:val="18"/>
                <w:szCs w:val="18"/>
              </w:rPr>
              <w:t>$62</w:t>
            </w:r>
          </w:p>
        </w:tc>
        <w:tc>
          <w:tcPr>
            <w:tcW w:w="16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C6748" w14:textId="77777777" w:rsidR="0008444E" w:rsidRDefault="00000000">
            <w:r>
              <w:rPr>
                <w:sz w:val="18"/>
                <w:szCs w:val="18"/>
              </w:rPr>
              <w:t>$396</w:t>
            </w:r>
          </w:p>
        </w:tc>
        <w:tc>
          <w:tcPr>
            <w:tcW w:w="20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3063B" w14:textId="77777777" w:rsidR="0008444E" w:rsidRDefault="00000000">
            <w:r>
              <w:rPr>
                <w:sz w:val="18"/>
                <w:szCs w:val="18"/>
              </w:rPr>
              <w:t>OpenAI direct or Azure Foundry</w:t>
            </w:r>
          </w:p>
        </w:tc>
      </w:tr>
      <w:tr w:rsidR="0008444E" w14:paraId="67871152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030E2" w14:textId="77777777" w:rsidR="0008444E" w:rsidRDefault="00000000">
            <w:r>
              <w:rPr>
                <w:b/>
                <w:bCs/>
                <w:sz w:val="18"/>
                <w:szCs w:val="18"/>
              </w:rPr>
              <w:t>Mistral Large 3</w:t>
            </w:r>
          </w:p>
        </w:tc>
        <w:tc>
          <w:tcPr>
            <w:tcW w:w="1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016DC" w14:textId="77777777" w:rsidR="0008444E" w:rsidRDefault="00000000">
            <w:r>
              <w:rPr>
                <w:sz w:val="18"/>
                <w:szCs w:val="18"/>
              </w:rPr>
              <w:t>$3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9B7B6" w14:textId="77777777" w:rsidR="0008444E" w:rsidRDefault="00000000">
            <w:r>
              <w:rPr>
                <w:sz w:val="18"/>
                <w:szCs w:val="18"/>
              </w:rPr>
              <w:t>$14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98707" w14:textId="77777777" w:rsidR="0008444E" w:rsidRDefault="00000000">
            <w:r>
              <w:rPr>
                <w:sz w:val="18"/>
                <w:szCs w:val="18"/>
              </w:rPr>
              <w:t>$87</w:t>
            </w:r>
          </w:p>
        </w:tc>
        <w:tc>
          <w:tcPr>
            <w:tcW w:w="20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DDD13" w14:textId="77777777" w:rsidR="0008444E" w:rsidRDefault="00000000">
            <w:r>
              <w:rPr>
                <w:sz w:val="18"/>
                <w:szCs w:val="18"/>
              </w:rPr>
              <w:t>Cheapest EU-native frontier option</w:t>
            </w:r>
          </w:p>
        </w:tc>
      </w:tr>
    </w:tbl>
    <w:p w14:paraId="43B05473" w14:textId="77777777" w:rsidR="0008444E" w:rsidRDefault="0008444E">
      <w:pPr>
        <w:spacing w:after="120"/>
      </w:pPr>
    </w:p>
    <w:p w14:paraId="5EA49B90" w14:textId="77777777" w:rsidR="0008444E" w:rsidRDefault="00000000">
      <w:pPr>
        <w:spacing w:after="160"/>
      </w:pPr>
      <w:r>
        <w:rPr>
          <w:i/>
          <w:iCs/>
          <w:color w:val="5B6770"/>
          <w:sz w:val="17"/>
          <w:szCs w:val="17"/>
        </w:rPr>
        <w:t>Light = 6 reports/yr (~800K input / 40K output tokens each). Medium = 20 reports/yr (~1.2M input / 60K output tokens each). Heavy = 30 reports/yr plus daily interactive use by a ~5-person research team (150M input / 8M output tokens/yr).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8444E" w14:paraId="2261D10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2C7A7B"/>
              <w:left w:val="single" w:sz="24" w:space="0" w:color="2C7A7B"/>
              <w:bottom w:val="single" w:sz="4" w:space="0" w:color="2C7A7B"/>
              <w:right w:val="single" w:sz="4" w:space="0" w:color="2C7A7B"/>
            </w:tcBorders>
            <w:shd w:val="clear" w:color="auto" w:fill="EEF3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BF0D0B5" w14:textId="77777777" w:rsidR="0008444E" w:rsidRDefault="00000000">
            <w:pPr>
              <w:spacing w:after="60"/>
            </w:pPr>
            <w:r>
              <w:rPr>
                <w:b/>
                <w:bCs/>
                <w:color w:val="2C7A7B"/>
                <w:sz w:val="18"/>
                <w:szCs w:val="18"/>
              </w:rPr>
              <w:t>KEY INSIGHT</w:t>
            </w:r>
          </w:p>
          <w:p w14:paraId="10839117" w14:textId="77777777" w:rsidR="0008444E" w:rsidRDefault="00000000">
            <w:r>
              <w:t>Pure model inference cost is negligible in every scenario — even "Heavy" usage across an entire 5-person team lands under €400/year for the model itself. Data residency, not price, is the deciding factor for Claude direct: the first-party API has no published EU region, so identifiable resident data should not be sent to it directly (see Section 3).</w:t>
            </w:r>
          </w:p>
        </w:tc>
      </w:tr>
    </w:tbl>
    <w:p w14:paraId="1D9D0A28" w14:textId="77777777" w:rsidR="0008444E" w:rsidRDefault="0008444E">
      <w:pPr>
        <w:spacing w:after="200"/>
      </w:pPr>
    </w:p>
    <w:p w14:paraId="2C9B69BD" w14:textId="77777777" w:rsidR="0008444E" w:rsidRDefault="00000000">
      <w:pPr>
        <w:pStyle w:val="Heading1"/>
        <w:pBdr>
          <w:bottom w:val="single" w:sz="8" w:space="4" w:color="2C7A7B"/>
        </w:pBdr>
        <w:spacing w:before="420" w:after="200"/>
      </w:pPr>
      <w:r>
        <w:rPr>
          <w:b/>
          <w:bCs/>
          <w:color w:val="1F3B57"/>
          <w:sz w:val="30"/>
          <w:szCs w:val="30"/>
        </w:rPr>
        <w:t>2. Azure AI Foundry</w:t>
      </w:r>
    </w:p>
    <w:p w14:paraId="61343CE4" w14:textId="77777777" w:rsidR="0008444E" w:rsidRDefault="00000000">
      <w:pPr>
        <w:spacing w:after="160"/>
      </w:pPr>
      <w:r>
        <w:lastRenderedPageBreak/>
        <w:t>Microsoft's hosting layer for models from OpenAI, Anthropic, Meta, Mistral and others, plus enterprise plumbing (Entra ID SSO, Azure AI Search for retrieval, private networking). Two costs apply: the per-token model price, and the infrastructure needed to integrate it.</w:t>
      </w:r>
    </w:p>
    <w:p w14:paraId="2C10F0BD" w14:textId="77777777" w:rsidR="0008444E" w:rsidRDefault="00000000">
      <w:pPr>
        <w:pStyle w:val="Heading2"/>
        <w:spacing w:before="320" w:after="140"/>
      </w:pPr>
      <w:r>
        <w:rPr>
          <w:b/>
          <w:bCs/>
          <w:color w:val="1F3B57"/>
          <w:sz w:val="25"/>
          <w:szCs w:val="25"/>
        </w:rPr>
        <w:t>2.1 Model pricing on Foundry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0"/>
        <w:gridCol w:w="2200"/>
        <w:gridCol w:w="1650"/>
        <w:gridCol w:w="1650"/>
        <w:gridCol w:w="1700"/>
      </w:tblGrid>
      <w:tr w:rsidR="0008444E" w14:paraId="168A9B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04A72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Provider</w:t>
            </w:r>
          </w:p>
        </w:tc>
        <w:tc>
          <w:tcPr>
            <w:tcW w:w="22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4AB57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6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DFDB9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Input $/1M</w:t>
            </w:r>
          </w:p>
        </w:tc>
        <w:tc>
          <w:tcPr>
            <w:tcW w:w="16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B893B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Output $/1M</w:t>
            </w:r>
          </w:p>
        </w:tc>
        <w:tc>
          <w:tcPr>
            <w:tcW w:w="17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C9345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8444E" w14:paraId="77B7E463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6B2B85" w14:textId="77777777" w:rsidR="0008444E" w:rsidRDefault="00000000">
            <w:r>
              <w:rPr>
                <w:sz w:val="18"/>
                <w:szCs w:val="18"/>
              </w:rPr>
              <w:t>Azure AI Foundry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17970" w14:textId="77777777" w:rsidR="0008444E" w:rsidRDefault="00000000">
            <w:r>
              <w:rPr>
                <w:sz w:val="18"/>
                <w:szCs w:val="18"/>
              </w:rPr>
              <w:t>GPT-5.6 Terra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C9BA6" w14:textId="77777777" w:rsidR="0008444E" w:rsidRDefault="00000000">
            <w:r>
              <w:rPr>
                <w:sz w:val="18"/>
                <w:szCs w:val="18"/>
              </w:rPr>
              <w:t>$2.00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C009B" w14:textId="77777777" w:rsidR="0008444E" w:rsidRDefault="00000000">
            <w:r>
              <w:rPr>
                <w:sz w:val="18"/>
                <w:szCs w:val="18"/>
              </w:rPr>
              <w:t>$12.00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FF0DC" w14:textId="77777777" w:rsidR="0008444E" w:rsidRDefault="00000000">
            <w:r>
              <w:rPr>
                <w:sz w:val="18"/>
                <w:szCs w:val="18"/>
              </w:rPr>
              <w:t>Same model as direct API, EU region selectable</w:t>
            </w:r>
          </w:p>
        </w:tc>
      </w:tr>
      <w:tr w:rsidR="0008444E" w14:paraId="34C5479D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C19A35" w14:textId="77777777" w:rsidR="0008444E" w:rsidRDefault="00000000">
            <w:r>
              <w:rPr>
                <w:sz w:val="18"/>
                <w:szCs w:val="18"/>
              </w:rPr>
              <w:t>Azure AI Foundry</w:t>
            </w:r>
          </w:p>
        </w:tc>
        <w:tc>
          <w:tcPr>
            <w:tcW w:w="22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45C0D6" w14:textId="77777777" w:rsidR="0008444E" w:rsidRDefault="00000000">
            <w:r>
              <w:rPr>
                <w:sz w:val="18"/>
                <w:szCs w:val="18"/>
              </w:rPr>
              <w:t>GPT-4o mini</w:t>
            </w:r>
          </w:p>
        </w:tc>
        <w:tc>
          <w:tcPr>
            <w:tcW w:w="16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3CCEC" w14:textId="77777777" w:rsidR="0008444E" w:rsidRDefault="00000000">
            <w:r>
              <w:rPr>
                <w:sz w:val="18"/>
                <w:szCs w:val="18"/>
              </w:rPr>
              <w:t>$0.165</w:t>
            </w:r>
          </w:p>
        </w:tc>
        <w:tc>
          <w:tcPr>
            <w:tcW w:w="16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96B41" w14:textId="77777777" w:rsidR="0008444E" w:rsidRDefault="00000000">
            <w:r>
              <w:rPr>
                <w:sz w:val="18"/>
                <w:szCs w:val="18"/>
              </w:rPr>
              <w:t>$0.66</w:t>
            </w:r>
          </w:p>
        </w:tc>
        <w:tc>
          <w:tcPr>
            <w:tcW w:w="17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F45749" w14:textId="77777777" w:rsidR="0008444E" w:rsidRDefault="00000000">
            <w:r>
              <w:rPr>
                <w:sz w:val="18"/>
                <w:szCs w:val="18"/>
              </w:rPr>
              <w:t>Very cheap legacy option, still supported</w:t>
            </w:r>
          </w:p>
        </w:tc>
      </w:tr>
      <w:tr w:rsidR="0008444E" w14:paraId="4F12B0E9" w14:textId="77777777">
        <w:tblPrEx>
          <w:tblCellMar>
            <w:top w:w="0" w:type="dxa"/>
            <w:bottom w:w="0" w:type="dxa"/>
          </w:tblCellMar>
        </w:tblPrEx>
        <w:tc>
          <w:tcPr>
            <w:tcW w:w="21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591F70" w14:textId="77777777" w:rsidR="0008444E" w:rsidRDefault="00000000">
            <w:r>
              <w:rPr>
                <w:sz w:val="18"/>
                <w:szCs w:val="18"/>
              </w:rPr>
              <w:t>Azure AI Foundry</w:t>
            </w:r>
          </w:p>
        </w:tc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7D783" w14:textId="77777777" w:rsidR="0008444E" w:rsidRDefault="00000000">
            <w:r>
              <w:rPr>
                <w:sz w:val="18"/>
                <w:szCs w:val="18"/>
              </w:rPr>
              <w:t>Claude Sonnet 4.5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3B5E6" w14:textId="77777777" w:rsidR="0008444E" w:rsidRDefault="00000000">
            <w:r>
              <w:rPr>
                <w:sz w:val="18"/>
                <w:szCs w:val="18"/>
              </w:rPr>
              <w:t>$3.00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61551" w14:textId="77777777" w:rsidR="0008444E" w:rsidRDefault="00000000">
            <w:r>
              <w:rPr>
                <w:sz w:val="18"/>
                <w:szCs w:val="18"/>
              </w:rPr>
              <w:t>$15.00</w:t>
            </w:r>
          </w:p>
        </w:tc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C9952" w14:textId="77777777" w:rsidR="0008444E" w:rsidRDefault="00000000">
            <w:r>
              <w:rPr>
                <w:sz w:val="18"/>
                <w:szCs w:val="18"/>
              </w:rPr>
              <w:t>Avoid for personal data — no EU region</w:t>
            </w:r>
          </w:p>
        </w:tc>
      </w:tr>
    </w:tbl>
    <w:p w14:paraId="1B19B77C" w14:textId="77777777" w:rsidR="0008444E" w:rsidRDefault="0008444E">
      <w:pPr>
        <w:spacing w:after="220"/>
      </w:pPr>
    </w:p>
    <w:p w14:paraId="44A0C58C" w14:textId="77777777" w:rsidR="0008444E" w:rsidRDefault="00000000">
      <w:pPr>
        <w:pStyle w:val="Heading2"/>
        <w:spacing w:before="320" w:after="140"/>
      </w:pPr>
      <w:r>
        <w:rPr>
          <w:b/>
          <w:bCs/>
          <w:color w:val="1F3B57"/>
          <w:sz w:val="25"/>
          <w:szCs w:val="25"/>
        </w:rPr>
        <w:t>2.2 Integration cost: lean path vs. enterprise path</w:t>
      </w:r>
    </w:p>
    <w:p w14:paraId="66C759DC" w14:textId="77777777" w:rsidR="0008444E" w:rsidRDefault="00000000">
      <w:pPr>
        <w:spacing w:after="140"/>
      </w:pPr>
      <w:r>
        <w:t>Foundry itself has no platform fee — cost comes from the Azure resources provisioned underneath it. A lean, self-built path suits a 4-month prototype far better than a fully managed enterprise stack.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750"/>
        <w:gridCol w:w="5200"/>
      </w:tblGrid>
      <w:tr w:rsidR="0008444E" w14:paraId="03A46E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F2A23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17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032B2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Lean-path cost</w:t>
            </w:r>
          </w:p>
        </w:tc>
        <w:tc>
          <w:tcPr>
            <w:tcW w:w="52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5900F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Why</w:t>
            </w:r>
          </w:p>
        </w:tc>
      </w:tr>
      <w:tr w:rsidR="0008444E" w14:paraId="4E25ED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14480" w14:textId="77777777" w:rsidR="0008444E" w:rsidRDefault="00000000">
            <w:r>
              <w:rPr>
                <w:sz w:val="18"/>
                <w:szCs w:val="18"/>
              </w:rPr>
              <w:t>Azure OpenAI model calls (via Foundry)</w:t>
            </w:r>
          </w:p>
        </w:tc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DCE53" w14:textId="77777777" w:rsidR="0008444E" w:rsidRDefault="00000000">
            <w:r>
              <w:rPr>
                <w:sz w:val="18"/>
                <w:szCs w:val="18"/>
              </w:rPr>
              <w:t>≈ €1–35/month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81083E" w14:textId="77777777" w:rsidR="0008444E" w:rsidRDefault="00000000">
            <w:r>
              <w:rPr>
                <w:sz w:val="18"/>
                <w:szCs w:val="18"/>
              </w:rPr>
              <w:t>Same Light/Medium token pricing modelled in Section 1 — negligible at this volume</w:t>
            </w:r>
          </w:p>
        </w:tc>
      </w:tr>
      <w:tr w:rsidR="0008444E" w14:paraId="137D8B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2611F7" w14:textId="77777777" w:rsidR="0008444E" w:rsidRDefault="00000000">
            <w:r>
              <w:rPr>
                <w:sz w:val="18"/>
                <w:szCs w:val="18"/>
              </w:rPr>
              <w:t>App hosting (Azure Functions, Consumption plan)</w:t>
            </w:r>
          </w:p>
        </w:tc>
        <w:tc>
          <w:tcPr>
            <w:tcW w:w="17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C06BF" w14:textId="77777777" w:rsidR="0008444E" w:rsidRDefault="00000000">
            <w:r>
              <w:rPr>
                <w:sz w:val="18"/>
                <w:szCs w:val="18"/>
              </w:rPr>
              <w:t>€0</w:t>
            </w:r>
          </w:p>
        </w:tc>
        <w:tc>
          <w:tcPr>
            <w:tcW w:w="52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EBBB4E" w14:textId="77777777" w:rsidR="0008444E" w:rsidRDefault="00000000">
            <w:r>
              <w:rPr>
                <w:sz w:val="18"/>
                <w:szCs w:val="18"/>
              </w:rPr>
              <w:t>1,000,000 free executions + 400,000 GB-seconds included monthly — well above what a periodic job needs</w:t>
            </w:r>
          </w:p>
        </w:tc>
      </w:tr>
      <w:tr w:rsidR="0008444E" w14:paraId="306F3F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065FB" w14:textId="77777777" w:rsidR="0008444E" w:rsidRDefault="00000000">
            <w:r>
              <w:rPr>
                <w:sz w:val="18"/>
                <w:szCs w:val="18"/>
              </w:rPr>
              <w:t>Document storage (Blob Storage)</w:t>
            </w:r>
          </w:p>
        </w:tc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652FF6" w14:textId="77777777" w:rsidR="0008444E" w:rsidRDefault="00000000">
            <w:r>
              <w:rPr>
                <w:sz w:val="18"/>
                <w:szCs w:val="18"/>
              </w:rPr>
              <w:t>Cents/month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DF224" w14:textId="77777777" w:rsidR="0008444E" w:rsidRDefault="00000000">
            <w:r>
              <w:rPr>
                <w:sz w:val="18"/>
                <w:szCs w:val="18"/>
              </w:rPr>
              <w:t>A few GB of transcripts and datasets</w:t>
            </w:r>
          </w:p>
        </w:tc>
      </w:tr>
      <w:tr w:rsidR="0008444E" w14:paraId="78EE61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6E936" w14:textId="77777777" w:rsidR="0008444E" w:rsidRDefault="00000000">
            <w:r>
              <w:rPr>
                <w:sz w:val="18"/>
                <w:szCs w:val="18"/>
              </w:rPr>
              <w:t>Retrieval index (Azure AI Search, Free F0 tier)</w:t>
            </w:r>
          </w:p>
        </w:tc>
        <w:tc>
          <w:tcPr>
            <w:tcW w:w="17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D92B6" w14:textId="77777777" w:rsidR="0008444E" w:rsidRDefault="00000000">
            <w:r>
              <w:rPr>
                <w:sz w:val="18"/>
                <w:szCs w:val="18"/>
              </w:rPr>
              <w:t>€0</w:t>
            </w:r>
          </w:p>
        </w:tc>
        <w:tc>
          <w:tcPr>
            <w:tcW w:w="52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21EA4" w14:textId="77777777" w:rsidR="0008444E" w:rsidRDefault="00000000">
            <w:r>
              <w:rPr>
                <w:sz w:val="18"/>
                <w:szCs w:val="18"/>
              </w:rPr>
              <w:t>Free tier capped at 50MB / 3 indexes — enough for the 4-month build</w:t>
            </w:r>
          </w:p>
        </w:tc>
      </w:tr>
      <w:tr w:rsidR="0008444E" w14:paraId="2CF421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3E9BF" w14:textId="77777777" w:rsidR="0008444E" w:rsidRDefault="00000000">
            <w:r>
              <w:rPr>
                <w:sz w:val="18"/>
                <w:szCs w:val="18"/>
              </w:rPr>
              <w:t>Identity / SSO (Entra ID)</w:t>
            </w:r>
          </w:p>
        </w:tc>
        <w:tc>
          <w:tcPr>
            <w:tcW w:w="17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B26C4" w14:textId="77777777" w:rsidR="0008444E" w:rsidRDefault="00000000">
            <w:r>
              <w:rPr>
                <w:sz w:val="18"/>
                <w:szCs w:val="18"/>
              </w:rPr>
              <w:t>€0</w:t>
            </w:r>
          </w:p>
        </w:tc>
        <w:tc>
          <w:tcPr>
            <w:tcW w:w="5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B1A14" w14:textId="77777777" w:rsidR="0008444E" w:rsidRDefault="00000000">
            <w:r>
              <w:rPr>
                <w:sz w:val="18"/>
                <w:szCs w:val="18"/>
              </w:rPr>
              <w:t>InnoBeweegLab's existing Microsoft 365 tenant already includes Entra ID Free</w:t>
            </w:r>
          </w:p>
        </w:tc>
      </w:tr>
      <w:tr w:rsidR="0008444E" w14:paraId="52ADF0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243BE" w14:textId="77777777" w:rsidR="0008444E" w:rsidRDefault="00000000">
            <w:r>
              <w:rPr>
                <w:sz w:val="18"/>
                <w:szCs w:val="18"/>
              </w:rPr>
              <w:t>Private networking</w:t>
            </w:r>
          </w:p>
        </w:tc>
        <w:tc>
          <w:tcPr>
            <w:tcW w:w="17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D8A52" w14:textId="77777777" w:rsidR="0008444E" w:rsidRDefault="00000000">
            <w:r>
              <w:rPr>
                <w:sz w:val="18"/>
                <w:szCs w:val="18"/>
              </w:rPr>
              <w:t>€0 (skipped)</w:t>
            </w:r>
          </w:p>
        </w:tc>
        <w:tc>
          <w:tcPr>
            <w:tcW w:w="52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02B68" w14:textId="77777777" w:rsidR="0008444E" w:rsidRDefault="00000000">
            <w:r>
              <w:rPr>
                <w:sz w:val="18"/>
                <w:szCs w:val="18"/>
              </w:rPr>
              <w:t>Not required at prototype scale — API key/IP restriction is sufficient</w:t>
            </w:r>
          </w:p>
        </w:tc>
      </w:tr>
    </w:tbl>
    <w:p w14:paraId="75ED4F8D" w14:textId="77777777" w:rsidR="0008444E" w:rsidRDefault="0008444E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8444E" w14:paraId="447D2DCD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A9750E"/>
              <w:left w:val="single" w:sz="24" w:space="0" w:color="A9750E"/>
              <w:bottom w:val="single" w:sz="4" w:space="0" w:color="A9750E"/>
              <w:right w:val="single" w:sz="4" w:space="0" w:color="A9750E"/>
            </w:tcBorders>
            <w:shd w:val="clear" w:color="auto" w:fill="EEF3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C11B8C7" w14:textId="77777777" w:rsidR="0008444E" w:rsidRDefault="00000000">
            <w:pPr>
              <w:spacing w:after="60"/>
            </w:pPr>
            <w:r>
              <w:rPr>
                <w:b/>
                <w:bCs/>
                <w:color w:val="A9750E"/>
                <w:sz w:val="18"/>
                <w:szCs w:val="18"/>
              </w:rPr>
              <w:t>COST LEVER</w:t>
            </w:r>
          </w:p>
          <w:p w14:paraId="3EEA7AFE" w14:textId="77777777" w:rsidR="0008444E" w:rsidRDefault="00000000">
            <w:r>
              <w:t>Lean-path total: roughly €5–50/month — not the €500–1,000+/month figure typically quoted for Azure AI Foundry, which assumes a fully managed, production-hardened stack (Search Basic tier, private endpoints on every service, higher-tier monitoring). That tier buys SLA guarantees and growth headroom that a capstone prototype does not need yet.</w:t>
            </w:r>
          </w:p>
        </w:tc>
      </w:tr>
    </w:tbl>
    <w:p w14:paraId="1152EEE9" w14:textId="77777777" w:rsidR="0008444E" w:rsidRDefault="0008444E">
      <w:pPr>
        <w:spacing w:after="200"/>
      </w:pPr>
    </w:p>
    <w:p w14:paraId="35A42787" w14:textId="77777777" w:rsidR="0008444E" w:rsidRDefault="00000000">
      <w:pPr>
        <w:pStyle w:val="Heading2"/>
        <w:spacing w:before="320" w:after="140"/>
      </w:pPr>
      <w:r>
        <w:rPr>
          <w:b/>
          <w:bCs/>
          <w:color w:val="1F3B57"/>
          <w:sz w:val="25"/>
          <w:szCs w:val="25"/>
        </w:rPr>
        <w:t>2.3 Data residency by provider / route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650"/>
        <w:gridCol w:w="4800"/>
      </w:tblGrid>
      <w:tr w:rsidR="0008444E" w14:paraId="1F7B19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8D396F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Provider / route</w:t>
            </w:r>
          </w:p>
        </w:tc>
        <w:tc>
          <w:tcPr>
            <w:tcW w:w="16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15DE5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EU residency</w:t>
            </w:r>
          </w:p>
        </w:tc>
        <w:tc>
          <w:tcPr>
            <w:tcW w:w="48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BFCB8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8444E" w14:paraId="00F9119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910A79" w14:textId="77777777" w:rsidR="0008444E" w:rsidRDefault="00000000">
            <w:r>
              <w:rPr>
                <w:sz w:val="18"/>
                <w:szCs w:val="18"/>
              </w:rPr>
              <w:t>Anthropic Claude — direct API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B9746" w14:textId="77777777" w:rsidR="0008444E" w:rsidRDefault="00000000">
            <w:r>
              <w:rPr>
                <w:sz w:val="18"/>
                <w:szCs w:val="18"/>
              </w:rPr>
              <w:t>Not guaranteed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F75808" w14:textId="77777777" w:rsidR="0008444E" w:rsidRDefault="00000000">
            <w:r>
              <w:rPr>
                <w:sz w:val="18"/>
                <w:szCs w:val="18"/>
              </w:rPr>
              <w:t>No native EU region; EU routing would need AWS Bedrock or Google Vertex AI instead</w:t>
            </w:r>
          </w:p>
        </w:tc>
      </w:tr>
      <w:tr w:rsidR="0008444E" w14:paraId="6B148FD0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36EF1" w14:textId="77777777" w:rsidR="0008444E" w:rsidRDefault="00000000">
            <w:r>
              <w:rPr>
                <w:sz w:val="18"/>
                <w:szCs w:val="18"/>
              </w:rPr>
              <w:t>OpenAI — direct API</w:t>
            </w:r>
          </w:p>
        </w:tc>
        <w:tc>
          <w:tcPr>
            <w:tcW w:w="16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40524" w14:textId="77777777" w:rsidR="0008444E" w:rsidRDefault="00000000">
            <w:r>
              <w:rPr>
                <w:sz w:val="18"/>
                <w:szCs w:val="18"/>
              </w:rPr>
              <w:t>Optional, +10%</w:t>
            </w:r>
          </w:p>
        </w:tc>
        <w:tc>
          <w:tcPr>
            <w:tcW w:w="48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6298A" w14:textId="77777777" w:rsidR="0008444E" w:rsidRDefault="00000000">
            <w:r>
              <w:rPr>
                <w:sz w:val="18"/>
                <w:szCs w:val="18"/>
              </w:rPr>
              <w:t>Data-residency setting at a price premium; otherwise processed outside the EU</w:t>
            </w:r>
          </w:p>
        </w:tc>
      </w:tr>
      <w:tr w:rsidR="0008444E" w14:paraId="2FE7117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E01FF" w14:textId="77777777" w:rsidR="0008444E" w:rsidRDefault="00000000">
            <w:r>
              <w:rPr>
                <w:sz w:val="18"/>
                <w:szCs w:val="18"/>
              </w:rPr>
              <w:t>Azure OpenAI (native, via Foundry)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F489C" w14:textId="77777777" w:rsidR="0008444E" w:rsidRDefault="00000000">
            <w:r>
              <w:rPr>
                <w:sz w:val="18"/>
                <w:szCs w:val="18"/>
              </w:rPr>
              <w:t>Yes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1729E" w14:textId="77777777" w:rsidR="0008444E" w:rsidRDefault="00000000">
            <w:r>
              <w:rPr>
                <w:sz w:val="18"/>
                <w:szCs w:val="18"/>
              </w:rPr>
              <w:t>West Europe (NL) or North Europe (IE) — most straightforward EU-compliant path in the Microsoft ecosystem</w:t>
            </w:r>
          </w:p>
        </w:tc>
      </w:tr>
      <w:tr w:rsidR="0008444E" w14:paraId="47388D2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958B39" w14:textId="77777777" w:rsidR="0008444E" w:rsidRDefault="00000000">
            <w:r>
              <w:rPr>
                <w:sz w:val="18"/>
                <w:szCs w:val="18"/>
              </w:rPr>
              <w:t>Claude on Microsoft Foundry</w:t>
            </w:r>
          </w:p>
        </w:tc>
        <w:tc>
          <w:tcPr>
            <w:tcW w:w="16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ADBC1" w14:textId="77777777" w:rsidR="0008444E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48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D50FB" w14:textId="77777777" w:rsidR="0008444E" w:rsidRDefault="00000000">
            <w:r>
              <w:rPr>
                <w:sz w:val="18"/>
                <w:szCs w:val="18"/>
              </w:rPr>
              <w:t>GA since mid-2026 but zero EU regions — do not route resident data through this combination</w:t>
            </w:r>
          </w:p>
        </w:tc>
      </w:tr>
      <w:tr w:rsidR="0008444E" w14:paraId="1A5F410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C7852" w14:textId="77777777" w:rsidR="0008444E" w:rsidRDefault="00000000">
            <w:r>
              <w:rPr>
                <w:sz w:val="18"/>
                <w:szCs w:val="18"/>
              </w:rPr>
              <w:t>Mistral AI</w:t>
            </w:r>
          </w:p>
        </w:tc>
        <w:tc>
          <w:tcPr>
            <w:tcW w:w="1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0C97E" w14:textId="77777777" w:rsidR="0008444E" w:rsidRDefault="00000000">
            <w:r>
              <w:rPr>
                <w:sz w:val="18"/>
                <w:szCs w:val="18"/>
              </w:rPr>
              <w:t>Yes, by default</w:t>
            </w:r>
          </w:p>
        </w:tc>
        <w:tc>
          <w:tcPr>
            <w:tcW w:w="48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EA93B" w14:textId="77777777" w:rsidR="0008444E" w:rsidRDefault="00000000">
            <w:r>
              <w:rPr>
                <w:sz w:val="18"/>
                <w:szCs w:val="18"/>
              </w:rPr>
              <w:t>EU/French company and infrastructure — no special configuration needed</w:t>
            </w:r>
          </w:p>
        </w:tc>
      </w:tr>
      <w:tr w:rsidR="0008444E" w14:paraId="2E6C078B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4FA341" w14:textId="77777777" w:rsidR="0008444E" w:rsidRDefault="00000000">
            <w:r>
              <w:rPr>
                <w:sz w:val="18"/>
                <w:szCs w:val="18"/>
              </w:rPr>
              <w:t>Self-hosted (local)</w:t>
            </w:r>
          </w:p>
        </w:tc>
        <w:tc>
          <w:tcPr>
            <w:tcW w:w="16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6E768" w14:textId="77777777" w:rsidR="0008444E" w:rsidRDefault="00000000">
            <w:r>
              <w:rPr>
                <w:sz w:val="18"/>
                <w:szCs w:val="18"/>
              </w:rPr>
              <w:t>Yes, fully</w:t>
            </w:r>
          </w:p>
        </w:tc>
        <w:tc>
          <w:tcPr>
            <w:tcW w:w="48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583EC0" w14:textId="77777777" w:rsidR="0008444E" w:rsidRDefault="00000000">
            <w:r>
              <w:rPr>
                <w:sz w:val="18"/>
                <w:szCs w:val="18"/>
              </w:rPr>
              <w:t>Data never leaves InnoBeweegLab-controlled infrastructure</w:t>
            </w:r>
          </w:p>
        </w:tc>
      </w:tr>
    </w:tbl>
    <w:p w14:paraId="016A3764" w14:textId="77777777" w:rsidR="0008444E" w:rsidRDefault="0008444E">
      <w:pPr>
        <w:spacing w:after="200"/>
      </w:pPr>
    </w:p>
    <w:p w14:paraId="62DBAD46" w14:textId="77777777" w:rsidR="0008444E" w:rsidRDefault="00000000">
      <w:pPr>
        <w:pStyle w:val="Heading1"/>
        <w:pBdr>
          <w:bottom w:val="single" w:sz="8" w:space="4" w:color="2C7A7B"/>
        </w:pBdr>
        <w:spacing w:before="420" w:after="200"/>
      </w:pPr>
      <w:r>
        <w:rPr>
          <w:b/>
          <w:bCs/>
          <w:color w:val="1F3B57"/>
          <w:sz w:val="30"/>
          <w:szCs w:val="30"/>
        </w:rPr>
        <w:t>3. Small Local Models (free self-hosting)</w:t>
      </w:r>
    </w:p>
    <w:p w14:paraId="20934E3E" w14:textId="77777777" w:rsidR="0008444E" w:rsidRDefault="00000000">
      <w:pPr>
        <w:spacing w:after="160"/>
      </w:pPr>
      <w:r>
        <w:t>Free tools (Ollama, or LM Studio for a GUI) run open-weight models on whatever hardware is available, at zero licensing cost. What fits depends on the machine — directly relevant to the project's "16GB office laptop" constraint.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650"/>
        <w:gridCol w:w="3400"/>
      </w:tblGrid>
      <w:tr w:rsidR="0008444E" w14:paraId="67F6EC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D7079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Hardware</w:t>
            </w:r>
          </w:p>
        </w:tc>
        <w:tc>
          <w:tcPr>
            <w:tcW w:w="265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40A487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Model that fits</w:t>
            </w:r>
          </w:p>
        </w:tc>
        <w:tc>
          <w:tcPr>
            <w:tcW w:w="3400" w:type="dxa"/>
            <w:shd w:val="clear" w:color="auto" w:fill="1F3B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4AF54" w14:textId="77777777" w:rsidR="0008444E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08444E" w14:paraId="2BD8C03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192EC" w14:textId="77777777" w:rsidR="0008444E" w:rsidRDefault="00000000">
            <w:r>
              <w:rPr>
                <w:sz w:val="18"/>
                <w:szCs w:val="18"/>
              </w:rPr>
              <w:t>Typical laptop — 16–32GB RAM, no dedicated GPU</w:t>
            </w:r>
          </w:p>
        </w:tc>
        <w:tc>
          <w:tcPr>
            <w:tcW w:w="2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E0974" w14:textId="77777777" w:rsidR="0008444E" w:rsidRDefault="00000000">
            <w:r>
              <w:rPr>
                <w:sz w:val="18"/>
                <w:szCs w:val="18"/>
              </w:rPr>
              <w:t>Llama 3.1 8B, Qwen3 8B, Phi-4 Mini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4D76F0" w14:textId="77777777" w:rsidR="0008444E" w:rsidRDefault="00000000">
            <w:r>
              <w:rPr>
                <w:sz w:val="18"/>
                <w:szCs w:val="18"/>
              </w:rPr>
              <w:t>Usable but slow: roughly 12–25 tokens/second on CPU</w:t>
            </w:r>
          </w:p>
        </w:tc>
      </w:tr>
      <w:tr w:rsidR="0008444E" w14:paraId="14E7ABE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1B39A" w14:textId="77777777" w:rsidR="0008444E" w:rsidRDefault="00000000">
            <w:r>
              <w:rPr>
                <w:sz w:val="18"/>
                <w:szCs w:val="18"/>
              </w:rPr>
              <w:t>Gaming GPU (12–16GB+ VRAM) or Apple Silicon (18GB+ unified memory)</w:t>
            </w:r>
          </w:p>
        </w:tc>
        <w:tc>
          <w:tcPr>
            <w:tcW w:w="265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3DD56" w14:textId="77777777" w:rsidR="0008444E" w:rsidRDefault="00000000">
            <w:r>
              <w:rPr>
                <w:sz w:val="18"/>
                <w:szCs w:val="18"/>
              </w:rPr>
              <w:t>Qwen3 14B, Mistral Small 3.1 24B</w:t>
            </w:r>
          </w:p>
        </w:tc>
        <w:tc>
          <w:tcPr>
            <w:tcW w:w="3400" w:type="dxa"/>
            <w:shd w:val="clear" w:color="auto" w:fill="EEF3F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EDD2D" w14:textId="77777777" w:rsidR="0008444E" w:rsidRDefault="00000000">
            <w:r>
              <w:rPr>
                <w:sz w:val="18"/>
                <w:szCs w:val="18"/>
              </w:rPr>
              <w:t>Noticeably better quality and much faster generation</w:t>
            </w:r>
          </w:p>
        </w:tc>
      </w:tr>
      <w:tr w:rsidR="0008444E" w14:paraId="52874F8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AFC10" w14:textId="77777777" w:rsidR="0008444E" w:rsidRDefault="00000000">
            <w:r>
              <w:rPr>
                <w:sz w:val="18"/>
                <w:szCs w:val="18"/>
              </w:rPr>
              <w:t>70B-class models</w:t>
            </w:r>
          </w:p>
        </w:tc>
        <w:tc>
          <w:tcPr>
            <w:tcW w:w="265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64B34D" w14:textId="77777777" w:rsidR="0008444E" w:rsidRDefault="00000000">
            <w:r>
              <w:rPr>
                <w:sz w:val="18"/>
                <w:szCs w:val="18"/>
              </w:rPr>
              <w:t>Needs 40GB+ VRAM or 64–128GB unified memory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F6160" w14:textId="77777777" w:rsidR="0008444E" w:rsidRDefault="00000000">
            <w:r>
              <w:rPr>
                <w:sz w:val="18"/>
                <w:szCs w:val="18"/>
              </w:rPr>
              <w:t>Out of reach for typical student/office hardware — treat as unavailable for this project</w:t>
            </w:r>
          </w:p>
        </w:tc>
      </w:tr>
    </w:tbl>
    <w:p w14:paraId="2C02DBF7" w14:textId="77777777" w:rsidR="0008444E" w:rsidRDefault="0008444E">
      <w:pPr>
        <w:spacing w:after="160"/>
      </w:pPr>
    </w:p>
    <w:p w14:paraId="04BD581E" w14:textId="77777777" w:rsidR="0008444E" w:rsidRDefault="00000000">
      <w:pPr>
        <w:spacing w:after="200"/>
      </w:pPr>
      <w:r>
        <w:t>For heavier occasional runs, Kaggle gives every account roughly 30 hours/week of free GPU time (a 16GB P100, or dual-T4 with 32GB combined), sessions capped at 9 hours, no credit card required. It fits a periodic batch report job well — no persistent server needed.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8444E" w14:paraId="3AA6E31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276749"/>
              <w:left w:val="single" w:sz="24" w:space="0" w:color="276749"/>
              <w:bottom w:val="single" w:sz="4" w:space="0" w:color="276749"/>
              <w:right w:val="single" w:sz="4" w:space="0" w:color="276749"/>
            </w:tcBorders>
            <w:shd w:val="clear" w:color="auto" w:fill="EEF3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EEA3204" w14:textId="77777777" w:rsidR="0008444E" w:rsidRDefault="00000000">
            <w:pPr>
              <w:spacing w:after="60"/>
            </w:pPr>
            <w:r>
              <w:rPr>
                <w:b/>
                <w:bCs/>
                <w:color w:val="276749"/>
                <w:sz w:val="18"/>
                <w:szCs w:val="18"/>
              </w:rPr>
              <w:t>DESIGN IMPLICATION</w:t>
            </w:r>
          </w:p>
          <w:p w14:paraId="298DA95B" w14:textId="77777777" w:rsidR="0008444E" w:rsidRDefault="00000000">
            <w:r>
              <w:t>A free local model is not just the cheapest option — it is the strongest option for any pipeline step that touches raw, identifiable resident data. Run locally, that data never crosses the internet, sidestepping the GDPR/residency question in Section 2.3 rather than managing it. Recommended design: run a local model (Ollama, or a Kaggle batch job) for anonymisation, tagging, and structured extraction from raw transcripts — where sensitivity matters most and prose quality matters least — then hand only the already-anonymised output to a frontier hosted model (Claude Sonnet 5, or Azure OpenAI in an EU region) for the final drafting/synthesis pass.</w:t>
            </w:r>
          </w:p>
        </w:tc>
      </w:tr>
    </w:tbl>
    <w:p w14:paraId="2F630429" w14:textId="77777777" w:rsidR="0008444E" w:rsidRDefault="0008444E">
      <w:pPr>
        <w:spacing w:after="200"/>
      </w:pPr>
    </w:p>
    <w:p w14:paraId="04A356B7" w14:textId="77777777" w:rsidR="0008444E" w:rsidRDefault="00000000">
      <w:pPr>
        <w:spacing w:before="80" w:after="200"/>
      </w:pPr>
      <w:r>
        <w:rPr>
          <w:i/>
          <w:iCs/>
          <w:color w:val="5B6770"/>
          <w:sz w:val="16"/>
          <w:szCs w:val="16"/>
        </w:rPr>
        <w:t>Figures as published by each provider, and third-party pricing/hardware analyses (nOps, CloudZero, PromptQuorum, LeanLM), September 2026. Full source list in the companion GenAI Provider Cost Comparison &amp; Business Case document, Appendix 11.3. LLM API pricing changes frequently — re-check before procurement.</w:t>
      </w:r>
    </w:p>
    <w:sectPr w:rsidR="0008444E">
      <w:headerReference w:type="default" r:id="rId7"/>
      <w:footerReference w:type="default" r:id="rId8"/>
      <w:pgSz w:w="11906" w:h="16838"/>
      <w:pgMar w:top="900" w:right="1280" w:bottom="900" w:left="12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FBD799" w14:textId="77777777" w:rsidR="00BD6B5F" w:rsidRDefault="00BD6B5F">
      <w:r>
        <w:separator/>
      </w:r>
    </w:p>
  </w:endnote>
  <w:endnote w:type="continuationSeparator" w:id="0">
    <w:p w14:paraId="7B1C415A" w14:textId="77777777" w:rsidR="00BD6B5F" w:rsidRDefault="00BD6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E9042B" w14:textId="77777777" w:rsidR="0008444E" w:rsidRDefault="00000000">
    <w:pPr>
      <w:jc w:val="center"/>
    </w:pP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>PAGE</w:instrText>
    </w:r>
    <w:r>
      <w:rPr>
        <w:color w:val="5B6770"/>
        <w:sz w:val="16"/>
        <w:szCs w:val="16"/>
      </w:rPr>
      <w:fldChar w:fldCharType="separate"/>
    </w:r>
    <w:r w:rsidR="0064164A">
      <w:rPr>
        <w:noProof/>
        <w:color w:val="5B6770"/>
        <w:sz w:val="16"/>
        <w:szCs w:val="16"/>
      </w:rPr>
      <w:t>1</w:t>
    </w:r>
    <w:r>
      <w:rPr>
        <w:color w:val="5B6770"/>
        <w:sz w:val="16"/>
        <w:szCs w:val="16"/>
      </w:rPr>
      <w:fldChar w:fldCharType="end"/>
    </w:r>
    <w:r>
      <w:rPr>
        <w:color w:val="5B6770"/>
        <w:sz w:val="16"/>
        <w:szCs w:val="16"/>
      </w:rPr>
      <w:t xml:space="preserve"> </w:t>
    </w:r>
    <w:r>
      <w:rPr>
        <w:color w:val="5B6770"/>
        <w:sz w:val="16"/>
        <w:szCs w:val="16"/>
      </w:rPr>
      <w:t xml:space="preserve">/ </w:t>
    </w:r>
    <w:r>
      <w:rPr>
        <w:color w:val="5B6770"/>
        <w:sz w:val="16"/>
        <w:szCs w:val="16"/>
      </w:rPr>
      <w:fldChar w:fldCharType="begin"/>
    </w:r>
    <w:r>
      <w:rPr>
        <w:color w:val="5B6770"/>
        <w:sz w:val="16"/>
        <w:szCs w:val="16"/>
      </w:rPr>
      <w:instrText>NUMPAGES</w:instrText>
    </w:r>
    <w:r>
      <w:rPr>
        <w:color w:val="5B6770"/>
        <w:sz w:val="16"/>
        <w:szCs w:val="16"/>
      </w:rPr>
      <w:fldChar w:fldCharType="separate"/>
    </w:r>
    <w:r w:rsidR="0064164A">
      <w:rPr>
        <w:noProof/>
        <w:color w:val="5B6770"/>
        <w:sz w:val="16"/>
        <w:szCs w:val="16"/>
      </w:rPr>
      <w:t>2</w:t>
    </w:r>
    <w:r>
      <w:rPr>
        <w:color w:val="5B677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F291DFD" w14:textId="77777777" w:rsidR="00BD6B5F" w:rsidRDefault="00BD6B5F">
      <w:r>
        <w:separator/>
      </w:r>
    </w:p>
  </w:footnote>
  <w:footnote w:type="continuationSeparator" w:id="0">
    <w:p w14:paraId="50926A8E" w14:textId="77777777" w:rsidR="00BD6B5F" w:rsidRDefault="00BD6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34A585" w14:textId="77777777" w:rsidR="0008444E" w:rsidRDefault="00000000">
    <w:pPr>
      <w:pBdr>
        <w:bottom w:val="single" w:sz="4" w:space="4" w:color="D6E2E6"/>
      </w:pBdr>
      <w:tabs>
        <w:tab w:val="right" w:pos="9026"/>
      </w:tabs>
    </w:pPr>
    <w:r>
      <w:rPr>
        <w:color w:val="5B6770"/>
        <w:sz w:val="16"/>
        <w:szCs w:val="16"/>
      </w:rPr>
      <w:t>InnoBeweegLab — GenAI Cost Comparison Summary Tables</w:t>
    </w:r>
    <w:r>
      <w:tab/>
    </w:r>
    <w:r>
      <w:rPr>
        <w:color w:val="5B6770"/>
        <w:sz w:val="16"/>
        <w:szCs w:val="16"/>
      </w:rPr>
      <w:t>September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00F0521"/>
    <w:multiLevelType w:val="hybridMultilevel"/>
    <w:tmpl w:val="D0F4CC5A"/>
    <w:lvl w:ilvl="0" w:tplc="2D5C86B6">
      <w:start w:val="1"/>
      <w:numFmt w:val="bullet"/>
      <w:lvlText w:val="•"/>
      <w:lvlJc w:val="left"/>
      <w:pPr>
        <w:ind w:left="400" w:hanging="260"/>
      </w:pPr>
    </w:lvl>
    <w:lvl w:ilvl="1" w:tplc="770C7AD8">
      <w:numFmt w:val="decimal"/>
      <w:lvlText w:val=""/>
      <w:lvlJc w:val="left"/>
    </w:lvl>
    <w:lvl w:ilvl="2" w:tplc="536E140A">
      <w:numFmt w:val="decimal"/>
      <w:lvlText w:val=""/>
      <w:lvlJc w:val="left"/>
    </w:lvl>
    <w:lvl w:ilvl="3" w:tplc="2B049244">
      <w:numFmt w:val="decimal"/>
      <w:lvlText w:val=""/>
      <w:lvlJc w:val="left"/>
    </w:lvl>
    <w:lvl w:ilvl="4" w:tplc="D8D4BFB0">
      <w:numFmt w:val="decimal"/>
      <w:lvlText w:val=""/>
      <w:lvlJc w:val="left"/>
    </w:lvl>
    <w:lvl w:ilvl="5" w:tplc="50509CE6">
      <w:numFmt w:val="decimal"/>
      <w:lvlText w:val=""/>
      <w:lvlJc w:val="left"/>
    </w:lvl>
    <w:lvl w:ilvl="6" w:tplc="A668782C">
      <w:numFmt w:val="decimal"/>
      <w:lvlText w:val=""/>
      <w:lvlJc w:val="left"/>
    </w:lvl>
    <w:lvl w:ilvl="7" w:tplc="9154EAF6">
      <w:numFmt w:val="decimal"/>
      <w:lvlText w:val=""/>
      <w:lvlJc w:val="left"/>
    </w:lvl>
    <w:lvl w:ilvl="8" w:tplc="96465F94">
      <w:numFmt w:val="decimal"/>
      <w:lvlText w:val=""/>
      <w:lvlJc w:val="left"/>
    </w:lvl>
  </w:abstractNum>
  <w:abstractNum w:abstractNumId="1" w15:restartNumberingAfterBreak="0">
    <w:nsid w:val="55044976"/>
    <w:multiLevelType w:val="hybridMultilevel"/>
    <w:tmpl w:val="D5325A98"/>
    <w:lvl w:ilvl="0" w:tplc="112AE278">
      <w:start w:val="1"/>
      <w:numFmt w:val="bullet"/>
      <w:lvlText w:val="●"/>
      <w:lvlJc w:val="left"/>
      <w:pPr>
        <w:ind w:left="720" w:hanging="360"/>
      </w:pPr>
    </w:lvl>
    <w:lvl w:ilvl="1" w:tplc="BAF269B8">
      <w:start w:val="1"/>
      <w:numFmt w:val="bullet"/>
      <w:lvlText w:val="○"/>
      <w:lvlJc w:val="left"/>
      <w:pPr>
        <w:ind w:left="1440" w:hanging="360"/>
      </w:pPr>
    </w:lvl>
    <w:lvl w:ilvl="2" w:tplc="10FAA246">
      <w:start w:val="1"/>
      <w:numFmt w:val="bullet"/>
      <w:lvlText w:val="■"/>
      <w:lvlJc w:val="left"/>
      <w:pPr>
        <w:ind w:left="2160" w:hanging="360"/>
      </w:pPr>
    </w:lvl>
    <w:lvl w:ilvl="3" w:tplc="F0128500">
      <w:start w:val="1"/>
      <w:numFmt w:val="bullet"/>
      <w:lvlText w:val="●"/>
      <w:lvlJc w:val="left"/>
      <w:pPr>
        <w:ind w:left="2880" w:hanging="360"/>
      </w:pPr>
    </w:lvl>
    <w:lvl w:ilvl="4" w:tplc="C61A743E">
      <w:start w:val="1"/>
      <w:numFmt w:val="bullet"/>
      <w:lvlText w:val="○"/>
      <w:lvlJc w:val="left"/>
      <w:pPr>
        <w:ind w:left="3600" w:hanging="360"/>
      </w:pPr>
    </w:lvl>
    <w:lvl w:ilvl="5" w:tplc="F4202E62">
      <w:start w:val="1"/>
      <w:numFmt w:val="bullet"/>
      <w:lvlText w:val="■"/>
      <w:lvlJc w:val="left"/>
      <w:pPr>
        <w:ind w:left="4320" w:hanging="360"/>
      </w:pPr>
    </w:lvl>
    <w:lvl w:ilvl="6" w:tplc="D9DC87B2">
      <w:start w:val="1"/>
      <w:numFmt w:val="bullet"/>
      <w:lvlText w:val="●"/>
      <w:lvlJc w:val="left"/>
      <w:pPr>
        <w:ind w:left="5040" w:hanging="360"/>
      </w:pPr>
    </w:lvl>
    <w:lvl w:ilvl="7" w:tplc="56101674">
      <w:start w:val="1"/>
      <w:numFmt w:val="bullet"/>
      <w:lvlText w:val="●"/>
      <w:lvlJc w:val="left"/>
      <w:pPr>
        <w:ind w:left="5760" w:hanging="360"/>
      </w:pPr>
    </w:lvl>
    <w:lvl w:ilvl="8" w:tplc="CCF803E8">
      <w:start w:val="1"/>
      <w:numFmt w:val="bullet"/>
      <w:lvlText w:val="●"/>
      <w:lvlJc w:val="left"/>
      <w:pPr>
        <w:ind w:left="6480" w:hanging="360"/>
      </w:pPr>
    </w:lvl>
  </w:abstractNum>
  <w:num w:numId="1" w16cid:durableId="1133913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44E"/>
    <w:rsid w:val="0008444E"/>
    <w:rsid w:val="0064164A"/>
    <w:rsid w:val="006715D8"/>
    <w:rsid w:val="00BD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7361D26"/>
  <w15:docId w15:val="{DC84849C-ADE3-4C42-9B31-7FD41AF93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RO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Constantinescu,Alex A.</cp:lastModifiedBy>
  <cp:revision>2</cp:revision>
  <dcterms:created xsi:type="dcterms:W3CDTF">2026-09-14T14:33:00Z</dcterms:created>
  <dcterms:modified xsi:type="dcterms:W3CDTF">2026-09-14T14:33:00Z</dcterms:modified>
</cp:coreProperties>
</file>