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B28CC"/>
          <w:sz w:val="34"/>
        </w:rPr>
        <w:t>ЦИФРОВАЯ ПЛАТФОРМА-АГРЕГАТОР ИТ-ВАКАНСИЙ С ВЕРИФИЦИРОВАННЫМ ПРОФИЛЕМ ДОСТИЖЕНИЙ ФСП</w:t>
        <w:br/>
      </w:r>
      <w:r>
        <w:rPr>
          <w:color w:val="64748B"/>
          <w:sz w:val="24"/>
        </w:rPr>
        <w:t>Сопроводительная документация к конкурсному решению</w:t>
        <w:br/>
        <w:t>Техническое задание 2026 (Разделы 3.4, 3.5, 5.2)</w:t>
      </w:r>
    </w:p>
    <w:p>
      <w:r>
        <w:t>------------------------------------------------------------</w:t>
      </w:r>
    </w:p>
    <w:p>
      <w:pPr>
        <w:spacing w:before="240" w:after="80"/>
      </w:pPr>
      <w:r>
        <w:rPr>
          <w:b/>
          <w:color w:val="1E1B4B"/>
          <w:sz w:val="26"/>
        </w:rPr>
        <w:t>1. Функциональная и компонентная архитектура решения</w:t>
      </w:r>
    </w:p>
    <w:p>
      <w:pPr>
        <w:spacing w:line="276" w:lineRule="auto" w:after="120"/>
      </w:pPr>
      <w:r>
        <w:t>Платформа спроектирована по принципам чистой микросервисной архитектуры (Domain-Driven Design) с изоляцией доменных контекстов и баз данных. Включает 7 независимых Go-микросервисов, PostgreSQL 16 с отдельными схемами/БД, Nginx API Gateway и SPA-клиент на React 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3B28C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Микросервис</w:t>
            </w:r>
          </w:p>
        </w:tc>
        <w:tc>
          <w:tcPr>
            <w:tcW w:type="dxa" w:w="2160"/>
            <w:shd w:fill="3B28C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Стек технологий</w:t>
            </w:r>
          </w:p>
        </w:tc>
        <w:tc>
          <w:tcPr>
            <w:tcW w:type="dxa" w:w="4709"/>
            <w:shd w:fill="3B28C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Назначение и функционал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auth-service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 1.23, Gin, JWT</w:t>
            </w:r>
          </w:p>
        </w:tc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Регистрация, RBAC (candidate/employer/admin), подтверждение email через MailHog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candidate-service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 1.23, pgx/v5</w:t>
            </w:r>
          </w:p>
        </w:tc>
        <w:tc>
          <w:tcPr>
            <w:tcW w:type="dxa" w:w="470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Управление анкетой соискателя, маскирование контактов по 152-ФЗ, парсинг PDF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employer-service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 1.23, pgx/v5</w:t>
            </w:r>
          </w:p>
        </w:tc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Профиль компании, потребности команды (Needs), публикация вакансий с обязательной ЗП-вилкой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testing-service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 1.23, IRT engine</w:t>
            </w:r>
          </w:p>
        </w:tc>
        <w:tc>
          <w:tcPr>
            <w:tcW w:type="dxa" w:w="470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Параметризованный движок тестирования, кулдаун 90 дней, экспорт PDF сертификата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interaction-service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 1.23, FSM</w:t>
            </w:r>
          </w:p>
        </w:tc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Жизненный цикл офферов LHH (sent -&gt; viewed -&gt; accepted/rejected), авто-раскрытие контактов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search-service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 1.23, XAI</w:t>
            </w:r>
          </w:p>
        </w:tc>
        <w:tc>
          <w:tcPr>
            <w:tcW w:type="dxa" w:w="470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Полнотекстовый и фасетный поиск, 4-факторный скоринг, блоки Explainable AI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fspmock-service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 1.23, REST</w:t>
            </w:r>
          </w:p>
        </w:tc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Mock-реестр соревнований, спортивных званий (МС, КМС) и рейтингов участников ФСП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React 19, TS, Vite</w:t>
            </w:r>
          </w:p>
        </w:tc>
        <w:tc>
          <w:tcPr>
            <w:tcW w:type="dxa" w:w="470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SPA-интерфейс для обеих ролей в стилистике официального брендбука ФСП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E1B4B"/>
          <w:sz w:val="26"/>
        </w:rPr>
        <w:t>2. Механика тестирования кандидатов и устойчивость к списыванию</w:t>
      </w:r>
    </w:p>
    <w:p>
      <w:pPr>
        <w:spacing w:line="276" w:lineRule="auto" w:after="120"/>
      </w:pPr>
      <w:r>
        <w:t>Для исключения утечки ответов реализован параметризованный движок (engine.TaskGenerator):</w:t>
        <w:br/>
        <w:t>• Генерация уникальных чисел, формул и структур данных на сервере для каждой сессии тестирования;</w:t>
        <w:br/>
        <w:t>• Динамическое перемешивание вариантов ответов на стороне бэкенда;</w:t>
        <w:br/>
        <w:t>• Серверный таймер сессии с жестким ограничением времени;</w:t>
        <w:br/>
        <w:t>• Бизнес-правило ТЗ: подтвержденный грейд кандидата не понижается принудительно при неудачной попытке;</w:t>
        <w:br/>
        <w:t>• Возможность сдать тест на уровень ниже или выше с кулдауном 90 дней.</w:t>
      </w:r>
    </w:p>
    <w:p>
      <w:pPr>
        <w:spacing w:before="240" w:after="80"/>
      </w:pPr>
      <w:r>
        <w:rPr>
          <w:b/>
          <w:color w:val="1E1B4B"/>
          <w:sz w:val="26"/>
        </w:rPr>
        <w:t>3. Механика подбора (Обратный подбор LHH) и категоризация</w:t>
      </w:r>
    </w:p>
    <w:p>
      <w:pPr>
        <w:spacing w:line="276" w:lineRule="auto" w:after="120"/>
      </w:pPr>
      <w:r>
        <w:t>Смысловой центр платформы — модель LHH (Lee Hecht Harrison): инициативу проявляет работодатель. Соискатели автоматически категоризируются по связке (специализация + грейд).</w:t>
        <w:br/>
        <w:br/>
        <w:t>Формула многофакторного скоринга в выдаче:</w:t>
        <w:br/>
        <w:t>Score = 0.40 * S_тест + 0.25 * S_ФСП + 0.25 * S_стек + 0.10 * S_активность</w:t>
        <w:br/>
        <w:br/>
        <w:t>Контакты соискателя строго скрыты до момента принятия приглашения (152-ФЗ). Оффер работодателя содержит обязательную зарплатную вилку в рублях («от–до»). Каждая карточка содержит понятное объяснение XAI: 'Топ-5% по тесту Backend Go, призёр Кубка ФСП 2025'.</w:t>
      </w:r>
    </w:p>
    <w:p>
      <w:pPr>
        <w:spacing w:before="240" w:after="80"/>
      </w:pPr>
      <w:r>
        <w:rPr>
          <w:b/>
          <w:color w:val="1E1B4B"/>
          <w:sz w:val="26"/>
        </w:rPr>
        <w:t>4. Собственная процедура валидации решения и результаты</w:t>
      </w:r>
    </w:p>
    <w:p>
      <w:pPr>
        <w:spacing w:line="276" w:lineRule="auto" w:after="120"/>
      </w:pPr>
      <w:r>
        <w:t>Автоматизированный скрипт validate.py на синтетическом датасете из 80 соискателей и 18 работодателей подтвердил высокую психометрическую надежность тестов и превосходство многофакторного ранжирования: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fill="1E1B4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Метрика валидации</w:t>
            </w:r>
          </w:p>
        </w:tc>
        <w:tc>
          <w:tcPr>
            <w:tcW w:type="dxa" w:w="1872"/>
            <w:shd w:fill="1E1B4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Платформа ФСП (XAI)</w:t>
            </w:r>
          </w:p>
        </w:tc>
        <w:tc>
          <w:tcPr>
            <w:tcW w:type="dxa" w:w="2016"/>
            <w:shd w:fill="1E1B4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Базовый поиск (Baseline)</w:t>
            </w:r>
          </w:p>
        </w:tc>
        <w:tc>
          <w:tcPr>
            <w:tcW w:type="dxa" w:w="2405"/>
            <w:shd w:fill="1E1B4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Норма / Прирост</w:t>
            </w:r>
          </w:p>
        </w:tc>
      </w:tr>
      <w:tr>
        <w:tc>
          <w:tcPr>
            <w:tcW w:type="dxa" w:w="273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D-index (дискриминативность)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0.559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0.210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Норма &gt; 0.40 (Отлично)</w:t>
            </w:r>
          </w:p>
        </w:tc>
      </w:tr>
      <w:tr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Дельта Фергюсона (δ)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0.977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0.620</w:t>
            </w:r>
          </w:p>
        </w:tc>
        <w:tc>
          <w:tcPr>
            <w:tcW w:type="dxa" w:w="240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Норма &gt; 0.90 (Высокая)</w:t>
            </w:r>
          </w:p>
        </w:tc>
      </w:tr>
      <w:tr>
        <w:tc>
          <w:tcPr>
            <w:tcW w:type="dxa" w:w="273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Согласованность при ретесте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92.5% (κ = 0.886)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54.0%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Высокая стабильность</w:t>
            </w:r>
          </w:p>
        </w:tc>
      </w:tr>
      <w:tr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Precision@5 (точность топа)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0.933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0.144</w:t>
            </w:r>
          </w:p>
        </w:tc>
        <w:tc>
          <w:tcPr>
            <w:tcW w:type="dxa" w:w="240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+548% прирост</w:t>
            </w:r>
          </w:p>
        </w:tc>
      </w:tr>
      <w:tr>
        <w:tc>
          <w:tcPr>
            <w:tcW w:type="dxa" w:w="273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NDCG@5 (ранжирование)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0.919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0.188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+388% прирост</w:t>
            </w:r>
          </w:p>
        </w:tc>
      </w:tr>
      <w:tr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MAP (Mean Avg Precision)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0.871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0.237</w:t>
            </w:r>
          </w:p>
        </w:tc>
        <w:tc>
          <w:tcPr>
            <w:tcW w:type="dxa" w:w="240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+267% прирост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E1B4B"/>
          <w:sz w:val="26"/>
        </w:rPr>
        <w:t>5. Схема интеграции с реестром ФСП</w:t>
      </w:r>
    </w:p>
    <w:p>
      <w:pPr>
        <w:spacing w:line="276" w:lineRule="auto" w:after="120"/>
      </w:pPr>
      <w:r>
        <w:t>Архитектура совместима с переходом на единый SSO ФСП ID на базе Keycloak (OAuth2 / OIDC Authorization Code Flow):</w:t>
        <w:br/>
        <w:t>• Аутентификация соискателя с получением ID Token и claim fsp_member_id;</w:t>
        <w:br/>
        <w:t>• Запрос в защищенный реестр ФСП (REST GET /v1/athletes/{id}) для подтягивания разрядов и наград;</w:t>
        <w:br/>
        <w:t>• Корректная и нейтральная обработка соискателей без истории ФСП: базовый балл не снижается.</w:t>
      </w:r>
    </w:p>
    <w:p>
      <w:pPr>
        <w:spacing w:before="240" w:after="80"/>
      </w:pPr>
      <w:r>
        <w:rPr>
          <w:b/>
          <w:color w:val="1E1B4B"/>
          <w:sz w:val="26"/>
        </w:rPr>
        <w:t>6. Описание API сервисов и защита данных (152-ФЗ)</w:t>
      </w:r>
    </w:p>
    <w:p>
      <w:pPr>
        <w:spacing w:line="276" w:lineRule="auto" w:after="120"/>
      </w:pPr>
      <w:r>
        <w:t>Все эндпоинты платформы документированы в формате OpenAPI 3.0 и доступны в едином Swagger UI (порт 8081). Соблюдены требования Федерального закона № 152-ФЗ: фиксация явного согласия на обработку ПДн, маскирование персональных данных соискателей, аудит переходов статусов в таблице interaction_status_history.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3B28C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Префикс API</w:t>
            </w:r>
          </w:p>
        </w:tc>
        <w:tc>
          <w:tcPr>
            <w:tcW w:type="dxa" w:w="2160"/>
            <w:shd w:fill="3B28C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Микросервис</w:t>
            </w:r>
          </w:p>
        </w:tc>
        <w:tc>
          <w:tcPr>
            <w:tcW w:type="dxa" w:w="4709"/>
            <w:shd w:fill="3B28C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Описание функционала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/api/auth/*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auth-service</w:t>
            </w:r>
          </w:p>
        </w:tc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Регистрация, JWT авторизация, подтверждение email, обновление токенов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/api/candidate/*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candidate-service</w:t>
            </w:r>
          </w:p>
        </w:tc>
        <w:tc>
          <w:tcPr>
            <w:tcW w:type="dxa" w:w="470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CRUD профиля соискателя, маскирование контактов, парсинг резюме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/api/employer/*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employer-service</w:t>
            </w:r>
          </w:p>
        </w:tc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Профиль компании, управление потребностями (Needs), вакансии и отклики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/api/testing/*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testing-service</w:t>
            </w:r>
          </w:p>
        </w:tc>
        <w:tc>
          <w:tcPr>
            <w:tcW w:type="dxa" w:w="470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Сессии тестирования, сдача заданий, экспорт официального PDF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/api/interaction/*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interaction-service</w:t>
            </w:r>
          </w:p>
        </w:tc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Отправка приглашений, отклики, принятие/отклонение, раскрытие контактов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/api/search/*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search-service</w:t>
            </w:r>
          </w:p>
        </w:tc>
        <w:tc>
          <w:tcPr>
            <w:tcW w:type="dxa" w:w="470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Фасетный поиск, ранжирование, генерация XAI объяснений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E1B4B"/>
          <w:sz w:val="26"/>
        </w:rPr>
        <w:t>7. Используемые библиотеки и компоненты с указанием версий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1E1B4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Компонент / Уровень</w:t>
            </w:r>
          </w:p>
        </w:tc>
        <w:tc>
          <w:tcPr>
            <w:tcW w:type="dxa" w:w="4032"/>
            <w:shd w:fill="1E1B4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Технологии и ключевые библиотеки</w:t>
            </w:r>
          </w:p>
        </w:tc>
        <w:tc>
          <w:tcPr>
            <w:tcW w:type="dxa" w:w="2981"/>
            <w:shd w:fill="1E1B4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Версии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Go, Gin Web Framework, pgx/v5 PostgreSQL driver, golang-jwt, goose, oapi-codegen</w:t>
            </w:r>
          </w:p>
        </w:tc>
        <w:tc>
          <w:tcPr>
            <w:tcW w:type="dxa" w:w="29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 1.23.0, Gin v1.10.0, pgx/v5 v5.7.1, jwt v5.2.1, goose v3.22.1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React, TypeScript, Vite, React Router DOM, TailwindCSS, Phosphor Icons</w:t>
            </w:r>
          </w:p>
        </w:tc>
        <w:tc>
          <w:tcPr>
            <w:tcW w:type="dxa" w:w="298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React 19.0.0, TS 5.7, Vite 7.3.7, RR DOM 7.2.0, TailwindCSS 4.0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Инфраструктура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PostgreSQL, Nginx API Gateway, MailHog (SMTP), Docker Compose</w:t>
            </w:r>
          </w:p>
        </w:tc>
        <w:tc>
          <w:tcPr>
            <w:tcW w:type="dxa" w:w="29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PostgreSQL 16-Alpine, Nginx 1.27-Alpine, MailHog v1.0.1, Docker Compose v2+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E1B4B"/>
          <w:sz w:val="26"/>
        </w:rPr>
        <w:t>8. Пошаговая инструкция по сборке, развёртыванию и запуску</w:t>
      </w:r>
    </w:p>
    <w:p>
      <w:pPr>
        <w:spacing w:line="276" w:lineRule="auto" w:after="120"/>
      </w:pPr>
      <w:r>
        <w:t>1. Клонировать репозиторий: git clone &lt;url&gt; &amp;&amp; cd LCT-hack-2</w:t>
        <w:br/>
        <w:t>2. Собрать и запустить контейнеры: docker compose up --build -d</w:t>
        <w:br/>
        <w:t>3. Инициализировать демонстрационные данные: python3 seed.py --run-validation</w:t>
        <w:br/>
        <w:t>4. Доступ к веб-интерфейсу: http://localhost:5173 (или http://localhost:8080)</w:t>
        <w:br/>
        <w:t>5. Доступ к Swagger UI: http://localhost:8081</w:t>
        <w:br/>
        <w:t>6. Доступ к почтовому серверу MailHog: http://localhost:8025</w:t>
        <w:br/>
        <w:br/>
        <w:t>Тестовые аккаунты:</w:t>
        <w:br/>
        <w:t>• Работодатель: techcorp@fsp-platform.ru (пароль: Password123!)</w:t>
        <w:br/>
        <w:t>• Соискатель: ivanov@fsp-platform.ru (пароль: Password123!)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