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Handbook</w:t>
      </w:r>
    </w:p>
    <w:p>
      <w:r>
        <w:t xml:space="preserve">Welcome to the Parbot handbook. It explains how the assistant answers.</w:t>
      </w:r>
    </w:p>
    <w:p>
      <w:pPr>
        <w:pStyle w:val="Heading2"/>
      </w:pPr>
      <w:r>
        <w:t xml:space="preserve">Refunds</w:t>
      </w:r>
    </w:p>
    <w:p>
      <w:r>
        <w:rPr>
          <w:b/>
        </w:rPr>
        <w:t xml:space="preserve">Refunds are issued within 30 days of purchase.</w:t>
      </w:r>
    </w:p>
    <w:p>
      <w:r>
        <w:t xml:space="preserve">Contact support with the order number to start one.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