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ПАМЯТКА ДЛЯ УСТНОЙ ЗАЩИТЫ</w:t>
        <w:br/>
        <w:t>ЭКЗАМЕНАЦИОННАЯ ЗАДАЧА №3</w:t>
      </w:r>
    </w:p>
    <w:p>
      <w:pPr>
        <w:jc w:val="center"/>
      </w:pPr>
      <w:r>
        <w:rPr>
          <w:i/>
        </w:rPr>
        <w:t>Выбор ценовой стратегии для AI-сервиса по созданию контента</w:t>
      </w:r>
    </w:p>
    <w:p>
      <w:pPr>
        <w:jc w:val="center"/>
      </w:pPr>
      <w:r>
        <w:t>Дата: 02.09.2026</w:t>
      </w:r>
    </w:p>
    <w:p>
      <w:pPr>
        <w:jc w:val="center"/>
      </w:pPr>
      <w:r>
        <w:t>Студент: Глазков Тимофей Владимирович</w:t>
      </w:r>
    </w:p>
    <w:p>
      <w:pPr>
        <w:jc w:val="center"/>
      </w:pPr>
      <w:r>
        <w:t>Группа: БИ ОЗФО5-1</w:t>
      </w:r>
    </w:p>
    <w:p>
      <w:pPr>
        <w:jc w:val="center"/>
      </w:pPr>
      <w:r>
        <w:t>Проект: «AI-Копирайтер»</w:t>
      </w:r>
    </w:p>
    <w:p>
      <w:pPr>
        <w:pStyle w:val="Heading1"/>
      </w:pPr>
      <w:r>
        <w:t>1. Экономическая постановка задачи</w:t>
      </w:r>
    </w:p>
    <w:p>
      <w:r>
        <w:t>Проект «AI-Копирайтер» представляет AI-сервис по созданию контента. Необходимо сравнить четыре ценовые стратегии: Freemium, подписку, динамическое и персонализированное ценообразование. Цель — определить стратегию с наилучшим экономическим результатом и проверить, является ли проект экономически целесообразным.</w:t>
      </w:r>
    </w:p>
    <w:p>
      <w:r>
        <w:t>В работе рассчитываются ARPU, LTV, LTV/CAC, прогнозная прибыль и NPV за трёхлетний горизонт. Дополнительно проводится чувствительность к изменению конверсии, churn и CAC, формируются план внедрения и меры снижения рисков.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>
              <w:t>Показатель</w:t>
            </w:r>
          </w:p>
        </w:tc>
        <w:tc>
          <w:tcPr>
            <w:tcW w:type="dxa" w:w="4873"/>
            <w:shd w:fill="D9E2F3"/>
          </w:tcPr>
          <w:p>
            <w:r>
              <w:t>Значение</w:t>
            </w:r>
          </w:p>
        </w:tc>
      </w:tr>
      <w:tr>
        <w:tc>
          <w:tcPr>
            <w:tcW w:type="dxa" w:w="4873"/>
          </w:tcPr>
          <w:p>
            <w:r>
              <w:t>Потенциальный рынок</w:t>
            </w:r>
          </w:p>
        </w:tc>
        <w:tc>
          <w:tcPr>
            <w:tcW w:type="dxa" w:w="4873"/>
          </w:tcPr>
          <w:p>
            <w:r>
              <w:t>500 000 пользователей</w:t>
            </w:r>
          </w:p>
        </w:tc>
      </w:tr>
      <w:tr>
        <w:tc>
          <w:tcPr>
            <w:tcW w:type="dxa" w:w="4873"/>
          </w:tcPr>
          <w:p>
            <w:r>
              <w:t>Темп роста рынка</w:t>
            </w:r>
          </w:p>
        </w:tc>
        <w:tc>
          <w:tcPr>
            <w:tcW w:type="dxa" w:w="4873"/>
          </w:tcPr>
          <w:p>
            <w:r>
              <w:t>25% в год</w:t>
            </w:r>
          </w:p>
        </w:tc>
      </w:tr>
      <w:tr>
        <w:tc>
          <w:tcPr>
            <w:tcW w:type="dxa" w:w="4873"/>
          </w:tcPr>
          <w:p>
            <w:r>
              <w:t>Разработка</w:t>
            </w:r>
          </w:p>
        </w:tc>
        <w:tc>
          <w:tcPr>
            <w:tcW w:type="dxa" w:w="4873"/>
          </w:tcPr>
          <w:p>
            <w:r>
              <w:t>15 000 000 руб.</w:t>
            </w:r>
          </w:p>
        </w:tc>
      </w:tr>
      <w:tr>
        <w:tc>
          <w:tcPr>
            <w:tcW w:type="dxa" w:w="4873"/>
          </w:tcPr>
          <w:p>
            <w:r>
              <w:t>Поддержание</w:t>
            </w:r>
          </w:p>
        </w:tc>
        <w:tc>
          <w:tcPr>
            <w:tcW w:type="dxa" w:w="4873"/>
          </w:tcPr>
          <w:p>
            <w:r>
              <w:t>2 000 000 руб./мес.</w:t>
            </w:r>
          </w:p>
        </w:tc>
      </w:tr>
      <w:tr>
        <w:tc>
          <w:tcPr>
            <w:tcW w:type="dxa" w:w="4873"/>
          </w:tcPr>
          <w:p>
            <w:r>
              <w:t>Начальная база</w:t>
            </w:r>
          </w:p>
        </w:tc>
        <w:tc>
          <w:tcPr>
            <w:tcW w:type="dxa" w:w="4873"/>
          </w:tcPr>
          <w:p>
            <w:r>
              <w:t>1 000 пользователей</w:t>
            </w:r>
          </w:p>
        </w:tc>
      </w:tr>
      <w:tr>
        <w:tc>
          <w:tcPr>
            <w:tcW w:type="dxa" w:w="4873"/>
          </w:tcPr>
          <w:p>
            <w:r>
              <w:t>Ставка дисконтирования</w:t>
            </w:r>
          </w:p>
        </w:tc>
        <w:tc>
          <w:tcPr>
            <w:tcW w:type="dxa" w:w="4873"/>
          </w:tcPr>
          <w:p>
            <w:r>
              <w:t>12% годовых</w:t>
            </w:r>
          </w:p>
        </w:tc>
      </w:tr>
      <w:tr>
        <w:tc>
          <w:tcPr>
            <w:tcW w:type="dxa" w:w="4873"/>
          </w:tcPr>
          <w:p>
            <w:r>
              <w:t>Горизонт</w:t>
            </w:r>
          </w:p>
        </w:tc>
        <w:tc>
          <w:tcPr>
            <w:tcW w:type="dxa" w:w="4873"/>
          </w:tcPr>
          <w:p>
            <w:r>
              <w:t>3 года</w:t>
            </w:r>
          </w:p>
        </w:tc>
      </w:tr>
    </w:tbl>
    <w:p>
      <w:pPr>
        <w:pStyle w:val="Heading1"/>
      </w:pPr>
      <w:r>
        <w:t>2. Логика расчётов</w:t>
      </w:r>
    </w:p>
    <w:p>
      <w:r>
        <w:rPr>
          <w:b/>
        </w:rPr>
        <w:t xml:space="preserve">ARPU: </w:t>
      </w:r>
      <w:r>
        <w:t>ARPU = Цена × Конверсия. Показатель показывает средний месячный доход от одного пользователя с учётом доли платных клиентов.</w:t>
      </w:r>
    </w:p>
    <w:p>
      <w:r>
        <w:rPr>
          <w:b/>
        </w:rPr>
        <w:t xml:space="preserve">LTV: </w:t>
      </w:r>
      <w:r>
        <w:t>LTV = ARPU / Churn. Средний срок жизни клиента оценивается как 1 / Churn.</w:t>
      </w:r>
    </w:p>
    <w:p>
      <w:r>
        <w:rPr>
          <w:b/>
        </w:rPr>
        <w:t xml:space="preserve">LTV/CAC: </w:t>
      </w:r>
      <w:r>
        <w:t>LTV/CAC = LTV / CAC. Показатель сравнивает ценность клиента и стоимость его привлечения.</w:t>
      </w:r>
    </w:p>
    <w:p>
      <w:r>
        <w:rPr>
          <w:b/>
        </w:rPr>
        <w:t xml:space="preserve">Прибыль: </w:t>
      </w:r>
      <w:r>
        <w:t>Годовая прибыль = ARPU × база пользователей × 12 − годовое поддержание − CAC × новые пользователи.</w:t>
      </w:r>
    </w:p>
    <w:p>
      <w:r>
        <w:rPr>
          <w:b/>
        </w:rPr>
        <w:t xml:space="preserve">NPV: </w:t>
      </w:r>
      <w:r>
        <w:t>NPV = сумма дисконтированных денежных потоков. Затраты на разработку отражаются в нулевом году, последующие денежные потоки дисконтируются по ставке 12% годовых.</w:t>
      </w:r>
    </w:p>
    <w:p>
      <w:pPr>
        <w:pStyle w:val="Heading1"/>
      </w:pPr>
      <w:r>
        <w:t>3. Полученные результаты</w:t>
      </w:r>
    </w:p>
    <w:p>
      <w:r>
        <w:t>При исходных параметрах стратегия «Подписка» показывает максимальный ARPU — 300 руб. в месяц, LTV — 6 000 руб. и максимальный рассчитанный NPV среди четырёх стратегий. Однако прозрачный NPV проекта остаётся отрицательным: при постоянных затратах 2 млн руб. в месяц небольшая пользовательская база не формирует достаточной выручки.</w:t>
      </w:r>
    </w:p>
    <w:p>
      <w:r>
        <w:t>Следовательно, «Подписка» является лучшей альтернативой среди заданных стратегий, но не означает автоматическую экономическую выгодность проекта. Запуск требует улучшения экономики: повышения ARPU, снижения CAC, сокращения постоянных расходов или ускорения роста базы.</w:t>
      </w:r>
    </w:p>
    <w:p>
      <w:pPr>
        <w:pStyle w:val="Heading1"/>
      </w:pPr>
      <w:r>
        <w:t>4. Стратегические рекомендации</w:t>
      </w:r>
    </w:p>
    <w:p>
      <w:pPr>
        <w:pStyle w:val="ListBullet"/>
      </w:pPr>
      <w:r>
        <w:t>проверить готовность пользователей платить и увеличить ARPU за счёт тарифных уровней и дополнительных функций;</w:t>
      </w:r>
    </w:p>
    <w:p>
      <w:pPr>
        <w:pStyle w:val="ListBullet"/>
      </w:pPr>
      <w:r>
        <w:t>использовать контент-маркетинг и виральные механики для снижения CAC;</w:t>
      </w:r>
    </w:p>
    <w:p>
      <w:pPr>
        <w:pStyle w:val="ListBullet"/>
      </w:pPr>
      <w:r>
        <w:t>масштабировать проект поэтапно, чтобы не нести полные расходы на поддержание до подтверждения спроса;</w:t>
      </w:r>
    </w:p>
    <w:p>
      <w:pPr>
        <w:pStyle w:val="ListBullet"/>
      </w:pPr>
      <w:r>
        <w:t>контролировать churn, конверсию, LTV/CAC, MRR и NRR;</w:t>
      </w:r>
    </w:p>
    <w:p>
      <w:pPr>
        <w:pStyle w:val="ListBullet"/>
      </w:pPr>
      <w:r>
        <w:t>переходить к масштабированию только после достижения положительного NPV или подтверждения траектории его улучшения.</w:t>
      </w:r>
    </w:p>
    <w:p>
      <w:pPr>
        <w:pStyle w:val="Heading1"/>
      </w:pPr>
      <w:r>
        <w:t>5. Ответы на возможные вопросы</w:t>
      </w:r>
    </w:p>
    <w:p>
      <w:r>
        <w:rPr>
          <w:b/>
        </w:rPr>
        <w:t>Вопрос: Почему выбрана подписка?</w:t>
        <w:br/>
      </w:r>
      <w:r>
        <w:t>Ответ: Она имеет максимальные ARPU и LTV и показывает лучший NPV среди рассмотренных стратегий.</w:t>
      </w:r>
    </w:p>
    <w:p>
      <w:r>
        <w:rPr>
          <w:b/>
        </w:rPr>
        <w:t>Вопрос: Почему отрицательный NPV?</w:t>
        <w:br/>
      </w:r>
      <w:r>
        <w:t>Ответ: Основная причина — 2 млн рублей ежемесячного поддержания при малой базе пользователей и недостаточной выручке.</w:t>
      </w:r>
    </w:p>
    <w:p>
      <w:r>
        <w:rPr>
          <w:b/>
        </w:rPr>
        <w:t>Вопрос: Можно ли считать проект выгодным?</w:t>
        <w:br/>
      </w:r>
      <w:r>
        <w:t>Ответ: Нет. Подписка является лучшей относительной альтернативой, но при текущих параметрах проект требует доработки.</w:t>
      </w:r>
    </w:p>
    <w:p>
      <w:r>
        <w:rPr>
          <w:b/>
        </w:rPr>
        <w:t>Вопрос: Что нужно улучшить в первую очередь?</w:t>
        <w:br/>
      </w:r>
      <w:r>
        <w:t>Ответ: Необходимо одновременно повысить ARPU, снизить CAC и проверить более быструю траекторию роста. Одного изменения одного показателя может быть недостаточно.</w:t>
      </w:r>
    </w:p>
    <w:p>
      <w:r>
        <w:rPr>
          <w:b/>
        </w:rPr>
        <w:t>Вопрос: Как обновляются расчёты?</w:t>
        <w:br/>
      </w:r>
      <w:r>
        <w:t>Ответ: Исходные значения загружаются из JSON. После изменения конфигурации Notebook нужно выполнить полностью с начала.</w:t>
      </w:r>
    </w:p>
    <w:p>
      <w:pPr>
        <w:pStyle w:val="Heading1"/>
      </w:pPr>
      <w:r>
        <w:t>6. Ограничения модели</w:t>
      </w:r>
    </w:p>
    <w:p>
      <w:r>
        <w:t>Годовая модель роста является укрупнённой. Churn используется непосредственно в LTV, но помесячный отток когорт в денежном потоке не моделируется. Также не учитываются налоги, маржинальность генерации, токеновые расходы и изменение CAC при масштабе.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