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ERD Design Documentation (Draft)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Our ERD for the MoMo Transaction Analytics system was designed to capture the core elements required for storing, querying, and analyzing mobile money data. The main entities are: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– stores transaction_id, amount, currency, date_time, status, and links to category and user details.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– keeps sender/receiver data such as user_id, full name, phone, email, and registration_date.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Transaction_Categories</w:t>
      </w:r>
      <w:r w:rsidDel="00000000" w:rsidR="00000000" w:rsidRPr="00000000">
        <w:rPr>
          <w:rtl w:val="0"/>
        </w:rPr>
        <w:t xml:space="preserve"> – defines transfer, payment, cash-out, bill payment, and other transaction types.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Transaction_Participants</w:t>
      </w:r>
      <w:r w:rsidDel="00000000" w:rsidR="00000000" w:rsidRPr="00000000">
        <w:rPr>
          <w:rtl w:val="0"/>
        </w:rPr>
        <w:t xml:space="preserve"> – a bridge table connecting Transactions and Users, with fields (transaction_id, user_id, role) to show if the user is a sender or receiver.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System_Logs</w:t>
      </w:r>
      <w:r w:rsidDel="00000000" w:rsidR="00000000" w:rsidRPr="00000000">
        <w:rPr>
          <w:rtl w:val="0"/>
        </w:rPr>
        <w:t xml:space="preserve"> – stores pipeline and dashboard logs (log_id, event_type, details, created_at).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chose a </w:t>
      </w:r>
      <w:r w:rsidDel="00000000" w:rsidR="00000000" w:rsidRPr="00000000">
        <w:rPr>
          <w:b w:val="1"/>
          <w:rtl w:val="0"/>
        </w:rPr>
        <w:t xml:space="preserve">1:M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relationship from Categories → Transactions, a </w:t>
      </w:r>
      <w:r w:rsidDel="00000000" w:rsidR="00000000" w:rsidRPr="00000000">
        <w:rPr>
          <w:b w:val="1"/>
          <w:rtl w:val="0"/>
        </w:rPr>
        <w:t xml:space="preserve">1:M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from Transactions → Logs, and an </w:t>
      </w:r>
      <w:r w:rsidDel="00000000" w:rsidR="00000000" w:rsidRPr="00000000">
        <w:rPr>
          <w:b w:val="1"/>
          <w:rtl w:val="0"/>
        </w:rPr>
        <w:t xml:space="preserve">M:N</w:t>
      </w:r>
      <w:r w:rsidDel="00000000" w:rsidR="00000000" w:rsidRPr="00000000">
        <w:rPr>
          <w:rtl w:val="0"/>
        </w:rPr>
        <w:t xml:space="preserve"> between Transactions and Users, resolved with the Transaction_Participants table. This structure supports scalability, allows multiple users per transaction, and enforces referential integrity through foreign keys.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Primary keys and indexes were added for efficiency (transaction_id, user_id, category_id). Data types (INT, DECIMAL, VARCHAR, DATETIME) match the business rules for precision and future growth. This schema ensures fast querying for analytics while keeping the data model clean and normalized.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