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C512A" w14:textId="69370A6C" w:rsidR="00F5469E" w:rsidRDefault="00A11FF5" w:rsidP="00A11FF5">
      <w:pPr>
        <w:pStyle w:val="Titre"/>
      </w:pPr>
      <w:r>
        <w:t xml:space="preserve">Chute de </w:t>
      </w:r>
      <w:proofErr w:type="spellStart"/>
      <w:r>
        <w:t>schwa</w:t>
      </w:r>
      <w:proofErr w:type="spellEnd"/>
      <w:r>
        <w:t xml:space="preserve"> interne</w:t>
      </w:r>
    </w:p>
    <w:p w14:paraId="7F97D0D5" w14:textId="52D44E1A" w:rsidR="00A11FF5" w:rsidRDefault="00A11FF5" w:rsidP="00A11FF5">
      <w:r>
        <w:t xml:space="preserve">Ce document étudie la chute des schwas internes, en hiatus et hors hiatus. Des lemmes ont été sélectionnés à partir de ceux réunis par Philippe </w:t>
      </w:r>
      <w:proofErr w:type="spellStart"/>
      <w:r>
        <w:t>Ségéral</w:t>
      </w:r>
      <w:proofErr w:type="spellEnd"/>
      <w:r>
        <w:t xml:space="preserve"> dans la bibliographie, et ont été interrogés dans le NCA3. La lemmatisation étant parfois en échec sur cette variation, l’ensemble des variantes graphique de chaque lemme a été réunis, puis une interrogation sur formes graphiques de la variation a eu lieu, en vérifiant que les cas relevés ne tiennent pas à l’homographie avec d’autres lemmes. Par hasard, le nombre de lemmes est le même pour les schwas en hiatus et les schwas hors hiatus : 8 lemmes pour chaque catégorie.</w:t>
      </w:r>
    </w:p>
    <w:p w14:paraId="4A06535B" w14:textId="0300CFA6" w:rsidR="005B06E2" w:rsidRDefault="005B06E2" w:rsidP="005B06E2">
      <w:pPr>
        <w:pStyle w:val="Titre1"/>
      </w:pPr>
      <w:r>
        <w:t xml:space="preserve">Préambule — </w:t>
      </w:r>
      <w:proofErr w:type="spellStart"/>
      <w:r>
        <w:t>Dees</w:t>
      </w:r>
      <w:proofErr w:type="spellEnd"/>
      <w:r>
        <w:t>, R et la cartographie</w:t>
      </w:r>
    </w:p>
    <w:p w14:paraId="511A0C5A" w14:textId="09F3C422" w:rsidR="005B06E2" w:rsidRDefault="005B06E2" w:rsidP="005B06E2">
      <w:r>
        <w:t xml:space="preserve">Les données de ce document sont </w:t>
      </w:r>
      <w:proofErr w:type="gramStart"/>
      <w:r>
        <w:t>ont</w:t>
      </w:r>
      <w:proofErr w:type="gramEnd"/>
      <w:r>
        <w:t xml:space="preserve"> été produite à partir du NCA 3, </w:t>
      </w:r>
      <w:r>
        <w:rPr>
          <w:i/>
          <w:iCs/>
        </w:rPr>
        <w:t>via</w:t>
      </w:r>
      <w:r>
        <w:t xml:space="preserve"> une version simplifiée et customisée de </w:t>
      </w:r>
      <w:proofErr w:type="spellStart"/>
      <w:r>
        <w:t>Comparalem</w:t>
      </w:r>
      <w:proofErr w:type="spellEnd"/>
      <w:r>
        <w:t xml:space="preserve">, programme R d’analyse de la variation graphique. Dans les métadonnées du NCA, 3 dates et 3 </w:t>
      </w:r>
      <w:proofErr w:type="gramStart"/>
      <w:r>
        <w:t>localisation</w:t>
      </w:r>
      <w:proofErr w:type="gramEnd"/>
      <w:r>
        <w:t xml:space="preserve"> sont disponibles :</w:t>
      </w:r>
    </w:p>
    <w:p w14:paraId="67B80A51" w14:textId="64A26DB2" w:rsidR="005B06E2" w:rsidRDefault="005B06E2" w:rsidP="005B06E2">
      <w:pPr>
        <w:pStyle w:val="Paragraphedeliste"/>
        <w:numPr>
          <w:ilvl w:val="0"/>
          <w:numId w:val="7"/>
        </w:numPr>
      </w:pPr>
      <w:r>
        <w:t xml:space="preserve">Dates et loc. de </w:t>
      </w:r>
      <w:proofErr w:type="spellStart"/>
      <w:r>
        <w:t>Dees</w:t>
      </w:r>
      <w:proofErr w:type="spellEnd"/>
    </w:p>
    <w:p w14:paraId="46574544" w14:textId="584D85E2" w:rsidR="005B06E2" w:rsidRDefault="005B06E2" w:rsidP="005B06E2">
      <w:pPr>
        <w:pStyle w:val="Paragraphedeliste"/>
        <w:numPr>
          <w:ilvl w:val="1"/>
          <w:numId w:val="7"/>
        </w:numPr>
      </w:pPr>
      <w:r>
        <w:t>Loc. par interpolation sur l’espace dialectal virtuel défini par les chartes</w:t>
      </w:r>
    </w:p>
    <w:p w14:paraId="31161E26" w14:textId="56099185" w:rsidR="005B06E2" w:rsidRDefault="005B06E2" w:rsidP="005B06E2">
      <w:pPr>
        <w:pStyle w:val="Paragraphedeliste"/>
        <w:numPr>
          <w:ilvl w:val="1"/>
          <w:numId w:val="7"/>
        </w:numPr>
      </w:pPr>
      <w:r>
        <w:t>Date par ??</w:t>
      </w:r>
    </w:p>
    <w:p w14:paraId="482085B7" w14:textId="3361CB4D" w:rsidR="005B06E2" w:rsidRDefault="005B06E2" w:rsidP="005B06E2">
      <w:pPr>
        <w:pStyle w:val="Paragraphedeliste"/>
        <w:numPr>
          <w:ilvl w:val="0"/>
          <w:numId w:val="7"/>
        </w:numPr>
      </w:pPr>
      <w:r>
        <w:t>Date et loc. de composition</w:t>
      </w:r>
    </w:p>
    <w:p w14:paraId="6D1CFCA0" w14:textId="6CFC5FAD" w:rsidR="005B06E2" w:rsidRDefault="005B06E2" w:rsidP="005B06E2">
      <w:pPr>
        <w:pStyle w:val="Paragraphedeliste"/>
        <w:numPr>
          <w:ilvl w:val="1"/>
          <w:numId w:val="7"/>
        </w:numPr>
      </w:pPr>
      <w:r>
        <w:t xml:space="preserve">Définies par </w:t>
      </w:r>
      <w:proofErr w:type="spellStart"/>
      <w:r>
        <w:t>Glessgen</w:t>
      </w:r>
      <w:proofErr w:type="spellEnd"/>
      <w:r>
        <w:t xml:space="preserve"> et son équipe à partir de travaux philologiques traditionnels</w:t>
      </w:r>
    </w:p>
    <w:p w14:paraId="28EF6F61" w14:textId="1CD25BD3" w:rsidR="005B06E2" w:rsidRDefault="005B06E2" w:rsidP="005B06E2">
      <w:pPr>
        <w:pStyle w:val="Paragraphedeliste"/>
        <w:numPr>
          <w:ilvl w:val="0"/>
          <w:numId w:val="7"/>
        </w:numPr>
      </w:pPr>
      <w:r>
        <w:t>Date et loc. du ms.</w:t>
      </w:r>
    </w:p>
    <w:p w14:paraId="4D1966BF" w14:textId="7C92B689" w:rsidR="005B06E2" w:rsidRDefault="005B06E2" w:rsidP="005B06E2">
      <w:pPr>
        <w:pStyle w:val="Paragraphedeliste"/>
        <w:numPr>
          <w:ilvl w:val="1"/>
          <w:numId w:val="7"/>
        </w:numPr>
      </w:pPr>
      <w:r>
        <w:t>Idem</w:t>
      </w:r>
    </w:p>
    <w:p w14:paraId="084A3173" w14:textId="27DC3BF3" w:rsidR="00A24454" w:rsidRDefault="005B06E2" w:rsidP="005B06E2">
      <w:r>
        <w:t xml:space="preserve">Le principal problème pratique des métadonnées de </w:t>
      </w:r>
      <w:proofErr w:type="spellStart"/>
      <w:r>
        <w:t>Dees</w:t>
      </w:r>
      <w:proofErr w:type="spellEnd"/>
      <w:r>
        <w:t xml:space="preserve"> est qu’elles sont défectives : sur 295 textes, seuls 98 sont localisés.</w:t>
      </w:r>
      <w:r w:rsidR="00A24454">
        <w:t xml:space="preserve"> Les régions </w:t>
      </w:r>
      <w:proofErr w:type="spellStart"/>
      <w:r w:rsidR="00A24454">
        <w:t>Dees</w:t>
      </w:r>
      <w:proofErr w:type="spellEnd"/>
      <w:r w:rsidR="00A24454">
        <w:t xml:space="preserve"> et le nombre de textes de chaque région sont représentés en </w:t>
      </w:r>
      <w:r w:rsidR="00C32587">
        <w:fldChar w:fldCharType="begin"/>
      </w:r>
      <w:r w:rsidR="00C32587">
        <w:instrText xml:space="preserve"> REF _Ref124320352 \h </w:instrText>
      </w:r>
      <w:r w:rsidR="00C32587">
        <w:fldChar w:fldCharType="separate"/>
      </w:r>
      <w:r w:rsidR="00C32587">
        <w:t xml:space="preserve">Figure </w:t>
      </w:r>
      <w:r w:rsidR="00C32587">
        <w:rPr>
          <w:noProof/>
        </w:rPr>
        <w:t>1</w:t>
      </w:r>
      <w:r w:rsidR="00C32587">
        <w:fldChar w:fldCharType="end"/>
      </w:r>
      <w:r w:rsidR="00C32587">
        <w:t xml:space="preserve">. Quatre régions ne disposent d’aucun texte : la Bretagne, la Mayenne et la Sarthe, le Maine-et-Loire, et la Vienne. Ce défaut reproduit ici celui de l’Atlas de </w:t>
      </w:r>
      <w:proofErr w:type="spellStart"/>
      <w:r w:rsidR="00C32587">
        <w:t>Dees</w:t>
      </w:r>
      <w:proofErr w:type="spellEnd"/>
      <w:r w:rsidR="00C32587">
        <w:t xml:space="preserve">, qui rend difficile l’analyse dialectologique dans le Sud-Ouest du domaine. Par ailleurs, vis-à-vis du corpus du NCA, plusieurs régions sont sous-représentées, les textes n’étant pas localisés : </w:t>
      </w:r>
      <w:proofErr w:type="spellStart"/>
      <w:r w:rsidR="00C32587">
        <w:t>Dees</w:t>
      </w:r>
      <w:proofErr w:type="spellEnd"/>
      <w:r w:rsidR="00C32587">
        <w:t xml:space="preserve"> n’attribue ainsi que 8 textes à l’Angleterre (41 selon loc. compo.), 15 à la Normandie (37 selon loc. compo), 5 à la Vendée et aux Deux-Sèvres (10 selon loc. compo), etc. Ainsi, dans les localisations de </w:t>
      </w:r>
      <w:proofErr w:type="spellStart"/>
      <w:r w:rsidR="00C32587">
        <w:t>Dees</w:t>
      </w:r>
      <w:proofErr w:type="spellEnd"/>
      <w:r w:rsidR="00C32587">
        <w:t>, ne dépassent 10 textes que les régions Somme et Pas-de-Calais, Haute-Marne, Nièvre et Allier, Normandie, Région Parisienne, Aisne et Wallonie.</w:t>
      </w:r>
    </w:p>
    <w:p w14:paraId="66436497" w14:textId="77777777" w:rsidR="001F6755" w:rsidRDefault="00C32587" w:rsidP="005B06E2">
      <w:r>
        <w:t xml:space="preserve">En complétant les localisations de </w:t>
      </w:r>
      <w:proofErr w:type="spellStart"/>
      <w:r>
        <w:t>Dees</w:t>
      </w:r>
      <w:proofErr w:type="spellEnd"/>
      <w:r>
        <w:t xml:space="preserve"> à partir des données philologiques (2) et (3), on parvient à suppléer une localisation pour 88 textes ; seuls dix restent non localisés (cf. </w:t>
      </w:r>
      <w:r>
        <w:rPr>
          <w:i/>
          <w:iCs/>
        </w:rPr>
        <w:t>infra</w:t>
      </w:r>
      <w:r>
        <w:t xml:space="preserve">). </w:t>
      </w:r>
      <w:r w:rsidR="0026588B">
        <w:t xml:space="preserve">Le défaut du Sud-Ouest demeure : seules les Vendée et Deux-Sèvres et l’Indre-et-Loire voient leur nombre de texte augmenter (resp. </w:t>
      </w:r>
      <w:proofErr w:type="gramStart"/>
      <w:r w:rsidR="0026588B">
        <w:t>de</w:t>
      </w:r>
      <w:proofErr w:type="gramEnd"/>
      <w:r w:rsidR="0026588B">
        <w:t xml:space="preserve"> 5 à 10 et de 1 à 2). L’Angleterre, elle, gagne 33 textes, passant de 8 à 41 textes, ce qui est un gain massif. Les autres gains sont plus modérés, avec la Normandie (de 15 à 28 textes), l’Aube (de 9 à 23 textes), la Somme et le Pas-de-Calais (de 37 à 47 textes), la région parisienne (de 14 à 18 textes), le Hainaut (de 3 à 6 textes), la Moselle et Meurthe-et-Moselle et le Nord (de 2 à 3 textes).</w:t>
      </w:r>
    </w:p>
    <w:p w14:paraId="46F4B0B8" w14:textId="5A42AB25" w:rsidR="00C32587" w:rsidRPr="00C32587" w:rsidRDefault="001F6755" w:rsidP="005B06E2">
      <w:r>
        <w:rPr>
          <w:b/>
          <w:bCs/>
        </w:rPr>
        <w:tab/>
        <w:t>METTRE À JOUR LES CARTES ET LES COMMENTAIRES !!!!</w:t>
      </w:r>
      <w:r w:rsidR="0026588B">
        <w:t xml:space="preserve"> </w:t>
      </w:r>
    </w:p>
    <w:p w14:paraId="1757F6A3" w14:textId="77777777" w:rsidR="00A24454" w:rsidRDefault="00A24454" w:rsidP="00C32587">
      <w:pPr>
        <w:pStyle w:val="Lgende"/>
      </w:pPr>
      <w:r>
        <w:rPr>
          <w:noProof/>
        </w:rPr>
        <w:lastRenderedPageBreak/>
        <w:drawing>
          <wp:inline distT="0" distB="0" distL="0" distR="0" wp14:anchorId="2A90BD9D" wp14:editId="42DEE6C1">
            <wp:extent cx="5400000" cy="4164064"/>
            <wp:effectExtent l="0" t="0" r="0"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0000" cy="4164064"/>
                    </a:xfrm>
                    <a:prstGeom prst="rect">
                      <a:avLst/>
                    </a:prstGeom>
                  </pic:spPr>
                </pic:pic>
              </a:graphicData>
            </a:graphic>
          </wp:inline>
        </w:drawing>
      </w:r>
    </w:p>
    <w:p w14:paraId="789D4BA6" w14:textId="56894514" w:rsidR="00A24454" w:rsidRDefault="00A24454" w:rsidP="00C32587">
      <w:pPr>
        <w:pStyle w:val="Lgende"/>
      </w:pPr>
      <w:bookmarkStart w:id="0" w:name="_Ref124320352"/>
      <w:r>
        <w:t xml:space="preserve">Figure </w:t>
      </w:r>
      <w:fldSimple w:instr=" SEQ Figure \* ARABIC ">
        <w:r w:rsidR="00C32587">
          <w:rPr>
            <w:noProof/>
          </w:rPr>
          <w:t>1</w:t>
        </w:r>
      </w:fldSimple>
      <w:bookmarkEnd w:id="0"/>
      <w:r>
        <w:t xml:space="preserve">. Nombre de textes par région selon </w:t>
      </w:r>
      <w:r w:rsidR="00C32587">
        <w:t>les localisations</w:t>
      </w:r>
      <w:r>
        <w:t xml:space="preserve"> de </w:t>
      </w:r>
      <w:proofErr w:type="spellStart"/>
      <w:r>
        <w:t>Dees</w:t>
      </w:r>
      <w:proofErr w:type="spellEnd"/>
    </w:p>
    <w:p w14:paraId="1800338D" w14:textId="292902E9" w:rsidR="00C32587" w:rsidRDefault="00C32587" w:rsidP="00C32587">
      <w:pPr>
        <w:ind w:firstLine="0"/>
        <w:jc w:val="center"/>
      </w:pPr>
      <w:r>
        <w:rPr>
          <w:noProof/>
        </w:rPr>
        <w:drawing>
          <wp:inline distT="0" distB="0" distL="0" distR="0" wp14:anchorId="115BA3BD" wp14:editId="6D215009">
            <wp:extent cx="5400000" cy="4156321"/>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00000" cy="4156321"/>
                    </a:xfrm>
                    <a:prstGeom prst="rect">
                      <a:avLst/>
                    </a:prstGeom>
                  </pic:spPr>
                </pic:pic>
              </a:graphicData>
            </a:graphic>
          </wp:inline>
        </w:drawing>
      </w:r>
    </w:p>
    <w:p w14:paraId="2561677C" w14:textId="610659EF" w:rsidR="00C32587" w:rsidRPr="00C32587" w:rsidRDefault="00C32587" w:rsidP="00C32587">
      <w:pPr>
        <w:pStyle w:val="Lgende"/>
      </w:pPr>
      <w:r>
        <w:t xml:space="preserve">Figure </w:t>
      </w:r>
      <w:fldSimple w:instr=" SEQ Figure \* ARABIC ">
        <w:r>
          <w:rPr>
            <w:noProof/>
          </w:rPr>
          <w:t>2</w:t>
        </w:r>
      </w:fldSimple>
      <w:r>
        <w:t>. Nombre de textes par région selon les localisations complétées</w:t>
      </w:r>
    </w:p>
    <w:p w14:paraId="2371A00E" w14:textId="4A2E9880" w:rsidR="005B06E2" w:rsidRDefault="005B06E2" w:rsidP="005B06E2">
      <w:r>
        <w:lastRenderedPageBreak/>
        <w:t xml:space="preserve">Par ailleurs, les </w:t>
      </w:r>
      <w:proofErr w:type="spellStart"/>
      <w:r>
        <w:t>datemoyennedees</w:t>
      </w:r>
      <w:proofErr w:type="spellEnd"/>
      <w:r>
        <w:t xml:space="preserve"> (1) ne correspondent pas, comme leur nom l’indique, à une réalité historique : sauf en cas de composition et de copie simultanée, elles correspondent à une abstraction.</w:t>
      </w:r>
    </w:p>
    <w:p w14:paraId="327A93F0" w14:textId="7195A34A" w:rsidR="005B06E2" w:rsidRDefault="005B06E2" w:rsidP="005B06E2">
      <w:r>
        <w:t xml:space="preserve">Cela dit, les localisations de compo. (2) et ms. (3) ne sont pas propres à être projetées sur une carte directement : elles cumulent plusieurs niveaux de granularité (p.ex. Canterbury et Angleterre sur le même plan), et confondent géographie et dialectologie (p.ex. Canterbury et </w:t>
      </w:r>
      <w:proofErr w:type="spellStart"/>
      <w:r>
        <w:t>agn</w:t>
      </w:r>
      <w:proofErr w:type="spellEnd"/>
      <w:r>
        <w:t>. : l’un est un lieu, l’autre un dialecte). Enfin, certaines sont trop vagues pour être cartographiées (p.ex. Ouest, Est, etc.), ou, lorsqu’elles correspondent à des aires dialectales, ne sont pas clairement identifiable à des objets géographiques situés en termes de coordonnées géospatiales, tandis que nous disposons d</w:t>
      </w:r>
      <w:r w:rsidR="00A24454">
        <w:t xml:space="preserve">e fichiers géospatiaux qui correspondent aux régions définies par </w:t>
      </w:r>
      <w:proofErr w:type="spellStart"/>
      <w:r w:rsidR="00A24454">
        <w:t>Dees</w:t>
      </w:r>
      <w:proofErr w:type="spellEnd"/>
      <w:r w:rsidR="00A24454">
        <w:t xml:space="preserve"> en géographie moderne (fichiers transmis par Guylaine Brun-</w:t>
      </w:r>
      <w:proofErr w:type="spellStart"/>
      <w:r w:rsidR="00A24454">
        <w:t>Trigaud</w:t>
      </w:r>
      <w:proofErr w:type="spellEnd"/>
      <w:r w:rsidR="00A24454">
        <w:t>).</w:t>
      </w:r>
    </w:p>
    <w:p w14:paraId="78C22EC3" w14:textId="456C27C0" w:rsidR="005B06E2" w:rsidRDefault="005B06E2" w:rsidP="005B06E2">
      <w:r>
        <w:t>Concernant les localisations, nous avons adopté l’approche suivante : nous con</w:t>
      </w:r>
      <w:r w:rsidR="00A24454">
        <w:t xml:space="preserve">servons la localisation de </w:t>
      </w:r>
      <w:proofErr w:type="spellStart"/>
      <w:r w:rsidR="00A24454">
        <w:t>Dees</w:t>
      </w:r>
      <w:proofErr w:type="spellEnd"/>
      <w:r w:rsidR="00A24454">
        <w:t xml:space="preserve"> (1) lorsque celle-ci est disponible (199 / 296 txt). À défaut, nous utilisons la localisation de composition (2), sous une forme normée ( ??). Lorsque la localisation de composition est également manquante, nous utilisons la localisation du ms (3). Ce faisant, seuls 10 textes demeurent sans localisation. Cette méthode, qui combine des localisations de trois natures différentes, ne semble pas poser </w:t>
      </w:r>
      <w:proofErr w:type="gramStart"/>
      <w:r w:rsidR="00A24454">
        <w:t>problème</w:t>
      </w:r>
      <w:proofErr w:type="gramEnd"/>
      <w:r w:rsidR="00A24454">
        <w:t xml:space="preserve">, dans la mesure où, comme illustré </w:t>
      </w:r>
      <w:r w:rsidR="00A24454">
        <w:rPr>
          <w:i/>
          <w:iCs/>
        </w:rPr>
        <w:t>infra</w:t>
      </w:r>
      <w:r w:rsidR="00A24454">
        <w:t>, elle ne change fondamentalement les résultats que lorsqu’une région dispose de très peu de textes ; lorsqu’une région dispose d’un nombre de textes supérieurs à 5 ou 10, les résultats ne varient que marginalement. Il y a donc une cohérence linguistique assez bonne entre les trois jeux de données, ce qui autorise à appuyer une analyse sur leur mélange.</w:t>
      </w:r>
    </w:p>
    <w:p w14:paraId="613DC1BF" w14:textId="1D48348C" w:rsidR="00A24454" w:rsidRPr="00A24454" w:rsidRDefault="00A24454" w:rsidP="005B06E2">
      <w:pPr>
        <w:rPr>
          <w:i/>
          <w:iCs/>
        </w:rPr>
      </w:pPr>
      <w:r>
        <w:t xml:space="preserve">Concernant la date, nous avons retenu la date de composition (2). Tel que développé </w:t>
      </w:r>
      <w:r>
        <w:rPr>
          <w:i/>
          <w:iCs/>
        </w:rPr>
        <w:t>infra</w:t>
      </w:r>
      <w:r>
        <w:t>, l’analyse des premières apparitions de la forme à hiatus interne réduit montre que c’est bien la date de composition qui offre la meilleure homogénéité, tandis que la date des ms. peut varier amplement.</w:t>
      </w:r>
    </w:p>
    <w:p w14:paraId="43F59D21" w14:textId="3B97E7DD" w:rsidR="00A11FF5" w:rsidRDefault="00A11FF5" w:rsidP="00A11FF5">
      <w:pPr>
        <w:pStyle w:val="Titre1"/>
      </w:pPr>
      <w:r>
        <w:t>Schwas en hiatus internes</w:t>
      </w:r>
    </w:p>
    <w:p w14:paraId="4DA6E79F" w14:textId="0197DA71" w:rsidR="00A11FF5" w:rsidRDefault="00A11FF5" w:rsidP="00A11FF5">
      <w:r>
        <w:t>Les 8 lemmes sélectionnés sont :</w:t>
      </w:r>
    </w:p>
    <w:p w14:paraId="39A3C9D0" w14:textId="187E8B58" w:rsidR="00A11FF5" w:rsidRDefault="00A11FF5" w:rsidP="00A11FF5">
      <w:pPr>
        <w:pStyle w:val="Paragraphedeliste"/>
        <w:numPr>
          <w:ilvl w:val="0"/>
          <w:numId w:val="4"/>
        </w:numPr>
      </w:pPr>
      <w:proofErr w:type="spellStart"/>
      <w:r>
        <w:t>Abeesse</w:t>
      </w:r>
      <w:proofErr w:type="spellEnd"/>
      <w:r>
        <w:t xml:space="preserve"> (24 </w:t>
      </w:r>
      <w:proofErr w:type="spellStart"/>
      <w:r>
        <w:t>occ</w:t>
      </w:r>
      <w:proofErr w:type="spellEnd"/>
      <w:r w:rsidR="004D3D7D">
        <w:t>.</w:t>
      </w:r>
      <w:r>
        <w:t xml:space="preserve">) ~ </w:t>
      </w:r>
      <w:proofErr w:type="spellStart"/>
      <w:r>
        <w:t>abesse</w:t>
      </w:r>
      <w:proofErr w:type="spellEnd"/>
      <w:r>
        <w:t xml:space="preserve"> (14 </w:t>
      </w:r>
      <w:proofErr w:type="spellStart"/>
      <w:r>
        <w:t>occ</w:t>
      </w:r>
      <w:proofErr w:type="spellEnd"/>
      <w:r>
        <w:t>.)</w:t>
      </w:r>
    </w:p>
    <w:p w14:paraId="4388035C" w14:textId="68121362" w:rsidR="00A11FF5" w:rsidRDefault="00A11FF5" w:rsidP="00A11FF5">
      <w:pPr>
        <w:pStyle w:val="Paragraphedeliste"/>
        <w:numPr>
          <w:ilvl w:val="0"/>
          <w:numId w:val="4"/>
        </w:numPr>
      </w:pPr>
      <w:proofErr w:type="spellStart"/>
      <w:r>
        <w:t>Armeure</w:t>
      </w:r>
      <w:proofErr w:type="spellEnd"/>
      <w:r>
        <w:t xml:space="preserve"> (</w:t>
      </w:r>
      <w:r w:rsidR="004D3D7D">
        <w:t xml:space="preserve">82 </w:t>
      </w:r>
      <w:proofErr w:type="spellStart"/>
      <w:r w:rsidR="004D3D7D">
        <w:t>occ</w:t>
      </w:r>
      <w:proofErr w:type="spellEnd"/>
      <w:r w:rsidR="004D3D7D">
        <w:t>.)</w:t>
      </w:r>
      <w:r>
        <w:t xml:space="preserve"> ~ armure</w:t>
      </w:r>
      <w:r w:rsidR="004D3D7D">
        <w:t xml:space="preserve"> (9 </w:t>
      </w:r>
      <w:proofErr w:type="spellStart"/>
      <w:r w:rsidR="004D3D7D">
        <w:t>occ</w:t>
      </w:r>
      <w:proofErr w:type="spellEnd"/>
      <w:r w:rsidR="004D3D7D">
        <w:t>.)</w:t>
      </w:r>
    </w:p>
    <w:p w14:paraId="5CA8FC87" w14:textId="1CF687A3" w:rsidR="00A11FF5" w:rsidRDefault="00A11FF5" w:rsidP="00A11FF5">
      <w:pPr>
        <w:pStyle w:val="Paragraphedeliste"/>
        <w:numPr>
          <w:ilvl w:val="0"/>
          <w:numId w:val="4"/>
        </w:numPr>
      </w:pPr>
      <w:proofErr w:type="spellStart"/>
      <w:r>
        <w:t>Cheveleure</w:t>
      </w:r>
      <w:proofErr w:type="spellEnd"/>
      <w:r w:rsidR="004D3D7D">
        <w:t xml:space="preserve"> (1</w:t>
      </w:r>
      <w:r w:rsidR="009935DE">
        <w:t>1</w:t>
      </w:r>
      <w:r w:rsidR="004D3D7D">
        <w:t xml:space="preserve"> </w:t>
      </w:r>
      <w:proofErr w:type="spellStart"/>
      <w:r w:rsidR="004D3D7D">
        <w:t>occ</w:t>
      </w:r>
      <w:proofErr w:type="spellEnd"/>
      <w:r w:rsidR="004D3D7D">
        <w:t>.)</w:t>
      </w:r>
      <w:r>
        <w:t xml:space="preserve"> ~ chevelure</w:t>
      </w:r>
      <w:r w:rsidR="004D3D7D">
        <w:t xml:space="preserve"> (5 </w:t>
      </w:r>
      <w:proofErr w:type="spellStart"/>
      <w:r w:rsidR="004D3D7D">
        <w:t>occ</w:t>
      </w:r>
      <w:proofErr w:type="spellEnd"/>
      <w:r w:rsidR="004D3D7D">
        <w:t>.)</w:t>
      </w:r>
    </w:p>
    <w:p w14:paraId="27B48BD7" w14:textId="7B7C1B60" w:rsidR="00A11FF5" w:rsidRDefault="00A24454" w:rsidP="00A11FF5">
      <w:pPr>
        <w:pStyle w:val="Paragraphedeliste"/>
        <w:numPr>
          <w:ilvl w:val="0"/>
          <w:numId w:val="4"/>
        </w:numPr>
      </w:pPr>
      <w:proofErr w:type="spellStart"/>
      <w:r>
        <w:t>M</w:t>
      </w:r>
      <w:r w:rsidR="00A11FF5">
        <w:t>archeant</w:t>
      </w:r>
      <w:proofErr w:type="spellEnd"/>
      <w:r w:rsidR="004D3D7D">
        <w:t xml:space="preserve"> (1</w:t>
      </w:r>
      <w:r w:rsidR="009935DE">
        <w:t>79</w:t>
      </w:r>
      <w:r w:rsidR="004D3D7D">
        <w:t xml:space="preserve"> </w:t>
      </w:r>
      <w:proofErr w:type="spellStart"/>
      <w:r w:rsidR="004D3D7D">
        <w:t>occ</w:t>
      </w:r>
      <w:proofErr w:type="spellEnd"/>
      <w:r w:rsidR="004D3D7D">
        <w:t>.)</w:t>
      </w:r>
      <w:r w:rsidR="00C41C28">
        <w:t xml:space="preserve"> ~ </w:t>
      </w:r>
      <w:r>
        <w:t>m</w:t>
      </w:r>
      <w:r w:rsidR="00C41C28">
        <w:t xml:space="preserve">archant (21 </w:t>
      </w:r>
      <w:proofErr w:type="spellStart"/>
      <w:r w:rsidR="00C41C28">
        <w:t>occ</w:t>
      </w:r>
      <w:proofErr w:type="spellEnd"/>
      <w:r w:rsidR="00C41C28">
        <w:t>.)</w:t>
      </w:r>
    </w:p>
    <w:p w14:paraId="5BCFD5E6" w14:textId="6C4B428D" w:rsidR="00A11FF5" w:rsidRDefault="00A11FF5" w:rsidP="00A11FF5">
      <w:pPr>
        <w:pStyle w:val="Paragraphedeliste"/>
        <w:numPr>
          <w:ilvl w:val="0"/>
          <w:numId w:val="4"/>
        </w:numPr>
      </w:pPr>
      <w:proofErr w:type="spellStart"/>
      <w:r>
        <w:t>Mienuit</w:t>
      </w:r>
      <w:proofErr w:type="spellEnd"/>
      <w:r w:rsidR="004D3D7D">
        <w:t xml:space="preserve"> (5</w:t>
      </w:r>
      <w:r w:rsidR="009935DE">
        <w:t>4</w:t>
      </w:r>
      <w:r w:rsidR="004D3D7D">
        <w:t xml:space="preserve"> </w:t>
      </w:r>
      <w:proofErr w:type="spellStart"/>
      <w:r w:rsidR="004D3D7D">
        <w:t>occ</w:t>
      </w:r>
      <w:proofErr w:type="spellEnd"/>
      <w:r w:rsidR="004D3D7D">
        <w:t>.)</w:t>
      </w:r>
      <w:r>
        <w:t xml:space="preserve"> ~ minuit</w:t>
      </w:r>
      <w:r w:rsidR="004D3D7D">
        <w:t xml:space="preserve"> (1 </w:t>
      </w:r>
      <w:proofErr w:type="spellStart"/>
      <w:r w:rsidR="004D3D7D">
        <w:t>occ</w:t>
      </w:r>
      <w:proofErr w:type="spellEnd"/>
      <w:r w:rsidR="004D3D7D">
        <w:t>.)</w:t>
      </w:r>
    </w:p>
    <w:p w14:paraId="38BB694C" w14:textId="54D53D75" w:rsidR="00A11FF5" w:rsidRDefault="00A11FF5" w:rsidP="00A11FF5">
      <w:pPr>
        <w:pStyle w:val="Paragraphedeliste"/>
        <w:numPr>
          <w:ilvl w:val="0"/>
          <w:numId w:val="4"/>
        </w:numPr>
      </w:pPr>
      <w:proofErr w:type="spellStart"/>
      <w:r>
        <w:t>Mireoir</w:t>
      </w:r>
      <w:proofErr w:type="spellEnd"/>
      <w:r>
        <w:t xml:space="preserve"> </w:t>
      </w:r>
      <w:r w:rsidR="004D3D7D">
        <w:t xml:space="preserve">(15 </w:t>
      </w:r>
      <w:proofErr w:type="spellStart"/>
      <w:r w:rsidR="004D3D7D">
        <w:t>occ</w:t>
      </w:r>
      <w:proofErr w:type="spellEnd"/>
      <w:r w:rsidR="004D3D7D">
        <w:t xml:space="preserve">.) </w:t>
      </w:r>
      <w:r>
        <w:t>~ miroir</w:t>
      </w:r>
      <w:r w:rsidR="004D3D7D">
        <w:t xml:space="preserve"> (8 </w:t>
      </w:r>
      <w:proofErr w:type="spellStart"/>
      <w:r w:rsidR="004D3D7D">
        <w:t>occ</w:t>
      </w:r>
      <w:proofErr w:type="spellEnd"/>
      <w:r w:rsidR="004D3D7D">
        <w:t>.)</w:t>
      </w:r>
    </w:p>
    <w:p w14:paraId="610431C8" w14:textId="79ED63B6" w:rsidR="00A11FF5" w:rsidRDefault="00A11FF5" w:rsidP="00A11FF5">
      <w:pPr>
        <w:pStyle w:val="Paragraphedeliste"/>
        <w:numPr>
          <w:ilvl w:val="0"/>
          <w:numId w:val="4"/>
        </w:numPr>
      </w:pPr>
      <w:proofErr w:type="spellStart"/>
      <w:r>
        <w:t>Par</w:t>
      </w:r>
      <w:r w:rsidR="004D3D7D">
        <w:t>e</w:t>
      </w:r>
      <w:r>
        <w:t>ïs</w:t>
      </w:r>
      <w:proofErr w:type="spellEnd"/>
      <w:r>
        <w:t xml:space="preserve"> </w:t>
      </w:r>
      <w:r w:rsidR="004D3D7D">
        <w:t>(7</w:t>
      </w:r>
      <w:r w:rsidR="009935DE">
        <w:t>6</w:t>
      </w:r>
      <w:r w:rsidR="004D3D7D">
        <w:t xml:space="preserve"> </w:t>
      </w:r>
      <w:proofErr w:type="spellStart"/>
      <w:r w:rsidR="004D3D7D">
        <w:t>occ</w:t>
      </w:r>
      <w:proofErr w:type="spellEnd"/>
      <w:r w:rsidR="004D3D7D">
        <w:t xml:space="preserve">.) </w:t>
      </w:r>
      <w:r>
        <w:t>~ parvis</w:t>
      </w:r>
      <w:r w:rsidR="004D3D7D">
        <w:t xml:space="preserve"> (2 </w:t>
      </w:r>
      <w:proofErr w:type="spellStart"/>
      <w:r w:rsidR="004D3D7D">
        <w:t>occ</w:t>
      </w:r>
      <w:proofErr w:type="spellEnd"/>
      <w:r w:rsidR="004D3D7D">
        <w:t>.)</w:t>
      </w:r>
    </w:p>
    <w:p w14:paraId="3D9F34CB" w14:textId="1CB0871B" w:rsidR="00A11FF5" w:rsidRDefault="00A11FF5" w:rsidP="00A11FF5">
      <w:pPr>
        <w:pStyle w:val="Paragraphedeliste"/>
        <w:numPr>
          <w:ilvl w:val="0"/>
          <w:numId w:val="4"/>
        </w:numPr>
      </w:pPr>
      <w:proofErr w:type="spellStart"/>
      <w:r>
        <w:t>Pecheeur</w:t>
      </w:r>
      <w:proofErr w:type="spellEnd"/>
      <w:r>
        <w:t xml:space="preserve"> </w:t>
      </w:r>
      <w:r w:rsidR="004D3D7D">
        <w:t>(18</w:t>
      </w:r>
      <w:r w:rsidR="009935DE">
        <w:t>5</w:t>
      </w:r>
      <w:r w:rsidR="004D3D7D">
        <w:t xml:space="preserve"> </w:t>
      </w:r>
      <w:proofErr w:type="spellStart"/>
      <w:r w:rsidR="004D3D7D">
        <w:t>occ</w:t>
      </w:r>
      <w:proofErr w:type="spellEnd"/>
      <w:r w:rsidR="004D3D7D">
        <w:t xml:space="preserve">.) </w:t>
      </w:r>
      <w:r>
        <w:t xml:space="preserve">~ </w:t>
      </w:r>
      <w:proofErr w:type="spellStart"/>
      <w:r>
        <w:t>pecheur</w:t>
      </w:r>
      <w:proofErr w:type="spellEnd"/>
      <w:r w:rsidR="004D3D7D">
        <w:t xml:space="preserve"> (8</w:t>
      </w:r>
      <w:r w:rsidR="009935DE">
        <w:t>4</w:t>
      </w:r>
      <w:r w:rsidR="004D3D7D">
        <w:t xml:space="preserve"> </w:t>
      </w:r>
      <w:proofErr w:type="spellStart"/>
      <w:r w:rsidR="004D3D7D">
        <w:t>occ</w:t>
      </w:r>
      <w:proofErr w:type="spellEnd"/>
      <w:r w:rsidR="004D3D7D">
        <w:t>.)</w:t>
      </w:r>
    </w:p>
    <w:p w14:paraId="754D0A62" w14:textId="3AF523F2" w:rsidR="00F42DF5" w:rsidRDefault="004D3D7D" w:rsidP="00C41C28">
      <w:r>
        <w:t xml:space="preserve">Soit </w:t>
      </w:r>
      <w:r w:rsidR="009935DE">
        <w:t>770</w:t>
      </w:r>
      <w:r>
        <w:t xml:space="preserve"> occurrences avant traitement par le script R. Celui-ci retire 5</w:t>
      </w:r>
      <w:r w:rsidR="004C28F6">
        <w:t xml:space="preserve"> occurrences</w:t>
      </w:r>
      <w:r w:rsidR="00057D2C">
        <w:t xml:space="preserve"> par groupe</w:t>
      </w:r>
      <w:r>
        <w:t xml:space="preserve"> situées dans les textes les plus tardifs</w:t>
      </w:r>
      <w:r w:rsidR="00057D2C">
        <w:t xml:space="preserve"> (=760).</w:t>
      </w:r>
      <w:r w:rsidR="00C41C28">
        <w:t xml:space="preserve"> Soit, avant traitement, 626 </w:t>
      </w:r>
      <w:proofErr w:type="spellStart"/>
      <w:r w:rsidR="00C41C28">
        <w:t>occ</w:t>
      </w:r>
      <w:proofErr w:type="spellEnd"/>
      <w:r w:rsidR="00C41C28">
        <w:t xml:space="preserve">. </w:t>
      </w:r>
      <w:proofErr w:type="gramStart"/>
      <w:r w:rsidR="00C41C28">
        <w:t>hiatiques</w:t>
      </w:r>
      <w:proofErr w:type="gramEnd"/>
      <w:r w:rsidR="00C41C28">
        <w:t xml:space="preserve"> et 144 </w:t>
      </w:r>
      <w:proofErr w:type="spellStart"/>
      <w:r w:rsidR="00C41C28">
        <w:t>occ</w:t>
      </w:r>
      <w:proofErr w:type="spellEnd"/>
      <w:r w:rsidR="00C41C28">
        <w:t xml:space="preserve">. </w:t>
      </w:r>
      <w:proofErr w:type="gramStart"/>
      <w:r w:rsidR="00C41C28">
        <w:t>non</w:t>
      </w:r>
      <w:proofErr w:type="gramEnd"/>
      <w:r w:rsidR="00C41C28">
        <w:t xml:space="preserve"> hiatiques.</w:t>
      </w:r>
    </w:p>
    <w:p w14:paraId="6970C970" w14:textId="0B32A26E" w:rsidR="0049107E" w:rsidRDefault="0049107E" w:rsidP="0049107E">
      <w:pPr>
        <w:pStyle w:val="Titre2"/>
      </w:pPr>
      <w:r>
        <w:lastRenderedPageBreak/>
        <w:t>Distribution diachronique</w:t>
      </w:r>
    </w:p>
    <w:p w14:paraId="2CFED6EC" w14:textId="77777777" w:rsidR="00C86D43" w:rsidRDefault="00C41C28" w:rsidP="00C41C28">
      <w:r>
        <w:t xml:space="preserve">Les premières occurrences de réduction du hiatus apparaissent dans </w:t>
      </w:r>
      <w:r>
        <w:rPr>
          <w:i/>
          <w:iCs/>
        </w:rPr>
        <w:t>psautier</w:t>
      </w:r>
      <w:r>
        <w:t xml:space="preserve">, un texte anglo-normand du début du XIIe s. (compo. 1125, ms 1150), avec 9 formes </w:t>
      </w:r>
      <w:proofErr w:type="spellStart"/>
      <w:r>
        <w:rPr>
          <w:i/>
          <w:iCs/>
        </w:rPr>
        <w:t>pecheur</w:t>
      </w:r>
      <w:proofErr w:type="spellEnd"/>
      <w:r>
        <w:rPr>
          <w:i/>
          <w:iCs/>
        </w:rPr>
        <w:t>(s)</w:t>
      </w:r>
      <w:r>
        <w:t xml:space="preserve"> pour </w:t>
      </w:r>
      <w:proofErr w:type="spellStart"/>
      <w:r>
        <w:rPr>
          <w:i/>
          <w:iCs/>
        </w:rPr>
        <w:t>pecheeur</w:t>
      </w:r>
      <w:proofErr w:type="spellEnd"/>
      <w:r>
        <w:rPr>
          <w:i/>
          <w:iCs/>
        </w:rPr>
        <w:t>(s)</w:t>
      </w:r>
      <w:r>
        <w:t>. La réduction apparaît ensuite</w:t>
      </w:r>
      <w:r w:rsidR="00C86D43">
        <w:t> :</w:t>
      </w:r>
    </w:p>
    <w:p w14:paraId="42341202" w14:textId="77777777" w:rsidR="00C86D43" w:rsidRDefault="00C41C28" w:rsidP="00C86D43">
      <w:pPr>
        <w:pStyle w:val="Paragraphedeliste"/>
        <w:numPr>
          <w:ilvl w:val="0"/>
          <w:numId w:val="5"/>
        </w:numPr>
      </w:pPr>
      <w:proofErr w:type="gramStart"/>
      <w:r>
        <w:t>pour</w:t>
      </w:r>
      <w:proofErr w:type="gramEnd"/>
      <w:r>
        <w:t xml:space="preserve"> le lemme </w:t>
      </w:r>
      <w:proofErr w:type="spellStart"/>
      <w:r w:rsidRPr="00C86D43">
        <w:rPr>
          <w:i/>
          <w:iCs/>
        </w:rPr>
        <w:t>marcheant</w:t>
      </w:r>
      <w:proofErr w:type="spellEnd"/>
      <w:r>
        <w:t xml:space="preserve"> avec quatre formes </w:t>
      </w:r>
      <w:r w:rsidRPr="00C86D43">
        <w:rPr>
          <w:i/>
          <w:iCs/>
        </w:rPr>
        <w:t>marchant</w:t>
      </w:r>
      <w:r>
        <w:t xml:space="preserve"> ou </w:t>
      </w:r>
      <w:proofErr w:type="spellStart"/>
      <w:r w:rsidRPr="00C86D43">
        <w:rPr>
          <w:i/>
          <w:iCs/>
        </w:rPr>
        <w:t>marchans</w:t>
      </w:r>
      <w:proofErr w:type="spellEnd"/>
      <w:r>
        <w:t xml:space="preserve"> dans </w:t>
      </w:r>
      <w:proofErr w:type="spellStart"/>
      <w:r w:rsidRPr="00C86D43">
        <w:rPr>
          <w:i/>
          <w:iCs/>
        </w:rPr>
        <w:t>nimc</w:t>
      </w:r>
      <w:proofErr w:type="spellEnd"/>
      <w:r>
        <w:t xml:space="preserve"> et </w:t>
      </w:r>
      <w:proofErr w:type="spellStart"/>
      <w:r w:rsidRPr="00C86D43">
        <w:rPr>
          <w:i/>
          <w:iCs/>
        </w:rPr>
        <w:t>nimd</w:t>
      </w:r>
      <w:proofErr w:type="spellEnd"/>
      <w:r w:rsidR="00C86D43">
        <w:t xml:space="preserve">, deux ms. du </w:t>
      </w:r>
      <w:r w:rsidR="00C86D43" w:rsidRPr="00C86D43">
        <w:rPr>
          <w:i/>
          <w:iCs/>
        </w:rPr>
        <w:t>Charroi de Nîmes</w:t>
      </w:r>
      <w:r w:rsidR="00C86D43">
        <w:t> ;</w:t>
      </w:r>
    </w:p>
    <w:p w14:paraId="2B48AB78" w14:textId="77777777" w:rsidR="00C86D43" w:rsidRDefault="00C86D43" w:rsidP="00C86D43">
      <w:pPr>
        <w:pStyle w:val="Paragraphedeliste"/>
        <w:numPr>
          <w:ilvl w:val="1"/>
          <w:numId w:val="5"/>
        </w:numPr>
      </w:pPr>
      <w:proofErr w:type="spellStart"/>
      <w:proofErr w:type="gramStart"/>
      <w:r w:rsidRPr="00C86D43">
        <w:rPr>
          <w:i/>
          <w:iCs/>
        </w:rPr>
        <w:t>nimc</w:t>
      </w:r>
      <w:proofErr w:type="spellEnd"/>
      <w:proofErr w:type="gramEnd"/>
      <w:r>
        <w:t xml:space="preserve"> est </w:t>
      </w:r>
      <w:proofErr w:type="spellStart"/>
      <w:r>
        <w:t>artois</w:t>
      </w:r>
      <w:proofErr w:type="spellEnd"/>
      <w:r>
        <w:t xml:space="preserve"> et date de 1150 compo. (1295 ms) ;</w:t>
      </w:r>
    </w:p>
    <w:p w14:paraId="3381BE04" w14:textId="1DE6D93C" w:rsidR="00C41C28" w:rsidRDefault="00C86D43" w:rsidP="00C86D43">
      <w:pPr>
        <w:pStyle w:val="Paragraphedeliste"/>
        <w:numPr>
          <w:ilvl w:val="1"/>
          <w:numId w:val="5"/>
        </w:numPr>
      </w:pPr>
      <w:proofErr w:type="spellStart"/>
      <w:proofErr w:type="gramStart"/>
      <w:r w:rsidRPr="00C86D43">
        <w:rPr>
          <w:i/>
          <w:iCs/>
        </w:rPr>
        <w:t>nimd</w:t>
      </w:r>
      <w:proofErr w:type="spellEnd"/>
      <w:proofErr w:type="gramEnd"/>
      <w:r>
        <w:t xml:space="preserve"> est meusien et date de 1150 compo. (1275 ms.).</w:t>
      </w:r>
    </w:p>
    <w:p w14:paraId="3B285211" w14:textId="77777777" w:rsidR="00C86D43" w:rsidRDefault="00C86D43" w:rsidP="00C86D43">
      <w:pPr>
        <w:pStyle w:val="Paragraphedeliste"/>
        <w:numPr>
          <w:ilvl w:val="0"/>
          <w:numId w:val="5"/>
        </w:numPr>
      </w:pPr>
      <w:proofErr w:type="gramStart"/>
      <w:r>
        <w:t>de</w:t>
      </w:r>
      <w:proofErr w:type="gramEnd"/>
      <w:r>
        <w:t xml:space="preserve"> nouveau pour le lemme </w:t>
      </w:r>
      <w:proofErr w:type="spellStart"/>
      <w:r>
        <w:rPr>
          <w:i/>
          <w:iCs/>
        </w:rPr>
        <w:t>pecheeur</w:t>
      </w:r>
      <w:proofErr w:type="spellEnd"/>
      <w:r>
        <w:t xml:space="preserve"> avec</w:t>
      </w:r>
    </w:p>
    <w:p w14:paraId="3C28A6F1" w14:textId="39469FA3" w:rsidR="00C86D43" w:rsidRDefault="00C86D43" w:rsidP="00C86D43">
      <w:pPr>
        <w:pStyle w:val="Paragraphedeliste"/>
        <w:numPr>
          <w:ilvl w:val="1"/>
          <w:numId w:val="5"/>
        </w:numPr>
      </w:pPr>
      <w:r>
        <w:t xml:space="preserve">11 formes </w:t>
      </w:r>
      <w:proofErr w:type="spellStart"/>
      <w:r>
        <w:rPr>
          <w:i/>
          <w:iCs/>
        </w:rPr>
        <w:t>pecheur</w:t>
      </w:r>
      <w:proofErr w:type="spellEnd"/>
      <w:r>
        <w:rPr>
          <w:i/>
          <w:iCs/>
        </w:rPr>
        <w:t>(s)</w:t>
      </w:r>
      <w:r>
        <w:t xml:space="preserve"> dans teo2, texte anglo-normand, compo. 1150, ms. 1210.</w:t>
      </w:r>
    </w:p>
    <w:p w14:paraId="6566F705" w14:textId="4941789B" w:rsidR="00C86D43" w:rsidRDefault="00C86D43" w:rsidP="00C86D43">
      <w:pPr>
        <w:pStyle w:val="Paragraphedeliste"/>
        <w:numPr>
          <w:ilvl w:val="1"/>
          <w:numId w:val="5"/>
        </w:numPr>
      </w:pPr>
      <w:r>
        <w:t xml:space="preserve">2 formes </w:t>
      </w:r>
      <w:proofErr w:type="spellStart"/>
      <w:r>
        <w:rPr>
          <w:i/>
          <w:iCs/>
        </w:rPr>
        <w:t>pecheur</w:t>
      </w:r>
      <w:proofErr w:type="spellEnd"/>
      <w:r>
        <w:rPr>
          <w:i/>
          <w:iCs/>
        </w:rPr>
        <w:t>(s)</w:t>
      </w:r>
      <w:r>
        <w:t xml:space="preserve"> dans </w:t>
      </w:r>
      <w:proofErr w:type="spellStart"/>
      <w:r>
        <w:t>yonecH</w:t>
      </w:r>
      <w:proofErr w:type="spellEnd"/>
      <w:r>
        <w:rPr>
          <w:rStyle w:val="Appelnotedebasdep"/>
        </w:rPr>
        <w:footnoteReference w:id="1"/>
      </w:r>
      <w:r>
        <w:t>, compo. 1165, ms. 1275.</w:t>
      </w:r>
    </w:p>
    <w:p w14:paraId="6FBCA1CE" w14:textId="200CC8BB" w:rsidR="00C86D43" w:rsidRDefault="00C86D43" w:rsidP="00C86D43">
      <w:pPr>
        <w:pStyle w:val="Paragraphedeliste"/>
        <w:numPr>
          <w:ilvl w:val="0"/>
          <w:numId w:val="5"/>
        </w:numPr>
      </w:pPr>
      <w:r>
        <w:t xml:space="preserve">Pour les lemmes </w:t>
      </w:r>
      <w:proofErr w:type="spellStart"/>
      <w:r>
        <w:rPr>
          <w:i/>
          <w:iCs/>
        </w:rPr>
        <w:t>armeure</w:t>
      </w:r>
      <w:proofErr w:type="spellEnd"/>
      <w:r>
        <w:t xml:space="preserve"> et </w:t>
      </w:r>
      <w:proofErr w:type="spellStart"/>
      <w:r>
        <w:rPr>
          <w:i/>
          <w:iCs/>
        </w:rPr>
        <w:t>cheveleure</w:t>
      </w:r>
      <w:proofErr w:type="spellEnd"/>
      <w:r>
        <w:rPr>
          <w:i/>
          <w:iCs/>
        </w:rPr>
        <w:t xml:space="preserve"> </w:t>
      </w:r>
      <w:r>
        <w:t>avec reis</w:t>
      </w:r>
      <w:r w:rsidR="00C20C4F">
        <w:rPr>
          <w:rStyle w:val="Appelnotedebasdep"/>
        </w:rPr>
        <w:footnoteReference w:id="2"/>
      </w:r>
      <w:r>
        <w:t xml:space="preserve">, </w:t>
      </w:r>
      <w:r w:rsidR="00C20C4F">
        <w:t xml:space="preserve">texte anglo-normand, compo. 1175, ms. 1190. Ce ms. contient aussi 2 formes </w:t>
      </w:r>
      <w:r w:rsidR="00C20C4F">
        <w:rPr>
          <w:i/>
          <w:iCs/>
        </w:rPr>
        <w:t>marchant</w:t>
      </w:r>
      <w:r w:rsidR="00C20C4F">
        <w:t xml:space="preserve"> et une forme </w:t>
      </w:r>
      <w:proofErr w:type="spellStart"/>
      <w:r w:rsidR="00C20C4F">
        <w:rPr>
          <w:i/>
          <w:iCs/>
        </w:rPr>
        <w:t>pecheurs</w:t>
      </w:r>
      <w:proofErr w:type="spellEnd"/>
      <w:r w:rsidR="00C20C4F">
        <w:t>.</w:t>
      </w:r>
    </w:p>
    <w:p w14:paraId="257D6A1A" w14:textId="7C697FB4" w:rsidR="00C20C4F" w:rsidRDefault="00C20C4F" w:rsidP="00C20C4F">
      <w:pPr>
        <w:pStyle w:val="Paragraphedeliste"/>
        <w:numPr>
          <w:ilvl w:val="1"/>
          <w:numId w:val="5"/>
        </w:numPr>
      </w:pPr>
      <w:r>
        <w:t xml:space="preserve">Il faut donc retenir la date de compo. </w:t>
      </w:r>
      <w:proofErr w:type="gramStart"/>
      <w:r>
        <w:t>et</w:t>
      </w:r>
      <w:proofErr w:type="gramEnd"/>
      <w:r>
        <w:t xml:space="preserve"> non la date du ms., puisque ce texte a un faible écart compo-ms. et est cohérent avec la date de compo des autres textes mais non avec leur date de ms.</w:t>
      </w:r>
      <w:r w:rsidR="00F75ADD">
        <w:t xml:space="preserve"> Même pattern pour </w:t>
      </w:r>
      <w:r w:rsidR="00F75ADD">
        <w:rPr>
          <w:i/>
          <w:iCs/>
        </w:rPr>
        <w:t>psautier</w:t>
      </w:r>
      <w:r w:rsidR="00F75ADD">
        <w:t>, texte des premières occurrences.</w:t>
      </w:r>
    </w:p>
    <w:p w14:paraId="64B67F81" w14:textId="30C1877D" w:rsidR="00C20C4F" w:rsidRDefault="00C20C4F" w:rsidP="00C20C4F">
      <w:pPr>
        <w:pStyle w:val="Paragraphedeliste"/>
        <w:numPr>
          <w:ilvl w:val="0"/>
          <w:numId w:val="5"/>
        </w:numPr>
      </w:pPr>
      <w:r>
        <w:t xml:space="preserve">Le lemme </w:t>
      </w:r>
      <w:proofErr w:type="spellStart"/>
      <w:r>
        <w:rPr>
          <w:i/>
          <w:iCs/>
        </w:rPr>
        <w:t>mienuit</w:t>
      </w:r>
      <w:proofErr w:type="spellEnd"/>
      <w:r>
        <w:t xml:space="preserve"> n’apparaît syncopé qu’à partir de </w:t>
      </w:r>
      <w:proofErr w:type="spellStart"/>
      <w:r>
        <w:t>gerv</w:t>
      </w:r>
      <w:proofErr w:type="spellEnd"/>
      <w:r>
        <w:rPr>
          <w:rStyle w:val="Appelnotedebasdep"/>
        </w:rPr>
        <w:footnoteReference w:id="3"/>
      </w:r>
      <w:r>
        <w:t xml:space="preserve">, texte bourguignon, compo. 1210, ms. 1275. Ce texte ne contient qu’une seule forme syncopée, </w:t>
      </w:r>
      <w:r>
        <w:rPr>
          <w:i/>
          <w:iCs/>
        </w:rPr>
        <w:t>minuit</w:t>
      </w:r>
      <w:r>
        <w:t>.</w:t>
      </w:r>
    </w:p>
    <w:p w14:paraId="17ABB46B" w14:textId="5F47906F" w:rsidR="00C20C4F" w:rsidRDefault="00C20C4F" w:rsidP="00C20C4F">
      <w:pPr>
        <w:pStyle w:val="Paragraphedeliste"/>
        <w:numPr>
          <w:ilvl w:val="0"/>
          <w:numId w:val="5"/>
        </w:numPr>
      </w:pPr>
      <w:r>
        <w:t xml:space="preserve">Le lemme </w:t>
      </w:r>
      <w:proofErr w:type="spellStart"/>
      <w:r>
        <w:rPr>
          <w:i/>
          <w:iCs/>
        </w:rPr>
        <w:t>par</w:t>
      </w:r>
      <w:r w:rsidR="00F75ADD">
        <w:rPr>
          <w:i/>
          <w:iCs/>
        </w:rPr>
        <w:t>e</w:t>
      </w:r>
      <w:r>
        <w:rPr>
          <w:i/>
          <w:iCs/>
        </w:rPr>
        <w:t>is</w:t>
      </w:r>
      <w:proofErr w:type="spellEnd"/>
      <w:r>
        <w:t xml:space="preserve"> n’apparaît syncopé qu’à partir de </w:t>
      </w:r>
      <w:proofErr w:type="spellStart"/>
      <w:r>
        <w:rPr>
          <w:i/>
          <w:iCs/>
        </w:rPr>
        <w:t>barril</w:t>
      </w:r>
      <w:proofErr w:type="spellEnd"/>
      <w:r w:rsidRPr="00C20C4F">
        <w:rPr>
          <w:rStyle w:val="Appelnotedebasdep"/>
        </w:rPr>
        <w:footnoteReference w:id="4"/>
      </w:r>
      <w:r w:rsidRPr="00C20C4F">
        <w:t>, texte</w:t>
      </w:r>
      <w:r>
        <w:t xml:space="preserve"> orléanais, compo. 1218, ms. 1317. Ce texte ne contient qu’une seule forme syncopée, </w:t>
      </w:r>
      <w:r>
        <w:rPr>
          <w:i/>
          <w:iCs/>
        </w:rPr>
        <w:t>parvis</w:t>
      </w:r>
      <w:r>
        <w:t>.</w:t>
      </w:r>
    </w:p>
    <w:p w14:paraId="0700CC4A" w14:textId="19737D81" w:rsidR="00C20C4F" w:rsidRDefault="00C20C4F" w:rsidP="00C20C4F">
      <w:pPr>
        <w:pStyle w:val="Paragraphedeliste"/>
        <w:numPr>
          <w:ilvl w:val="0"/>
          <w:numId w:val="5"/>
        </w:numPr>
      </w:pPr>
      <w:r>
        <w:t xml:space="preserve">Le lemme </w:t>
      </w:r>
      <w:proofErr w:type="spellStart"/>
      <w:r>
        <w:rPr>
          <w:i/>
          <w:iCs/>
        </w:rPr>
        <w:t>abeesse</w:t>
      </w:r>
      <w:proofErr w:type="spellEnd"/>
      <w:r>
        <w:t xml:space="preserve"> n’apparaît syncopé qu’à partir de </w:t>
      </w:r>
      <w:proofErr w:type="spellStart"/>
      <w:r>
        <w:t>modw</w:t>
      </w:r>
      <w:proofErr w:type="spellEnd"/>
      <w:r>
        <w:rPr>
          <w:rStyle w:val="Appelnotedebasdep"/>
        </w:rPr>
        <w:footnoteReference w:id="5"/>
      </w:r>
      <w:r>
        <w:t>, texte anglo-normand, compo. 1230, ms. 1250.</w:t>
      </w:r>
    </w:p>
    <w:p w14:paraId="7EA28305" w14:textId="5C136E3E" w:rsidR="00C20C4F" w:rsidRDefault="00C20C4F" w:rsidP="00C20C4F">
      <w:pPr>
        <w:pStyle w:val="Paragraphedeliste"/>
        <w:numPr>
          <w:ilvl w:val="1"/>
          <w:numId w:val="5"/>
        </w:numPr>
      </w:pPr>
      <w:r>
        <w:t xml:space="preserve">En plus de </w:t>
      </w:r>
      <w:r w:rsidR="00F75ADD">
        <w:t xml:space="preserve">13 formes </w:t>
      </w:r>
      <w:proofErr w:type="spellStart"/>
      <w:r w:rsidR="00F75ADD">
        <w:rPr>
          <w:i/>
          <w:iCs/>
        </w:rPr>
        <w:t>abesse</w:t>
      </w:r>
      <w:proofErr w:type="spellEnd"/>
      <w:r w:rsidR="00F75ADD">
        <w:t xml:space="preserve">, le texte contient aussi 10 formes </w:t>
      </w:r>
      <w:proofErr w:type="spellStart"/>
      <w:r w:rsidR="00F75ADD">
        <w:rPr>
          <w:i/>
          <w:iCs/>
        </w:rPr>
        <w:t>pecheurs</w:t>
      </w:r>
      <w:proofErr w:type="spellEnd"/>
      <w:r w:rsidR="00F75ADD">
        <w:t xml:space="preserve"> et 1 formes </w:t>
      </w:r>
      <w:r w:rsidR="00F75ADD">
        <w:rPr>
          <w:i/>
          <w:iCs/>
        </w:rPr>
        <w:t>chevelure</w:t>
      </w:r>
    </w:p>
    <w:p w14:paraId="70793961" w14:textId="798E132F" w:rsidR="00F75ADD" w:rsidRDefault="00F75ADD" w:rsidP="00F75ADD">
      <w:pPr>
        <w:pStyle w:val="Paragraphedeliste"/>
        <w:numPr>
          <w:ilvl w:val="0"/>
          <w:numId w:val="5"/>
        </w:numPr>
      </w:pPr>
      <w:r>
        <w:t xml:space="preserve">Le lemme </w:t>
      </w:r>
      <w:proofErr w:type="spellStart"/>
      <w:r>
        <w:rPr>
          <w:i/>
          <w:iCs/>
        </w:rPr>
        <w:t>mireoir</w:t>
      </w:r>
      <w:proofErr w:type="spellEnd"/>
      <w:r>
        <w:t xml:space="preserve"> n’apparaît syncopé qu’à partir de </w:t>
      </w:r>
      <w:proofErr w:type="spellStart"/>
      <w:r>
        <w:t>fabb</w:t>
      </w:r>
      <w:proofErr w:type="spellEnd"/>
      <w:r>
        <w:rPr>
          <w:rStyle w:val="Appelnotedebasdep"/>
        </w:rPr>
        <w:footnoteReference w:id="6"/>
      </w:r>
      <w:r>
        <w:t xml:space="preserve">, texte picard, compo 1250, ms. 1310. Ce texte ne contient qu’une seule forme syncopée, </w:t>
      </w:r>
      <w:r>
        <w:rPr>
          <w:i/>
          <w:iCs/>
        </w:rPr>
        <w:t>miroir</w:t>
      </w:r>
      <w:r>
        <w:t>.</w:t>
      </w:r>
    </w:p>
    <w:tbl>
      <w:tblPr>
        <w:tblStyle w:val="Grilledutableau"/>
        <w:tblW w:w="0" w:type="auto"/>
        <w:jc w:val="center"/>
        <w:tblLook w:val="04A0" w:firstRow="1" w:lastRow="0" w:firstColumn="1" w:lastColumn="0" w:noHBand="0" w:noVBand="1"/>
      </w:tblPr>
      <w:tblGrid>
        <w:gridCol w:w="1343"/>
        <w:gridCol w:w="1500"/>
        <w:gridCol w:w="1142"/>
        <w:gridCol w:w="1313"/>
        <w:gridCol w:w="1397"/>
      </w:tblGrid>
      <w:tr w:rsidR="00F75ADD" w14:paraId="302DF803" w14:textId="5035F26A" w:rsidTr="0042630A">
        <w:trPr>
          <w:jc w:val="center"/>
        </w:trPr>
        <w:tc>
          <w:tcPr>
            <w:tcW w:w="1343" w:type="dxa"/>
            <w:vMerge w:val="restart"/>
          </w:tcPr>
          <w:p w14:paraId="7626A7B9" w14:textId="496C14DE" w:rsidR="00F75ADD" w:rsidRDefault="00F75ADD" w:rsidP="00F75ADD">
            <w:pPr>
              <w:ind w:firstLine="0"/>
            </w:pPr>
            <w:r>
              <w:t>Lemme</w:t>
            </w:r>
          </w:p>
        </w:tc>
        <w:tc>
          <w:tcPr>
            <w:tcW w:w="5352" w:type="dxa"/>
            <w:gridSpan w:val="4"/>
          </w:tcPr>
          <w:p w14:paraId="40A1BA0E" w14:textId="1A744CEE" w:rsidR="00F75ADD" w:rsidRDefault="00F75ADD" w:rsidP="00F75ADD">
            <w:pPr>
              <w:ind w:firstLine="0"/>
              <w:jc w:val="center"/>
            </w:pPr>
            <w:r>
              <w:t>Première occurrence</w:t>
            </w:r>
          </w:p>
        </w:tc>
      </w:tr>
      <w:tr w:rsidR="00F75ADD" w14:paraId="4354D3F0" w14:textId="176B73FE" w:rsidTr="0042630A">
        <w:trPr>
          <w:jc w:val="center"/>
        </w:trPr>
        <w:tc>
          <w:tcPr>
            <w:tcW w:w="1343" w:type="dxa"/>
            <w:vMerge/>
          </w:tcPr>
          <w:p w14:paraId="6E905651" w14:textId="77777777" w:rsidR="00F75ADD" w:rsidRDefault="00F75ADD" w:rsidP="00F75ADD">
            <w:pPr>
              <w:ind w:firstLine="0"/>
            </w:pPr>
          </w:p>
        </w:tc>
        <w:tc>
          <w:tcPr>
            <w:tcW w:w="1500" w:type="dxa"/>
          </w:tcPr>
          <w:p w14:paraId="324C495A" w14:textId="28F58C82" w:rsidR="00F75ADD" w:rsidRDefault="00F75ADD" w:rsidP="00F75ADD">
            <w:pPr>
              <w:ind w:firstLine="0"/>
              <w:jc w:val="center"/>
            </w:pPr>
            <w:r>
              <w:t>Date compo.</w:t>
            </w:r>
          </w:p>
        </w:tc>
        <w:tc>
          <w:tcPr>
            <w:tcW w:w="1142" w:type="dxa"/>
          </w:tcPr>
          <w:p w14:paraId="33A6D923" w14:textId="6811C57D" w:rsidR="00F75ADD" w:rsidRDefault="00F75ADD" w:rsidP="00F75ADD">
            <w:pPr>
              <w:ind w:firstLine="0"/>
              <w:jc w:val="center"/>
            </w:pPr>
            <w:r>
              <w:t>Date ms.</w:t>
            </w:r>
          </w:p>
        </w:tc>
        <w:tc>
          <w:tcPr>
            <w:tcW w:w="1313" w:type="dxa"/>
          </w:tcPr>
          <w:p w14:paraId="22E4EC95" w14:textId="7BC58BDE" w:rsidR="00F75ADD" w:rsidRDefault="00F75ADD" w:rsidP="00F75ADD">
            <w:pPr>
              <w:tabs>
                <w:tab w:val="center" w:pos="832"/>
              </w:tabs>
              <w:ind w:firstLine="0"/>
              <w:jc w:val="center"/>
            </w:pPr>
            <w:r>
              <w:t>Dialecte</w:t>
            </w:r>
          </w:p>
        </w:tc>
        <w:tc>
          <w:tcPr>
            <w:tcW w:w="1397" w:type="dxa"/>
          </w:tcPr>
          <w:p w14:paraId="104DA700" w14:textId="6A929331" w:rsidR="00F75ADD" w:rsidRDefault="00F75ADD" w:rsidP="00F75ADD">
            <w:pPr>
              <w:ind w:firstLine="0"/>
              <w:jc w:val="center"/>
            </w:pPr>
            <w:r>
              <w:t>ID</w:t>
            </w:r>
          </w:p>
        </w:tc>
      </w:tr>
      <w:tr w:rsidR="00F75ADD" w14:paraId="46A2A3D0" w14:textId="0E0C68AB" w:rsidTr="0042630A">
        <w:trPr>
          <w:jc w:val="center"/>
        </w:trPr>
        <w:tc>
          <w:tcPr>
            <w:tcW w:w="1343" w:type="dxa"/>
          </w:tcPr>
          <w:p w14:paraId="13447ADF" w14:textId="20B1224F" w:rsidR="00F75ADD" w:rsidRPr="00F75ADD" w:rsidRDefault="0042630A" w:rsidP="00F75ADD">
            <w:pPr>
              <w:ind w:firstLine="0"/>
              <w:rPr>
                <w:i/>
                <w:iCs/>
              </w:rPr>
            </w:pPr>
            <w:proofErr w:type="spellStart"/>
            <w:r>
              <w:rPr>
                <w:i/>
                <w:iCs/>
              </w:rPr>
              <w:t>P</w:t>
            </w:r>
            <w:r w:rsidR="00F75ADD" w:rsidRPr="00F75ADD">
              <w:rPr>
                <w:i/>
                <w:iCs/>
              </w:rPr>
              <w:t>echeeur</w:t>
            </w:r>
            <w:proofErr w:type="spellEnd"/>
          </w:p>
        </w:tc>
        <w:tc>
          <w:tcPr>
            <w:tcW w:w="1500" w:type="dxa"/>
          </w:tcPr>
          <w:p w14:paraId="452A6FAA" w14:textId="2E233FBE" w:rsidR="00F75ADD" w:rsidRDefault="00F75ADD" w:rsidP="00F75ADD">
            <w:pPr>
              <w:ind w:firstLine="0"/>
              <w:jc w:val="center"/>
            </w:pPr>
            <w:r>
              <w:t>1125</w:t>
            </w:r>
          </w:p>
        </w:tc>
        <w:tc>
          <w:tcPr>
            <w:tcW w:w="1142" w:type="dxa"/>
          </w:tcPr>
          <w:p w14:paraId="080A9E82" w14:textId="1E74EA6E" w:rsidR="00F75ADD" w:rsidRDefault="00F75ADD" w:rsidP="00F75ADD">
            <w:pPr>
              <w:ind w:firstLine="0"/>
              <w:jc w:val="center"/>
            </w:pPr>
            <w:r>
              <w:t>1150</w:t>
            </w:r>
          </w:p>
        </w:tc>
        <w:tc>
          <w:tcPr>
            <w:tcW w:w="1313" w:type="dxa"/>
          </w:tcPr>
          <w:p w14:paraId="1A6F9B39" w14:textId="55CF1BDE" w:rsidR="00F75ADD" w:rsidRDefault="00F75ADD" w:rsidP="00F75ADD">
            <w:pPr>
              <w:ind w:firstLine="0"/>
              <w:jc w:val="center"/>
            </w:pPr>
            <w:r>
              <w:t>a.n.</w:t>
            </w:r>
          </w:p>
        </w:tc>
        <w:tc>
          <w:tcPr>
            <w:tcW w:w="1397" w:type="dxa"/>
          </w:tcPr>
          <w:p w14:paraId="0D182E68" w14:textId="1425BD0F" w:rsidR="00F75ADD" w:rsidRDefault="00F75ADD" w:rsidP="00F75ADD">
            <w:pPr>
              <w:ind w:firstLine="0"/>
              <w:jc w:val="center"/>
            </w:pPr>
            <w:proofErr w:type="gramStart"/>
            <w:r>
              <w:t>psautier</w:t>
            </w:r>
            <w:proofErr w:type="gramEnd"/>
          </w:p>
        </w:tc>
      </w:tr>
      <w:tr w:rsidR="00F75ADD" w14:paraId="5EB55001" w14:textId="73B90DCA" w:rsidTr="0042630A">
        <w:trPr>
          <w:jc w:val="center"/>
        </w:trPr>
        <w:tc>
          <w:tcPr>
            <w:tcW w:w="1343" w:type="dxa"/>
          </w:tcPr>
          <w:p w14:paraId="4C17DB07" w14:textId="7AED871B" w:rsidR="00F75ADD" w:rsidRPr="00F75ADD" w:rsidRDefault="00F75ADD" w:rsidP="00F75ADD">
            <w:pPr>
              <w:ind w:firstLine="0"/>
              <w:rPr>
                <w:i/>
                <w:iCs/>
              </w:rPr>
            </w:pPr>
            <w:proofErr w:type="spellStart"/>
            <w:r>
              <w:rPr>
                <w:i/>
                <w:iCs/>
              </w:rPr>
              <w:t>Marcheant</w:t>
            </w:r>
            <w:proofErr w:type="spellEnd"/>
          </w:p>
        </w:tc>
        <w:tc>
          <w:tcPr>
            <w:tcW w:w="1500" w:type="dxa"/>
          </w:tcPr>
          <w:p w14:paraId="4A3A6D11" w14:textId="3C334FEA" w:rsidR="00F75ADD" w:rsidRDefault="00F75ADD" w:rsidP="00F75ADD">
            <w:pPr>
              <w:ind w:firstLine="0"/>
              <w:jc w:val="center"/>
            </w:pPr>
            <w:r>
              <w:t>1150</w:t>
            </w:r>
          </w:p>
        </w:tc>
        <w:tc>
          <w:tcPr>
            <w:tcW w:w="1142" w:type="dxa"/>
          </w:tcPr>
          <w:p w14:paraId="3E76F0A1" w14:textId="40DB902F" w:rsidR="00F75ADD" w:rsidRDefault="00F75ADD" w:rsidP="00F75ADD">
            <w:pPr>
              <w:ind w:firstLine="0"/>
              <w:jc w:val="center"/>
            </w:pPr>
            <w:r>
              <w:t>1175-90</w:t>
            </w:r>
          </w:p>
        </w:tc>
        <w:tc>
          <w:tcPr>
            <w:tcW w:w="1313" w:type="dxa"/>
          </w:tcPr>
          <w:p w14:paraId="73FA26F4" w14:textId="238DF8B4" w:rsidR="00F75ADD" w:rsidRDefault="00F75ADD" w:rsidP="00F75ADD">
            <w:pPr>
              <w:ind w:firstLine="0"/>
              <w:jc w:val="center"/>
            </w:pPr>
            <w:r>
              <w:t>meus./art.</w:t>
            </w:r>
          </w:p>
        </w:tc>
        <w:tc>
          <w:tcPr>
            <w:tcW w:w="1397" w:type="dxa"/>
          </w:tcPr>
          <w:p w14:paraId="1D52FF90" w14:textId="11B3E088" w:rsidR="00F75ADD" w:rsidRDefault="00F75ADD" w:rsidP="00F75ADD">
            <w:pPr>
              <w:ind w:firstLine="0"/>
              <w:jc w:val="center"/>
            </w:pPr>
            <w:proofErr w:type="spellStart"/>
            <w:proofErr w:type="gramStart"/>
            <w:r>
              <w:t>nimd</w:t>
            </w:r>
            <w:proofErr w:type="spellEnd"/>
            <w:proofErr w:type="gramEnd"/>
            <w:r>
              <w:t>/</w:t>
            </w:r>
            <w:proofErr w:type="spellStart"/>
            <w:r>
              <w:t>nimc</w:t>
            </w:r>
            <w:proofErr w:type="spellEnd"/>
          </w:p>
        </w:tc>
      </w:tr>
      <w:tr w:rsidR="00F75ADD" w14:paraId="67E9D91A" w14:textId="1422F07C" w:rsidTr="0042630A">
        <w:trPr>
          <w:jc w:val="center"/>
        </w:trPr>
        <w:tc>
          <w:tcPr>
            <w:tcW w:w="1343" w:type="dxa"/>
          </w:tcPr>
          <w:p w14:paraId="285386CA" w14:textId="7CC0E627" w:rsidR="00F75ADD" w:rsidRPr="00F75ADD" w:rsidRDefault="00F75ADD" w:rsidP="00F75ADD">
            <w:pPr>
              <w:ind w:firstLine="0"/>
              <w:rPr>
                <w:i/>
                <w:iCs/>
              </w:rPr>
            </w:pPr>
            <w:proofErr w:type="spellStart"/>
            <w:r>
              <w:rPr>
                <w:i/>
                <w:iCs/>
              </w:rPr>
              <w:t>Armeure</w:t>
            </w:r>
            <w:proofErr w:type="spellEnd"/>
          </w:p>
        </w:tc>
        <w:tc>
          <w:tcPr>
            <w:tcW w:w="1500" w:type="dxa"/>
          </w:tcPr>
          <w:p w14:paraId="2766BCBD" w14:textId="6C0CCB8A" w:rsidR="00F75ADD" w:rsidRDefault="00F75ADD" w:rsidP="00F75ADD">
            <w:pPr>
              <w:ind w:firstLine="0"/>
              <w:jc w:val="center"/>
            </w:pPr>
            <w:r>
              <w:t>1175</w:t>
            </w:r>
          </w:p>
        </w:tc>
        <w:tc>
          <w:tcPr>
            <w:tcW w:w="1142" w:type="dxa"/>
          </w:tcPr>
          <w:p w14:paraId="2B6371D5" w14:textId="550CC0C0" w:rsidR="00F75ADD" w:rsidRDefault="00F75ADD" w:rsidP="00F75ADD">
            <w:pPr>
              <w:ind w:firstLine="0"/>
              <w:jc w:val="center"/>
            </w:pPr>
            <w:r>
              <w:t>1190</w:t>
            </w:r>
          </w:p>
        </w:tc>
        <w:tc>
          <w:tcPr>
            <w:tcW w:w="1313" w:type="dxa"/>
          </w:tcPr>
          <w:p w14:paraId="2112C3AF" w14:textId="21BBA1CF" w:rsidR="00F75ADD" w:rsidRDefault="00F75ADD" w:rsidP="00F75ADD">
            <w:pPr>
              <w:ind w:firstLine="0"/>
              <w:jc w:val="center"/>
            </w:pPr>
            <w:r>
              <w:t>a.n.</w:t>
            </w:r>
          </w:p>
        </w:tc>
        <w:tc>
          <w:tcPr>
            <w:tcW w:w="1397" w:type="dxa"/>
          </w:tcPr>
          <w:p w14:paraId="1B708F3A" w14:textId="2EB1617E" w:rsidR="00F75ADD" w:rsidRDefault="00F75ADD" w:rsidP="00F75ADD">
            <w:pPr>
              <w:ind w:firstLine="0"/>
              <w:jc w:val="center"/>
            </w:pPr>
            <w:proofErr w:type="gramStart"/>
            <w:r>
              <w:t>reis</w:t>
            </w:r>
            <w:proofErr w:type="gramEnd"/>
          </w:p>
        </w:tc>
      </w:tr>
      <w:tr w:rsidR="00F75ADD" w14:paraId="42D571C0" w14:textId="4833772A" w:rsidTr="0042630A">
        <w:trPr>
          <w:jc w:val="center"/>
        </w:trPr>
        <w:tc>
          <w:tcPr>
            <w:tcW w:w="1343" w:type="dxa"/>
          </w:tcPr>
          <w:p w14:paraId="113AB40F" w14:textId="4E798F19" w:rsidR="00F75ADD" w:rsidRPr="00F75ADD" w:rsidRDefault="00F75ADD" w:rsidP="00F75ADD">
            <w:pPr>
              <w:ind w:firstLine="0"/>
              <w:rPr>
                <w:i/>
                <w:iCs/>
              </w:rPr>
            </w:pPr>
            <w:proofErr w:type="spellStart"/>
            <w:r w:rsidRPr="00F75ADD">
              <w:rPr>
                <w:i/>
                <w:iCs/>
              </w:rPr>
              <w:t>Cheveleure</w:t>
            </w:r>
            <w:proofErr w:type="spellEnd"/>
          </w:p>
        </w:tc>
        <w:tc>
          <w:tcPr>
            <w:tcW w:w="1500" w:type="dxa"/>
          </w:tcPr>
          <w:p w14:paraId="141A4F5C" w14:textId="0AC57160" w:rsidR="00F75ADD" w:rsidRDefault="00F75ADD" w:rsidP="00F75ADD">
            <w:pPr>
              <w:ind w:firstLine="0"/>
              <w:jc w:val="center"/>
            </w:pPr>
            <w:r>
              <w:t>1175</w:t>
            </w:r>
          </w:p>
        </w:tc>
        <w:tc>
          <w:tcPr>
            <w:tcW w:w="1142" w:type="dxa"/>
          </w:tcPr>
          <w:p w14:paraId="506340D5" w14:textId="539B1F01" w:rsidR="00F75ADD" w:rsidRDefault="00F75ADD" w:rsidP="00F75ADD">
            <w:pPr>
              <w:ind w:firstLine="0"/>
              <w:jc w:val="center"/>
            </w:pPr>
            <w:r>
              <w:t>1190</w:t>
            </w:r>
          </w:p>
        </w:tc>
        <w:tc>
          <w:tcPr>
            <w:tcW w:w="1313" w:type="dxa"/>
          </w:tcPr>
          <w:p w14:paraId="0ABAFF01" w14:textId="01014CDF" w:rsidR="00F75ADD" w:rsidRDefault="00F75ADD" w:rsidP="00F75ADD">
            <w:pPr>
              <w:ind w:firstLine="0"/>
              <w:jc w:val="center"/>
            </w:pPr>
            <w:r>
              <w:t>a.n.</w:t>
            </w:r>
          </w:p>
        </w:tc>
        <w:tc>
          <w:tcPr>
            <w:tcW w:w="1397" w:type="dxa"/>
          </w:tcPr>
          <w:p w14:paraId="796F70F4" w14:textId="29EEC2E2" w:rsidR="00F75ADD" w:rsidRDefault="00F75ADD" w:rsidP="00F75ADD">
            <w:pPr>
              <w:ind w:firstLine="0"/>
              <w:jc w:val="center"/>
            </w:pPr>
            <w:proofErr w:type="gramStart"/>
            <w:r>
              <w:t>reis</w:t>
            </w:r>
            <w:proofErr w:type="gramEnd"/>
          </w:p>
        </w:tc>
      </w:tr>
      <w:tr w:rsidR="00F75ADD" w14:paraId="1AB1D4E6" w14:textId="434D33A8" w:rsidTr="0042630A">
        <w:trPr>
          <w:jc w:val="center"/>
        </w:trPr>
        <w:tc>
          <w:tcPr>
            <w:tcW w:w="1343" w:type="dxa"/>
          </w:tcPr>
          <w:p w14:paraId="1179A8EC" w14:textId="7D0F3DDE" w:rsidR="00F75ADD" w:rsidRPr="00F75ADD" w:rsidRDefault="00F75ADD" w:rsidP="00F75ADD">
            <w:pPr>
              <w:ind w:firstLine="0"/>
              <w:rPr>
                <w:i/>
                <w:iCs/>
              </w:rPr>
            </w:pPr>
            <w:proofErr w:type="spellStart"/>
            <w:r>
              <w:rPr>
                <w:i/>
                <w:iCs/>
              </w:rPr>
              <w:lastRenderedPageBreak/>
              <w:t>Mienuit</w:t>
            </w:r>
            <w:proofErr w:type="spellEnd"/>
          </w:p>
        </w:tc>
        <w:tc>
          <w:tcPr>
            <w:tcW w:w="1500" w:type="dxa"/>
          </w:tcPr>
          <w:p w14:paraId="035214DE" w14:textId="2FC4C9B8" w:rsidR="00F75ADD" w:rsidRDefault="00F75ADD" w:rsidP="00F75ADD">
            <w:pPr>
              <w:ind w:firstLine="0"/>
              <w:jc w:val="center"/>
            </w:pPr>
            <w:r>
              <w:t>1210</w:t>
            </w:r>
          </w:p>
        </w:tc>
        <w:tc>
          <w:tcPr>
            <w:tcW w:w="1142" w:type="dxa"/>
          </w:tcPr>
          <w:p w14:paraId="7EF745C9" w14:textId="43F878E7" w:rsidR="00F75ADD" w:rsidRDefault="00F75ADD" w:rsidP="00F75ADD">
            <w:pPr>
              <w:ind w:firstLine="0"/>
              <w:jc w:val="center"/>
            </w:pPr>
            <w:r>
              <w:t>1275</w:t>
            </w:r>
          </w:p>
        </w:tc>
        <w:tc>
          <w:tcPr>
            <w:tcW w:w="1313" w:type="dxa"/>
          </w:tcPr>
          <w:p w14:paraId="6F3D389D" w14:textId="74785DC3" w:rsidR="00F75ADD" w:rsidRDefault="00F75ADD" w:rsidP="00F75ADD">
            <w:pPr>
              <w:ind w:firstLine="0"/>
              <w:jc w:val="center"/>
            </w:pPr>
            <w:proofErr w:type="gramStart"/>
            <w:r>
              <w:t>bourg</w:t>
            </w:r>
            <w:proofErr w:type="gramEnd"/>
            <w:r>
              <w:t>.</w:t>
            </w:r>
          </w:p>
        </w:tc>
        <w:tc>
          <w:tcPr>
            <w:tcW w:w="1397" w:type="dxa"/>
          </w:tcPr>
          <w:p w14:paraId="03C386FB" w14:textId="6E258D80" w:rsidR="00F75ADD" w:rsidRDefault="00F75ADD" w:rsidP="00F75ADD">
            <w:pPr>
              <w:ind w:firstLine="0"/>
              <w:jc w:val="center"/>
            </w:pPr>
            <w:proofErr w:type="spellStart"/>
            <w:proofErr w:type="gramStart"/>
            <w:r>
              <w:t>gerv</w:t>
            </w:r>
            <w:proofErr w:type="spellEnd"/>
            <w:proofErr w:type="gramEnd"/>
          </w:p>
        </w:tc>
      </w:tr>
      <w:tr w:rsidR="00F75ADD" w14:paraId="6BF212A0" w14:textId="7F1E0194" w:rsidTr="0042630A">
        <w:trPr>
          <w:jc w:val="center"/>
        </w:trPr>
        <w:tc>
          <w:tcPr>
            <w:tcW w:w="1343" w:type="dxa"/>
          </w:tcPr>
          <w:p w14:paraId="33414AC1" w14:textId="236B3237" w:rsidR="00F75ADD" w:rsidRPr="00F75ADD" w:rsidRDefault="00F75ADD" w:rsidP="00F75ADD">
            <w:pPr>
              <w:ind w:firstLine="0"/>
              <w:rPr>
                <w:i/>
                <w:iCs/>
              </w:rPr>
            </w:pPr>
            <w:proofErr w:type="spellStart"/>
            <w:r>
              <w:rPr>
                <w:i/>
                <w:iCs/>
              </w:rPr>
              <w:t>Pareis</w:t>
            </w:r>
            <w:proofErr w:type="spellEnd"/>
          </w:p>
        </w:tc>
        <w:tc>
          <w:tcPr>
            <w:tcW w:w="1500" w:type="dxa"/>
          </w:tcPr>
          <w:p w14:paraId="6ADDA7BA" w14:textId="772242D6" w:rsidR="00F75ADD" w:rsidRDefault="00F75ADD" w:rsidP="00F75ADD">
            <w:pPr>
              <w:ind w:firstLine="0"/>
              <w:jc w:val="center"/>
            </w:pPr>
            <w:r>
              <w:t>1218</w:t>
            </w:r>
          </w:p>
        </w:tc>
        <w:tc>
          <w:tcPr>
            <w:tcW w:w="1142" w:type="dxa"/>
          </w:tcPr>
          <w:p w14:paraId="54786DB3" w14:textId="43687358" w:rsidR="00F75ADD" w:rsidRDefault="00F75ADD" w:rsidP="00F75ADD">
            <w:pPr>
              <w:ind w:firstLine="0"/>
              <w:jc w:val="center"/>
            </w:pPr>
            <w:r>
              <w:t>1317</w:t>
            </w:r>
          </w:p>
        </w:tc>
        <w:tc>
          <w:tcPr>
            <w:tcW w:w="1313" w:type="dxa"/>
          </w:tcPr>
          <w:p w14:paraId="2B1551DB" w14:textId="34A443A0" w:rsidR="00F75ADD" w:rsidRDefault="00F75ADD" w:rsidP="00F75ADD">
            <w:pPr>
              <w:ind w:firstLine="0"/>
              <w:jc w:val="center"/>
            </w:pPr>
            <w:proofErr w:type="gramStart"/>
            <w:r>
              <w:t>orl</w:t>
            </w:r>
            <w:proofErr w:type="gramEnd"/>
            <w:r>
              <w:t>.</w:t>
            </w:r>
          </w:p>
        </w:tc>
        <w:tc>
          <w:tcPr>
            <w:tcW w:w="1397" w:type="dxa"/>
          </w:tcPr>
          <w:p w14:paraId="3D2F8606" w14:textId="1708A889" w:rsidR="00F75ADD" w:rsidRDefault="00F75ADD" w:rsidP="00F75ADD">
            <w:pPr>
              <w:ind w:firstLine="0"/>
              <w:jc w:val="center"/>
            </w:pPr>
            <w:proofErr w:type="spellStart"/>
            <w:r>
              <w:t>Barril</w:t>
            </w:r>
            <w:proofErr w:type="spellEnd"/>
          </w:p>
        </w:tc>
      </w:tr>
      <w:tr w:rsidR="00F75ADD" w14:paraId="4E45A3EA" w14:textId="63356660" w:rsidTr="0042630A">
        <w:trPr>
          <w:jc w:val="center"/>
        </w:trPr>
        <w:tc>
          <w:tcPr>
            <w:tcW w:w="1343" w:type="dxa"/>
          </w:tcPr>
          <w:p w14:paraId="40C17CAF" w14:textId="65DDAABD" w:rsidR="00F75ADD" w:rsidRPr="00F75ADD" w:rsidRDefault="00F75ADD" w:rsidP="00F75ADD">
            <w:pPr>
              <w:ind w:firstLine="0"/>
              <w:rPr>
                <w:i/>
                <w:iCs/>
              </w:rPr>
            </w:pPr>
            <w:proofErr w:type="spellStart"/>
            <w:r>
              <w:rPr>
                <w:i/>
                <w:iCs/>
              </w:rPr>
              <w:t>Abeesse</w:t>
            </w:r>
            <w:proofErr w:type="spellEnd"/>
          </w:p>
        </w:tc>
        <w:tc>
          <w:tcPr>
            <w:tcW w:w="1500" w:type="dxa"/>
          </w:tcPr>
          <w:p w14:paraId="59D92974" w14:textId="71383E08" w:rsidR="00F75ADD" w:rsidRDefault="00F75ADD" w:rsidP="00F75ADD">
            <w:pPr>
              <w:ind w:firstLine="0"/>
              <w:jc w:val="center"/>
            </w:pPr>
            <w:r>
              <w:t>1230</w:t>
            </w:r>
          </w:p>
        </w:tc>
        <w:tc>
          <w:tcPr>
            <w:tcW w:w="1142" w:type="dxa"/>
          </w:tcPr>
          <w:p w14:paraId="7B1825D9" w14:textId="18E45724" w:rsidR="00F75ADD" w:rsidRDefault="00F75ADD" w:rsidP="00F75ADD">
            <w:pPr>
              <w:ind w:firstLine="0"/>
              <w:jc w:val="center"/>
            </w:pPr>
            <w:r>
              <w:t>1250</w:t>
            </w:r>
          </w:p>
        </w:tc>
        <w:tc>
          <w:tcPr>
            <w:tcW w:w="1313" w:type="dxa"/>
          </w:tcPr>
          <w:p w14:paraId="6870E672" w14:textId="6FC89C65" w:rsidR="00F75ADD" w:rsidRDefault="00F75ADD" w:rsidP="00F75ADD">
            <w:pPr>
              <w:ind w:firstLine="0"/>
              <w:jc w:val="center"/>
            </w:pPr>
            <w:r>
              <w:t>a.n.</w:t>
            </w:r>
          </w:p>
        </w:tc>
        <w:tc>
          <w:tcPr>
            <w:tcW w:w="1397" w:type="dxa"/>
          </w:tcPr>
          <w:p w14:paraId="12A554AF" w14:textId="490E95B2" w:rsidR="00F75ADD" w:rsidRDefault="00F75ADD" w:rsidP="00F75ADD">
            <w:pPr>
              <w:ind w:firstLine="0"/>
              <w:jc w:val="center"/>
            </w:pPr>
            <w:proofErr w:type="spellStart"/>
            <w:r>
              <w:t>Modw</w:t>
            </w:r>
            <w:proofErr w:type="spellEnd"/>
          </w:p>
        </w:tc>
      </w:tr>
      <w:tr w:rsidR="00F75ADD" w14:paraId="6CF981E7" w14:textId="6BAE6EF3" w:rsidTr="0042630A">
        <w:trPr>
          <w:jc w:val="center"/>
        </w:trPr>
        <w:tc>
          <w:tcPr>
            <w:tcW w:w="1343" w:type="dxa"/>
          </w:tcPr>
          <w:p w14:paraId="60AE358D" w14:textId="280E45D3" w:rsidR="00F75ADD" w:rsidRPr="00F75ADD" w:rsidRDefault="00F75ADD" w:rsidP="00F75ADD">
            <w:pPr>
              <w:ind w:firstLine="0"/>
              <w:rPr>
                <w:i/>
                <w:iCs/>
              </w:rPr>
            </w:pPr>
            <w:proofErr w:type="spellStart"/>
            <w:r>
              <w:rPr>
                <w:i/>
                <w:iCs/>
              </w:rPr>
              <w:t>Mireoir</w:t>
            </w:r>
            <w:proofErr w:type="spellEnd"/>
          </w:p>
        </w:tc>
        <w:tc>
          <w:tcPr>
            <w:tcW w:w="1500" w:type="dxa"/>
          </w:tcPr>
          <w:p w14:paraId="1649517E" w14:textId="50670A07" w:rsidR="00F75ADD" w:rsidRDefault="00F75ADD" w:rsidP="00F75ADD">
            <w:pPr>
              <w:ind w:firstLine="0"/>
              <w:jc w:val="center"/>
            </w:pPr>
            <w:r>
              <w:t>1250</w:t>
            </w:r>
          </w:p>
        </w:tc>
        <w:tc>
          <w:tcPr>
            <w:tcW w:w="1142" w:type="dxa"/>
          </w:tcPr>
          <w:p w14:paraId="15C81E80" w14:textId="51D19933" w:rsidR="00F75ADD" w:rsidRDefault="00F75ADD" w:rsidP="00F75ADD">
            <w:pPr>
              <w:ind w:firstLine="0"/>
              <w:jc w:val="center"/>
            </w:pPr>
            <w:r>
              <w:t>1310</w:t>
            </w:r>
          </w:p>
        </w:tc>
        <w:tc>
          <w:tcPr>
            <w:tcW w:w="1313" w:type="dxa"/>
          </w:tcPr>
          <w:p w14:paraId="3946D22B" w14:textId="55363DA7" w:rsidR="00F75ADD" w:rsidRDefault="00F75ADD" w:rsidP="00F75ADD">
            <w:pPr>
              <w:ind w:firstLine="0"/>
              <w:jc w:val="center"/>
            </w:pPr>
            <w:proofErr w:type="gramStart"/>
            <w:r>
              <w:t>pic</w:t>
            </w:r>
            <w:proofErr w:type="gramEnd"/>
            <w:r>
              <w:t>.</w:t>
            </w:r>
          </w:p>
        </w:tc>
        <w:tc>
          <w:tcPr>
            <w:tcW w:w="1397" w:type="dxa"/>
          </w:tcPr>
          <w:p w14:paraId="1DE35505" w14:textId="14071139" w:rsidR="00F75ADD" w:rsidRDefault="00F75ADD" w:rsidP="00F75ADD">
            <w:pPr>
              <w:ind w:firstLine="0"/>
              <w:jc w:val="center"/>
            </w:pPr>
            <w:proofErr w:type="spellStart"/>
            <w:proofErr w:type="gramStart"/>
            <w:r>
              <w:t>fabb</w:t>
            </w:r>
            <w:proofErr w:type="spellEnd"/>
            <w:proofErr w:type="gramEnd"/>
          </w:p>
        </w:tc>
      </w:tr>
    </w:tbl>
    <w:p w14:paraId="4B8F3ABF" w14:textId="240FF874" w:rsidR="004624DD" w:rsidRDefault="004624DD" w:rsidP="004F05D0">
      <w:pPr>
        <w:ind w:firstLine="0"/>
        <w:jc w:val="center"/>
      </w:pPr>
      <w:r>
        <w:rPr>
          <w:noProof/>
        </w:rPr>
        <w:drawing>
          <wp:inline distT="0" distB="0" distL="0" distR="0" wp14:anchorId="7909BA3D" wp14:editId="5B8A6F24">
            <wp:extent cx="4798129" cy="5064868"/>
            <wp:effectExtent l="0" t="0" r="254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0">
                      <a:extLst>
                        <a:ext uri="{28A0092B-C50C-407E-A947-70E740481C1C}">
                          <a14:useLocalDpi xmlns:a14="http://schemas.microsoft.com/office/drawing/2010/main" val="0"/>
                        </a:ext>
                      </a:extLst>
                    </a:blip>
                    <a:stretch>
                      <a:fillRect/>
                    </a:stretch>
                  </pic:blipFill>
                  <pic:spPr>
                    <a:xfrm>
                      <a:off x="0" y="0"/>
                      <a:ext cx="4802648" cy="5069638"/>
                    </a:xfrm>
                    <a:prstGeom prst="rect">
                      <a:avLst/>
                    </a:prstGeom>
                  </pic:spPr>
                </pic:pic>
              </a:graphicData>
            </a:graphic>
          </wp:inline>
        </w:drawing>
      </w:r>
    </w:p>
    <w:p w14:paraId="0F0E355C" w14:textId="06BCFF31" w:rsidR="0049107E" w:rsidRDefault="0049107E" w:rsidP="0049107E">
      <w:r>
        <w:t xml:space="preserve">L’apparition des formes à hiatus réduit s’étire sur 125 ans. 181 textes contiennent les lemmes en question, sous leur forme hiatique et/ou simplifiée. Hormis dans 10 textes (de 1 à 9 </w:t>
      </w:r>
      <w:proofErr w:type="spellStart"/>
      <w:r>
        <w:t>occ</w:t>
      </w:r>
      <w:proofErr w:type="spellEnd"/>
      <w:r>
        <w:t xml:space="preserve">. </w:t>
      </w:r>
      <w:proofErr w:type="gramStart"/>
      <w:r>
        <w:t>par</w:t>
      </w:r>
      <w:proofErr w:type="gramEnd"/>
      <w:r>
        <w:t xml:space="preserve"> texte), les formes à hiatus réduit ne se substituent jamais parfaitement aux formes aux formes hiatiques, et, de fait, 152 textes (84%) ne contiennent que des formes hiatiques.</w:t>
      </w:r>
      <w:r>
        <w:rPr>
          <w:rStyle w:val="Appelnotedebasdep"/>
        </w:rPr>
        <w:footnoteReference w:id="7"/>
      </w:r>
    </w:p>
    <w:p w14:paraId="13BB2F31" w14:textId="2E4E6912" w:rsidR="0049107E" w:rsidRDefault="0049107E" w:rsidP="0049107E">
      <w:pPr>
        <w:pStyle w:val="Titre2"/>
      </w:pPr>
      <w:r>
        <w:lastRenderedPageBreak/>
        <w:t>Distribution diatopique</w:t>
      </w:r>
    </w:p>
    <w:p w14:paraId="1121AD69" w14:textId="1ED41AC8" w:rsidR="00D45E48" w:rsidRPr="00D45E48" w:rsidRDefault="00D45E48" w:rsidP="00D45E48">
      <w:pPr>
        <w:pStyle w:val="Titre3"/>
      </w:pPr>
      <w:r>
        <w:t xml:space="preserve">Localisation </w:t>
      </w:r>
      <w:proofErr w:type="spellStart"/>
      <w:r>
        <w:t>Dees</w:t>
      </w:r>
      <w:proofErr w:type="spellEnd"/>
      <w:r>
        <w:t xml:space="preserve"> : </w:t>
      </w:r>
      <w:proofErr w:type="spellStart"/>
      <w:r w:rsidRPr="00D45E48">
        <w:rPr>
          <w:rFonts w:ascii="American Typewriter" w:hAnsi="American Typewriter"/>
        </w:rPr>
        <w:t>R_Code</w:t>
      </w:r>
      <w:proofErr w:type="spellEnd"/>
    </w:p>
    <w:p w14:paraId="57F18412" w14:textId="2E9CC9E8" w:rsidR="004624DD" w:rsidRDefault="004F05D0" w:rsidP="004F05D0">
      <w:pPr>
        <w:ind w:firstLine="0"/>
        <w:jc w:val="center"/>
      </w:pPr>
      <w:r>
        <w:rPr>
          <w:noProof/>
        </w:rPr>
        <w:drawing>
          <wp:inline distT="0" distB="0" distL="0" distR="0" wp14:anchorId="4F8F1133" wp14:editId="2EF942D0">
            <wp:extent cx="4805464" cy="3746418"/>
            <wp:effectExtent l="0" t="0" r="0" b="63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1">
                      <a:extLst>
                        <a:ext uri="{28A0092B-C50C-407E-A947-70E740481C1C}">
                          <a14:useLocalDpi xmlns:a14="http://schemas.microsoft.com/office/drawing/2010/main" val="0"/>
                        </a:ext>
                      </a:extLst>
                    </a:blip>
                    <a:stretch>
                      <a:fillRect/>
                    </a:stretch>
                  </pic:blipFill>
                  <pic:spPr>
                    <a:xfrm>
                      <a:off x="0" y="0"/>
                      <a:ext cx="4821410" cy="3758850"/>
                    </a:xfrm>
                    <a:prstGeom prst="rect">
                      <a:avLst/>
                    </a:prstGeom>
                  </pic:spPr>
                </pic:pic>
              </a:graphicData>
            </a:graphic>
          </wp:inline>
        </w:drawing>
      </w:r>
    </w:p>
    <w:p w14:paraId="4FFA829A" w14:textId="20F3B8A9" w:rsidR="00D45E48" w:rsidRDefault="00D45E48" w:rsidP="00C32587">
      <w:pPr>
        <w:pStyle w:val="Lgende"/>
      </w:pPr>
      <w:bookmarkStart w:id="1" w:name="_Ref124174434"/>
      <w:r>
        <w:t xml:space="preserve">Figure </w:t>
      </w:r>
      <w:fldSimple w:instr=" SEQ Figure \* ARABIC ">
        <w:r w:rsidR="00C32587">
          <w:rPr>
            <w:noProof/>
          </w:rPr>
          <w:t>3</w:t>
        </w:r>
      </w:fldSimple>
      <w:bookmarkEnd w:id="1"/>
      <w:r>
        <w:t xml:space="preserve">. Réduction des hiatus internes (localisation </w:t>
      </w:r>
      <w:proofErr w:type="spellStart"/>
      <w:r>
        <w:t>Dees</w:t>
      </w:r>
      <w:proofErr w:type="spellEnd"/>
      <w:r>
        <w:t>)</w:t>
      </w:r>
    </w:p>
    <w:p w14:paraId="58B18DE1" w14:textId="3B6BB6BE" w:rsidR="00D45E48" w:rsidRDefault="00D45E48" w:rsidP="004F05D0">
      <w:r>
        <w:t xml:space="preserve">En se fondant uniquement sur les localisations proposées par </w:t>
      </w:r>
      <w:proofErr w:type="spellStart"/>
      <w:r>
        <w:t>Dees</w:t>
      </w:r>
      <w:proofErr w:type="spellEnd"/>
      <w:r>
        <w:t xml:space="preserve"> (</w:t>
      </w:r>
      <w:proofErr w:type="spellStart"/>
      <w:r w:rsidRPr="00C65961">
        <w:rPr>
          <w:rFonts w:ascii="American Typewriter" w:hAnsi="American Typewriter"/>
        </w:rPr>
        <w:t>R_Code</w:t>
      </w:r>
      <w:proofErr w:type="spellEnd"/>
      <w:r>
        <w:t xml:space="preserve">), on obtient la carte en </w:t>
      </w:r>
      <w:r>
        <w:fldChar w:fldCharType="begin"/>
      </w:r>
      <w:r>
        <w:instrText xml:space="preserve"> REF _Ref124174434 \h </w:instrText>
      </w:r>
      <w:r>
        <w:fldChar w:fldCharType="separate"/>
      </w:r>
      <w:r>
        <w:t xml:space="preserve">Figure </w:t>
      </w:r>
      <w:r>
        <w:rPr>
          <w:noProof/>
        </w:rPr>
        <w:t>1</w:t>
      </w:r>
      <w:r>
        <w:fldChar w:fldCharType="end"/>
      </w:r>
      <w:r>
        <w:t>.</w:t>
      </w:r>
    </w:p>
    <w:p w14:paraId="7AB2BB75" w14:textId="65390CEB" w:rsidR="004624DD" w:rsidRDefault="0042630A" w:rsidP="004F05D0">
      <w:r>
        <w:t xml:space="preserve">La sur-représentation de l’a.n. </w:t>
      </w:r>
      <w:r w:rsidR="0049107E">
        <w:t xml:space="preserve">parmi les premières attestation (cf. tableau) </w:t>
      </w:r>
      <w:r>
        <w:t>peut</w:t>
      </w:r>
      <w:r w:rsidR="0049107E">
        <w:t xml:space="preserve"> </w:t>
      </w:r>
      <w:r>
        <w:t>être retenue : l’a.n. n’est pas majoritaire en nombre de textes sur cette période (3 textes a.n. sur 15 textes entre 1125 et 1150</w:t>
      </w:r>
      <w:r w:rsidR="0049107E">
        <w:t xml:space="preserve"> (bornes comprises) </w:t>
      </w:r>
      <w:r>
        <w:t>; 37 textes a.n. sur 246 textes entre 1125 et 1250</w:t>
      </w:r>
      <w:r w:rsidR="0049107E">
        <w:t xml:space="preserve"> (bornes comprises)</w:t>
      </w:r>
      <w:r>
        <w:t xml:space="preserve">). Néanmoins, la réduction du hiatus interne apparaît sur le continent dès 1150 pour </w:t>
      </w:r>
      <w:proofErr w:type="spellStart"/>
      <w:r>
        <w:rPr>
          <w:i/>
          <w:iCs/>
        </w:rPr>
        <w:t>marcheant</w:t>
      </w:r>
      <w:proofErr w:type="spellEnd"/>
      <w:r>
        <w:t xml:space="preserve"> (Meuse et Artois). Par ailleurs, </w:t>
      </w:r>
      <w:r w:rsidR="0049107E">
        <w:t xml:space="preserve">sur les </w:t>
      </w:r>
      <w:r>
        <w:t xml:space="preserve">10 textes ne </w:t>
      </w:r>
      <w:r w:rsidR="0049107E">
        <w:t>contenant</w:t>
      </w:r>
      <w:r>
        <w:t xml:space="preserve"> que des formes réduites, 6 sont anglo-normands.</w:t>
      </w:r>
      <w:r>
        <w:rPr>
          <w:rStyle w:val="Appelnotedebasdep"/>
        </w:rPr>
        <w:footnoteReference w:id="8"/>
      </w:r>
    </w:p>
    <w:p w14:paraId="6D83B24B" w14:textId="3023694B" w:rsidR="004F05D0" w:rsidRDefault="004F05D0" w:rsidP="004F05D0">
      <w:r>
        <w:t>De nombreuses régions échappent totalement à l’apparition de formes à hiatus réduit, alors qu’elles attestent les formes non réduites. Dans certains cas, ces régions disposent de peu de textes attestant ces lemmes, donc l’analyse est incertaine (p.ex. Charente Maritime, Indre et Cher, Moselle et Meurthe-et-Moselle, 1 texte par région attestant les lemmes), mais à l’inverse certaines régions disposent d’un nombre satisfaisant de textes et n’attestent pas les formes réduites (Normandie : 10 textes, Wallonie : 8 textes) ou ne les attestent que très marginalement (</w:t>
      </w:r>
      <w:r w:rsidR="00473C83">
        <w:t>Nièvre</w:t>
      </w:r>
      <w:r>
        <w:t xml:space="preserve"> et Allier : 1%, 17 textes ; Haute-Marne : 3%, 16 textes).</w:t>
      </w:r>
    </w:p>
    <w:p w14:paraId="5FC85FA3" w14:textId="666257C8" w:rsidR="004F05D0" w:rsidRDefault="004F05D0" w:rsidP="004F05D0">
      <w:r>
        <w:t>Si l’on veut dégager un patron géographique, il faut commencer par noter que la situation est assez hétérogène. Si l’on peut noter que les formes à hiatus simplifié semblent absente d’une petite moitié Sud-Ouest de la région d’oïl, il faut néanmoins considérer l’absence totale d’occurrences dans la moitié des régions de cette région</w:t>
      </w:r>
      <w:r w:rsidR="0049107E">
        <w:t xml:space="preserve">, ce qui ne rend pas l’analyse assurée. </w:t>
      </w:r>
      <w:r w:rsidR="00D45E48">
        <w:t xml:space="preserve">Ainsi, les formes </w:t>
      </w:r>
      <w:r w:rsidR="00D45E48">
        <w:lastRenderedPageBreak/>
        <w:t>réduites des hiatus semblent se concentrer aux extrémités d’un axe Nord-Ouest–Sud-Est, et, dans une moindre mesure, au centre de cet axe.</w:t>
      </w:r>
    </w:p>
    <w:p w14:paraId="65D6377A" w14:textId="325FF3E5" w:rsidR="00D45E48" w:rsidRPr="00D45E48" w:rsidRDefault="00D45E48" w:rsidP="00D45E48">
      <w:pPr>
        <w:pStyle w:val="Titre3"/>
      </w:pPr>
      <w:r>
        <w:t xml:space="preserve">Localisation suppléante : </w:t>
      </w:r>
      <w:proofErr w:type="spellStart"/>
      <w:r w:rsidRPr="00D45E48">
        <w:rPr>
          <w:rFonts w:ascii="American Typewriter" w:hAnsi="American Typewriter"/>
        </w:rPr>
        <w:t>R_Code</w:t>
      </w:r>
      <w:r>
        <w:rPr>
          <w:rFonts w:ascii="American Typewriter" w:hAnsi="American Typewriter"/>
        </w:rPr>
        <w:t>_custom</w:t>
      </w:r>
      <w:proofErr w:type="spellEnd"/>
    </w:p>
    <w:p w14:paraId="05E315F5" w14:textId="04B10374" w:rsidR="00B54BD4" w:rsidRDefault="00B54BD4" w:rsidP="00C32587">
      <w:pPr>
        <w:pStyle w:val="Lgende"/>
      </w:pPr>
      <w:r>
        <w:rPr>
          <w:noProof/>
        </w:rPr>
        <w:drawing>
          <wp:inline distT="0" distB="0" distL="0" distR="0" wp14:anchorId="0645FBCD" wp14:editId="624A239C">
            <wp:extent cx="5756910" cy="448818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2">
                      <a:extLst>
                        <a:ext uri="{28A0092B-C50C-407E-A947-70E740481C1C}">
                          <a14:useLocalDpi xmlns:a14="http://schemas.microsoft.com/office/drawing/2010/main" val="0"/>
                        </a:ext>
                      </a:extLst>
                    </a:blip>
                    <a:stretch>
                      <a:fillRect/>
                    </a:stretch>
                  </pic:blipFill>
                  <pic:spPr>
                    <a:xfrm>
                      <a:off x="0" y="0"/>
                      <a:ext cx="5756910" cy="4488180"/>
                    </a:xfrm>
                    <a:prstGeom prst="rect">
                      <a:avLst/>
                    </a:prstGeom>
                  </pic:spPr>
                </pic:pic>
              </a:graphicData>
            </a:graphic>
          </wp:inline>
        </w:drawing>
      </w:r>
      <w:r>
        <w:t xml:space="preserve">Figure </w:t>
      </w:r>
      <w:fldSimple w:instr=" SEQ Figure \* ARABIC ">
        <w:r w:rsidR="00C32587">
          <w:rPr>
            <w:noProof/>
          </w:rPr>
          <w:t>4</w:t>
        </w:r>
      </w:fldSimple>
      <w:r>
        <w:t xml:space="preserve">. Réduction des hiatus internes (localisation </w:t>
      </w:r>
      <w:proofErr w:type="spellStart"/>
      <w:r>
        <w:t>Dees</w:t>
      </w:r>
      <w:proofErr w:type="spellEnd"/>
      <w:r>
        <w:t xml:space="preserve"> + </w:t>
      </w:r>
      <w:proofErr w:type="spellStart"/>
      <w:r>
        <w:t>Glessgen</w:t>
      </w:r>
      <w:proofErr w:type="spellEnd"/>
      <w:r>
        <w:t>)</w:t>
      </w:r>
    </w:p>
    <w:p w14:paraId="65CE7297" w14:textId="4A115D4D" w:rsidR="00D45E48" w:rsidRDefault="00D45E48" w:rsidP="004F05D0">
      <w:r>
        <w:t xml:space="preserve">Les données de localisation fournies par </w:t>
      </w:r>
      <w:proofErr w:type="spellStart"/>
      <w:r>
        <w:t>Dees</w:t>
      </w:r>
      <w:proofErr w:type="spellEnd"/>
      <w:r>
        <w:t xml:space="preserve"> ne concernent que 198 textes sur 296. Nous avons été en mesure d’établir une localisation pour 88 textes, à partir des informations philologiques collectées par </w:t>
      </w:r>
      <w:proofErr w:type="spellStart"/>
      <w:r>
        <w:t>Glessgen</w:t>
      </w:r>
      <w:proofErr w:type="spellEnd"/>
      <w:r>
        <w:t xml:space="preserve"> et son équipe. Pour cela, lorsque </w:t>
      </w:r>
      <w:proofErr w:type="spellStart"/>
      <w:r>
        <w:t>Dees</w:t>
      </w:r>
      <w:proofErr w:type="spellEnd"/>
      <w:r>
        <w:t xml:space="preserve"> n’a pas indiqué de région (et donc de </w:t>
      </w:r>
      <w:proofErr w:type="spellStart"/>
      <w:r>
        <w:t>R_Code</w:t>
      </w:r>
      <w:proofErr w:type="spellEnd"/>
      <w:r>
        <w:t xml:space="preserve">), nous avons retenu le </w:t>
      </w:r>
      <w:proofErr w:type="spellStart"/>
      <w:r>
        <w:t>R_Code</w:t>
      </w:r>
      <w:proofErr w:type="spellEnd"/>
      <w:r>
        <w:t xml:space="preserve"> correspondant à la région de composition du texte ou, à défaut, à la région de copie du texte (une minorité de cas). Seuls dix textes n’ont pas pu être dotés d’un </w:t>
      </w:r>
      <w:proofErr w:type="spellStart"/>
      <w:r>
        <w:t>R_Code_custom</w:t>
      </w:r>
      <w:proofErr w:type="spellEnd"/>
      <w:r>
        <w:t xml:space="preserve">, dans la mesure où les informations philologiques sont absentes ou trop vagues (p.ex. « Ouest » ne peut correspondre à une seule région de </w:t>
      </w:r>
      <w:proofErr w:type="spellStart"/>
      <w:r>
        <w:t>Dees</w:t>
      </w:r>
      <w:proofErr w:type="spellEnd"/>
      <w:r>
        <w:t xml:space="preserve">). Enfin, des ajustements ont été nécessaires, dans la mesure où les indications géographiques de </w:t>
      </w:r>
      <w:proofErr w:type="spellStart"/>
      <w:r>
        <w:t>Dees</w:t>
      </w:r>
      <w:proofErr w:type="spellEnd"/>
      <w:r>
        <w:t xml:space="preserve"> ne correspondent pas toujours aux étiquettes habituelles de la philologie ; ainsi, </w:t>
      </w:r>
      <w:r w:rsidR="00B54BD4">
        <w:t>nous avons toujours fait correspondre l’indication « pic. » (</w:t>
      </w:r>
      <w:proofErr w:type="gramStart"/>
      <w:r w:rsidR="00B54BD4">
        <w:t>dialecte</w:t>
      </w:r>
      <w:proofErr w:type="gramEnd"/>
      <w:r w:rsidR="00B54BD4">
        <w:t xml:space="preserve"> picard) aux départements de la Somme et du Pas-de-Calais utilisés par </w:t>
      </w:r>
      <w:proofErr w:type="spellStart"/>
      <w:r w:rsidR="00B54BD4">
        <w:t>Dees</w:t>
      </w:r>
      <w:proofErr w:type="spellEnd"/>
      <w:r w:rsidR="00B54BD4">
        <w:t>, ou les indications « champ. » (</w:t>
      </w:r>
      <w:proofErr w:type="gramStart"/>
      <w:r w:rsidR="00B54BD4">
        <w:t>champenois</w:t>
      </w:r>
      <w:proofErr w:type="gramEnd"/>
      <w:r w:rsidR="00B54BD4">
        <w:t xml:space="preserve">) et leur sous-catégorie « champ. </w:t>
      </w:r>
      <w:proofErr w:type="spellStart"/>
      <w:proofErr w:type="gramStart"/>
      <w:r w:rsidR="00B54BD4">
        <w:t>mérid</w:t>
      </w:r>
      <w:proofErr w:type="spellEnd"/>
      <w:proofErr w:type="gramEnd"/>
      <w:r w:rsidR="00B54BD4">
        <w:t>. » (</w:t>
      </w:r>
      <w:proofErr w:type="gramStart"/>
      <w:r w:rsidR="00B54BD4">
        <w:t>champenois</w:t>
      </w:r>
      <w:proofErr w:type="gramEnd"/>
      <w:r w:rsidR="00B54BD4">
        <w:t xml:space="preserve"> méridional) au département de l’Aube. L’utilisation de ces données supplétives ne change guère la carte. On peut noter les points suivants :</w:t>
      </w:r>
    </w:p>
    <w:p w14:paraId="173520E7" w14:textId="7C1D078A" w:rsidR="00B54BD4" w:rsidRDefault="00B54BD4" w:rsidP="00B54BD4">
      <w:pPr>
        <w:pStyle w:val="Paragraphedeliste"/>
        <w:numPr>
          <w:ilvl w:val="0"/>
          <w:numId w:val="6"/>
        </w:numPr>
      </w:pPr>
      <w:r>
        <w:t>Le nombre de textes normands passe de 10 à 16, mais le taux de réduction des hiatus interne demeure 0% : cela renforce l’hypothèse selon laquelle certaines régions ne sont pas atteintes par cette réduction.</w:t>
      </w:r>
    </w:p>
    <w:p w14:paraId="0D6DB3B9" w14:textId="54087F66" w:rsidR="00B54BD4" w:rsidRDefault="00B54BD4" w:rsidP="00B54BD4">
      <w:pPr>
        <w:pStyle w:val="Paragraphedeliste"/>
        <w:numPr>
          <w:ilvl w:val="1"/>
          <w:numId w:val="6"/>
        </w:numPr>
      </w:pPr>
      <w:r>
        <w:lastRenderedPageBreak/>
        <w:t xml:space="preserve">De même pour </w:t>
      </w:r>
      <w:r w:rsidR="00EC3CD0">
        <w:t>l’Aube, qui passe de 5 à 17 textes, mais demeure à 0% de hiatus réduits</w:t>
      </w:r>
    </w:p>
    <w:p w14:paraId="09CABC47" w14:textId="02FF0BA0" w:rsidR="00B54BD4" w:rsidRDefault="00B54BD4" w:rsidP="00B54BD4">
      <w:pPr>
        <w:pStyle w:val="Paragraphedeliste"/>
        <w:numPr>
          <w:ilvl w:val="1"/>
          <w:numId w:val="6"/>
        </w:numPr>
      </w:pPr>
      <w:r>
        <w:t>De même pour la Wallonie, qui passe de 8 à 9 textes mais demeure à 0% de hiatus réduits</w:t>
      </w:r>
    </w:p>
    <w:p w14:paraId="00B72B07" w14:textId="650C5793" w:rsidR="00B54BD4" w:rsidRDefault="00B54BD4" w:rsidP="00B54BD4">
      <w:pPr>
        <w:pStyle w:val="Paragraphedeliste"/>
        <w:numPr>
          <w:ilvl w:val="1"/>
          <w:numId w:val="6"/>
        </w:numPr>
      </w:pPr>
      <w:r>
        <w:t>De même, dans une moindre mesure, pour la Somme et le Pas-de-Calais, qui passent de 22 à 25 textes, et de 6% à 5% de hiatus internes réduits.</w:t>
      </w:r>
    </w:p>
    <w:p w14:paraId="25889558" w14:textId="058D3D68" w:rsidR="00EC3CD0" w:rsidRDefault="00EC3CD0" w:rsidP="00EC3CD0">
      <w:pPr>
        <w:pStyle w:val="Paragraphedeliste"/>
        <w:numPr>
          <w:ilvl w:val="0"/>
          <w:numId w:val="6"/>
        </w:numPr>
      </w:pPr>
      <w:r>
        <w:t>Le nombre de textes anglo-normands passe de 5 à 22, et le taux de hiatus réduits passe de 59% à 48%. Cette réduction du taux reste raisonnable et cohérente ; l’Angleterre continue à être une des deux régions où les hiatus sont le plus réduits.</w:t>
      </w:r>
    </w:p>
    <w:p w14:paraId="1679770E" w14:textId="10C084B3" w:rsidR="00EC3CD0" w:rsidRDefault="00EC3CD0" w:rsidP="00EC3CD0">
      <w:pPr>
        <w:pStyle w:val="Paragraphedeliste"/>
        <w:numPr>
          <w:ilvl w:val="0"/>
          <w:numId w:val="6"/>
        </w:numPr>
      </w:pPr>
      <w:r>
        <w:t xml:space="preserve">Enfin, ces localisations supplétives permettent de combler deux trous dans les données, qui s’avèrent cohérents avec l’analyse proposée </w:t>
      </w:r>
      <w:r>
        <w:rPr>
          <w:i/>
          <w:iCs/>
        </w:rPr>
        <w:t>supra</w:t>
      </w:r>
      <w:r>
        <w:t> : l’Indre-et-Loire et le Nord disposent chacun d’un texte attestant uniquement des variantes non réduites des hiatus interne.</w:t>
      </w:r>
    </w:p>
    <w:p w14:paraId="43CB96AE" w14:textId="21932632" w:rsidR="00EC3CD0" w:rsidRDefault="00EC3CD0" w:rsidP="00EC3CD0">
      <w:r>
        <w:t xml:space="preserve">Ainsi, l’ajout de localisation philologiques sur la carte ne change guère la lecture que l’on peut en faire : la répartition continue à ignorer une petite moitié Sud-Ouest de la carte (mais marquée également par une absence totale de ces lemmes sur une partie du territoire), la Normandie, la frange Nord-Est de la région d’oïl ainsi qu’une bande de territoires comprenant les régions de </w:t>
      </w:r>
      <w:proofErr w:type="spellStart"/>
      <w:r>
        <w:t>Dees</w:t>
      </w:r>
      <w:proofErr w:type="spellEnd"/>
      <w:r>
        <w:t xml:space="preserve"> Indre et Cher, Nièvre et Allier, Yonne</w:t>
      </w:r>
      <w:r w:rsidR="00C65961">
        <w:t xml:space="preserve"> et</w:t>
      </w:r>
      <w:r>
        <w:t xml:space="preserve"> Aube</w:t>
      </w:r>
      <w:r w:rsidR="00C65961">
        <w:t>. En positif, les hiatus réduits se concentrent donc aux deux extrémités d’un large axe allant du Nord-Ouest (Angleterre) au Sud-Est (Bourgogne, Franche-Comté), et, dans une moindre mesure, au centre de cet axe (Orléanais, 17% ; région parisienne, 18% ; Aisne, 12% ; Meuse, 38%).</w:t>
      </w:r>
    </w:p>
    <w:p w14:paraId="252D172B" w14:textId="7B6AD083" w:rsidR="00C65961" w:rsidRDefault="00C65961" w:rsidP="00EC3CD0">
      <w:r>
        <w:t>Deux taux sont à relativiser par le faible nombre de textes sur lesquels ils portent : le taux de 50% de la Bourgogne (2 textes), et le taux de 38% de la Meuse. Si la réduction des hiatus internes est bien attestée dans ces deux régions, la valeur exacte de leur taux peut être surévaluée.</w:t>
      </w:r>
    </w:p>
    <w:sectPr w:rsidR="00C65961" w:rsidSect="00E6005A">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1EDB19" w14:textId="77777777" w:rsidR="004C5438" w:rsidRDefault="004C5438" w:rsidP="00C86D43">
      <w:pPr>
        <w:spacing w:before="0" w:after="0" w:line="240" w:lineRule="auto"/>
      </w:pPr>
      <w:r>
        <w:separator/>
      </w:r>
    </w:p>
  </w:endnote>
  <w:endnote w:type="continuationSeparator" w:id="0">
    <w:p w14:paraId="477A3F65" w14:textId="77777777" w:rsidR="004C5438" w:rsidRDefault="004C5438" w:rsidP="00C86D43">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sto MT">
    <w:panose1 w:val="02040603050505030304"/>
    <w:charset w:val="4D"/>
    <w:family w:val="roman"/>
    <w:pitch w:val="variable"/>
    <w:sig w:usb0="00000003" w:usb1="00000000" w:usb2="00000000" w:usb3="00000000" w:csb0="00000001" w:csb1="00000000"/>
  </w:font>
  <w:font w:name="Times New Roman (Titres CS)">
    <w:altName w:val="Times New Roman"/>
    <w:panose1 w:val="02020603050405020304"/>
    <w:charset w:val="00"/>
    <w:family w:val="roman"/>
    <w:pitch w:val="variable"/>
    <w:sig w:usb0="E0002AEF" w:usb1="C0007841" w:usb2="00000009" w:usb3="00000000" w:csb0="000001FF" w:csb1="00000000"/>
  </w:font>
  <w:font w:name="American Typewriter">
    <w:panose1 w:val="02090604020004020304"/>
    <w:charset w:val="4D"/>
    <w:family w:val="roman"/>
    <w:pitch w:val="variable"/>
    <w:sig w:usb0="A000006F" w:usb1="00000019" w:usb2="00000000" w:usb3="00000000" w:csb0="0000011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FFE02" w14:textId="77777777" w:rsidR="004C5438" w:rsidRDefault="004C5438" w:rsidP="00C86D43">
      <w:pPr>
        <w:spacing w:before="0" w:after="0" w:line="240" w:lineRule="auto"/>
      </w:pPr>
      <w:r>
        <w:separator/>
      </w:r>
    </w:p>
  </w:footnote>
  <w:footnote w:type="continuationSeparator" w:id="0">
    <w:p w14:paraId="32142170" w14:textId="77777777" w:rsidR="004C5438" w:rsidRDefault="004C5438" w:rsidP="00C86D43">
      <w:pPr>
        <w:spacing w:before="0" w:after="0" w:line="240" w:lineRule="auto"/>
      </w:pPr>
      <w:r>
        <w:continuationSeparator/>
      </w:r>
    </w:p>
  </w:footnote>
  <w:footnote w:id="1">
    <w:p w14:paraId="29A84CF6" w14:textId="2D5B012A" w:rsidR="00C86D43" w:rsidRDefault="00C86D43">
      <w:pPr>
        <w:pStyle w:val="Notedebasdepage"/>
      </w:pPr>
      <w:r>
        <w:rPr>
          <w:rStyle w:val="Appelnotedebasdep"/>
        </w:rPr>
        <w:footnoteRef/>
      </w:r>
      <w:r>
        <w:t xml:space="preserve"> Marie de France, </w:t>
      </w:r>
      <w:r w:rsidRPr="00C86D43">
        <w:rPr>
          <w:i/>
          <w:iCs/>
        </w:rPr>
        <w:t xml:space="preserve">Lai de </w:t>
      </w:r>
      <w:proofErr w:type="spellStart"/>
      <w:r w:rsidRPr="00C86D43">
        <w:rPr>
          <w:i/>
          <w:iCs/>
        </w:rPr>
        <w:t>Yonec</w:t>
      </w:r>
      <w:proofErr w:type="spellEnd"/>
      <w:r>
        <w:t>, ms. H.</w:t>
      </w:r>
    </w:p>
  </w:footnote>
  <w:footnote w:id="2">
    <w:p w14:paraId="3F66577C" w14:textId="321366C9" w:rsidR="00C20C4F" w:rsidRPr="00C20C4F" w:rsidRDefault="00C20C4F">
      <w:pPr>
        <w:pStyle w:val="Notedebasdepage"/>
      </w:pPr>
      <w:r>
        <w:rPr>
          <w:rStyle w:val="Appelnotedebasdep"/>
        </w:rPr>
        <w:footnoteRef/>
      </w:r>
      <w:r>
        <w:t xml:space="preserve"> </w:t>
      </w:r>
      <w:r>
        <w:rPr>
          <w:i/>
          <w:iCs/>
        </w:rPr>
        <w:t>Les quatre livres des rois</w:t>
      </w:r>
      <w:r>
        <w:t>, ms. M.</w:t>
      </w:r>
    </w:p>
  </w:footnote>
  <w:footnote w:id="3">
    <w:p w14:paraId="66FAF3BD" w14:textId="17A10F67" w:rsidR="00C20C4F" w:rsidRPr="00C20C4F" w:rsidRDefault="00C20C4F">
      <w:pPr>
        <w:pStyle w:val="Notedebasdepage"/>
        <w:rPr>
          <w:i/>
          <w:iCs/>
        </w:rPr>
      </w:pPr>
      <w:r>
        <w:rPr>
          <w:rStyle w:val="Appelnotedebasdep"/>
        </w:rPr>
        <w:footnoteRef/>
      </w:r>
      <w:r>
        <w:t xml:space="preserve"> </w:t>
      </w:r>
      <w:r>
        <w:rPr>
          <w:i/>
          <w:iCs/>
        </w:rPr>
        <w:t>Le bestiaire de Gervaise</w:t>
      </w:r>
    </w:p>
  </w:footnote>
  <w:footnote w:id="4">
    <w:p w14:paraId="6594D7E7" w14:textId="268D18FE" w:rsidR="00C20C4F" w:rsidRPr="00C20C4F" w:rsidRDefault="00C20C4F">
      <w:pPr>
        <w:pStyle w:val="Notedebasdepage"/>
      </w:pPr>
      <w:r>
        <w:rPr>
          <w:rStyle w:val="Appelnotedebasdep"/>
        </w:rPr>
        <w:footnoteRef/>
      </w:r>
      <w:r>
        <w:t xml:space="preserve"> </w:t>
      </w:r>
      <w:r>
        <w:rPr>
          <w:i/>
          <w:iCs/>
        </w:rPr>
        <w:t xml:space="preserve">Le conte </w:t>
      </w:r>
      <w:proofErr w:type="spellStart"/>
      <w:r>
        <w:rPr>
          <w:i/>
          <w:iCs/>
        </w:rPr>
        <w:t>dou</w:t>
      </w:r>
      <w:proofErr w:type="spellEnd"/>
      <w:r>
        <w:rPr>
          <w:i/>
          <w:iCs/>
        </w:rPr>
        <w:t xml:space="preserve"> </w:t>
      </w:r>
      <w:proofErr w:type="spellStart"/>
      <w:r>
        <w:rPr>
          <w:i/>
          <w:iCs/>
        </w:rPr>
        <w:t>barril</w:t>
      </w:r>
      <w:proofErr w:type="spellEnd"/>
      <w:r>
        <w:rPr>
          <w:i/>
          <w:iCs/>
        </w:rPr>
        <w:t xml:space="preserve">, par </w:t>
      </w:r>
      <w:proofErr w:type="spellStart"/>
      <w:r>
        <w:rPr>
          <w:i/>
          <w:iCs/>
        </w:rPr>
        <w:t>Jouham</w:t>
      </w:r>
      <w:proofErr w:type="spellEnd"/>
      <w:r>
        <w:rPr>
          <w:i/>
          <w:iCs/>
        </w:rPr>
        <w:t xml:space="preserve"> de la </w:t>
      </w:r>
      <w:proofErr w:type="spellStart"/>
      <w:r>
        <w:rPr>
          <w:i/>
          <w:iCs/>
        </w:rPr>
        <w:t>Chapele</w:t>
      </w:r>
      <w:proofErr w:type="spellEnd"/>
      <w:r>
        <w:rPr>
          <w:i/>
          <w:iCs/>
        </w:rPr>
        <w:t xml:space="preserve"> de Blois</w:t>
      </w:r>
      <w:r>
        <w:t>, ms. P.</w:t>
      </w:r>
    </w:p>
  </w:footnote>
  <w:footnote w:id="5">
    <w:p w14:paraId="651F474B" w14:textId="30E616E2" w:rsidR="00C20C4F" w:rsidRPr="00D45E48" w:rsidRDefault="00C20C4F">
      <w:pPr>
        <w:pStyle w:val="Notedebasdepage"/>
        <w:rPr>
          <w:lang w:val="en-US"/>
        </w:rPr>
      </w:pPr>
      <w:r>
        <w:rPr>
          <w:rStyle w:val="Appelnotedebasdep"/>
        </w:rPr>
        <w:footnoteRef/>
      </w:r>
      <w:r>
        <w:t xml:space="preserve"> </w:t>
      </w:r>
      <w:r w:rsidRPr="00C20C4F">
        <w:rPr>
          <w:i/>
          <w:iCs/>
        </w:rPr>
        <w:t xml:space="preserve">Saint </w:t>
      </w:r>
      <w:proofErr w:type="spellStart"/>
      <w:r w:rsidRPr="00C20C4F">
        <w:rPr>
          <w:i/>
          <w:iCs/>
        </w:rPr>
        <w:t>Modwenna</w:t>
      </w:r>
      <w:proofErr w:type="spellEnd"/>
      <w:r>
        <w:t xml:space="preserve"> (hagiographie : </w:t>
      </w:r>
      <w:r>
        <w:rPr>
          <w:i/>
          <w:iCs/>
        </w:rPr>
        <w:t xml:space="preserve">Vie de Saint </w:t>
      </w:r>
      <w:proofErr w:type="spellStart"/>
      <w:r>
        <w:rPr>
          <w:i/>
          <w:iCs/>
        </w:rPr>
        <w:t>Modwenna</w:t>
      </w:r>
      <w:proofErr w:type="spellEnd"/>
      <w:r>
        <w:t> ?)</w:t>
      </w:r>
      <w:r w:rsidRPr="00C20C4F">
        <w:t xml:space="preserve">, ms. </w:t>
      </w:r>
      <w:r w:rsidRPr="00D45E48">
        <w:rPr>
          <w:lang w:val="en-US"/>
        </w:rPr>
        <w:t>O</w:t>
      </w:r>
    </w:p>
  </w:footnote>
  <w:footnote w:id="6">
    <w:p w14:paraId="77C52640" w14:textId="1CD087AF" w:rsidR="00F75ADD" w:rsidRPr="00D45E48" w:rsidRDefault="00F75ADD">
      <w:pPr>
        <w:pStyle w:val="Notedebasdepage"/>
        <w:rPr>
          <w:lang w:val="en-US"/>
        </w:rPr>
      </w:pPr>
      <w:r>
        <w:rPr>
          <w:rStyle w:val="Appelnotedebasdep"/>
        </w:rPr>
        <w:footnoteRef/>
      </w:r>
      <w:r w:rsidRPr="00D45E48">
        <w:rPr>
          <w:lang w:val="en-US"/>
        </w:rPr>
        <w:t xml:space="preserve"> Coll. de fabliaux</w:t>
      </w:r>
    </w:p>
  </w:footnote>
  <w:footnote w:id="7">
    <w:p w14:paraId="2F21B3A2" w14:textId="645CFE8B" w:rsidR="0049107E" w:rsidRPr="004624DD" w:rsidRDefault="0049107E" w:rsidP="0049107E">
      <w:pPr>
        <w:pStyle w:val="Notedebasdepage"/>
        <w:rPr>
          <w:lang w:val="en-US"/>
        </w:rPr>
      </w:pPr>
      <w:r>
        <w:rPr>
          <w:rStyle w:val="Appelnotedebasdep"/>
        </w:rPr>
        <w:footnoteRef/>
      </w:r>
      <w:r w:rsidRPr="004624DD">
        <w:rPr>
          <w:lang w:val="en-US"/>
        </w:rPr>
        <w:t xml:space="preserve"> </w:t>
      </w:r>
      <w:r w:rsidRPr="004624DD">
        <w:rPr>
          <w:rFonts w:ascii="American Typewriter" w:hAnsi="American Typewriter"/>
          <w:lang w:val="en-US"/>
        </w:rPr>
        <w:t>length(which(</w:t>
      </w:r>
      <w:proofErr w:type="spellStart"/>
      <w:r w:rsidRPr="004624DD">
        <w:rPr>
          <w:rFonts w:ascii="American Typewriter" w:hAnsi="American Typewriter"/>
          <w:lang w:val="en-US"/>
        </w:rPr>
        <w:t>POS_EnonE_count$n.nonE</w:t>
      </w:r>
      <w:proofErr w:type="spellEnd"/>
      <w:r w:rsidRPr="004624DD">
        <w:rPr>
          <w:rFonts w:ascii="American Typewriter" w:hAnsi="American Typewriter"/>
          <w:lang w:val="en-US"/>
        </w:rPr>
        <w:t xml:space="preserve"> == 0))</w:t>
      </w:r>
    </w:p>
  </w:footnote>
  <w:footnote w:id="8">
    <w:p w14:paraId="42E1A541" w14:textId="33B18B76" w:rsidR="0042630A" w:rsidRPr="0042630A" w:rsidRDefault="0042630A">
      <w:pPr>
        <w:pStyle w:val="Notedebasdepage"/>
        <w:rPr>
          <w:lang w:val="en-US"/>
        </w:rPr>
      </w:pPr>
      <w:r>
        <w:rPr>
          <w:rStyle w:val="Appelnotedebasdep"/>
        </w:rPr>
        <w:footnoteRef/>
      </w:r>
      <w:r w:rsidRPr="0042630A">
        <w:rPr>
          <w:lang w:val="en-US"/>
        </w:rPr>
        <w:t xml:space="preserve"> </w:t>
      </w:r>
      <w:proofErr w:type="spellStart"/>
      <w:r w:rsidRPr="0042630A">
        <w:rPr>
          <w:lang w:val="en-US"/>
        </w:rPr>
        <w:t>aileg</w:t>
      </w:r>
      <w:proofErr w:type="spellEnd"/>
      <w:r w:rsidRPr="0042630A">
        <w:rPr>
          <w:lang w:val="en-US"/>
        </w:rPr>
        <w:t xml:space="preserve">, </w:t>
      </w:r>
      <w:proofErr w:type="spellStart"/>
      <w:r w:rsidRPr="0042630A">
        <w:rPr>
          <w:lang w:val="en-US"/>
        </w:rPr>
        <w:t>edmond</w:t>
      </w:r>
      <w:proofErr w:type="spellEnd"/>
      <w:r w:rsidRPr="0042630A">
        <w:rPr>
          <w:lang w:val="en-US"/>
        </w:rPr>
        <w:t xml:space="preserve">, </w:t>
      </w:r>
      <w:proofErr w:type="spellStart"/>
      <w:r w:rsidRPr="0042630A">
        <w:rPr>
          <w:lang w:val="en-US"/>
        </w:rPr>
        <w:t>fablesB</w:t>
      </w:r>
      <w:proofErr w:type="spellEnd"/>
      <w:r w:rsidRPr="0042630A">
        <w:rPr>
          <w:lang w:val="en-US"/>
        </w:rPr>
        <w:t xml:space="preserve">, </w:t>
      </w:r>
      <w:proofErr w:type="spellStart"/>
      <w:r w:rsidRPr="0042630A">
        <w:rPr>
          <w:lang w:val="en-US"/>
        </w:rPr>
        <w:t>gerv</w:t>
      </w:r>
      <w:proofErr w:type="spellEnd"/>
      <w:r w:rsidRPr="0042630A">
        <w:rPr>
          <w:lang w:val="en-US"/>
        </w:rPr>
        <w:t xml:space="preserve">, </w:t>
      </w:r>
      <w:proofErr w:type="spellStart"/>
      <w:r w:rsidRPr="0042630A">
        <w:rPr>
          <w:lang w:val="en-US"/>
        </w:rPr>
        <w:t>gibv</w:t>
      </w:r>
      <w:proofErr w:type="spellEnd"/>
      <w:r w:rsidRPr="0042630A">
        <w:rPr>
          <w:lang w:val="en-US"/>
        </w:rPr>
        <w:t>,</w:t>
      </w:r>
      <w:r>
        <w:rPr>
          <w:lang w:val="en-US"/>
        </w:rPr>
        <w:t xml:space="preserve"> </w:t>
      </w:r>
      <w:proofErr w:type="spellStart"/>
      <w:r>
        <w:rPr>
          <w:lang w:val="en-US"/>
        </w:rPr>
        <w:t>joinv</w:t>
      </w:r>
      <w:proofErr w:type="spellEnd"/>
      <w:r>
        <w:rPr>
          <w:lang w:val="en-US"/>
        </w:rPr>
        <w:t xml:space="preserve">, </w:t>
      </w:r>
      <w:proofErr w:type="spellStart"/>
      <w:r>
        <w:rPr>
          <w:lang w:val="en-US"/>
        </w:rPr>
        <w:t>miro</w:t>
      </w:r>
      <w:proofErr w:type="spellEnd"/>
      <w:r>
        <w:rPr>
          <w:lang w:val="en-US"/>
        </w:rPr>
        <w:t xml:space="preserve">, </w:t>
      </w:r>
      <w:proofErr w:type="spellStart"/>
      <w:r>
        <w:rPr>
          <w:lang w:val="en-US"/>
        </w:rPr>
        <w:t>plainte</w:t>
      </w:r>
      <w:proofErr w:type="spellEnd"/>
      <w:r>
        <w:rPr>
          <w:lang w:val="en-US"/>
        </w:rPr>
        <w:t xml:space="preserve">, </w:t>
      </w:r>
      <w:proofErr w:type="spellStart"/>
      <w:r>
        <w:rPr>
          <w:lang w:val="en-US"/>
        </w:rPr>
        <w:t>psautier</w:t>
      </w:r>
      <w:proofErr w:type="spellEnd"/>
      <w:r>
        <w:rPr>
          <w:lang w:val="en-US"/>
        </w:rPr>
        <w:t xml:space="preserve">, </w:t>
      </w:r>
      <w:proofErr w:type="spellStart"/>
      <w:r>
        <w:rPr>
          <w:lang w:val="en-US"/>
        </w:rPr>
        <w:t>yonecH</w:t>
      </w:r>
      <w:proofErr w:type="spellEnd"/>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15E8F"/>
    <w:multiLevelType w:val="hybridMultilevel"/>
    <w:tmpl w:val="BC383F38"/>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1" w15:restartNumberingAfterBreak="0">
    <w:nsid w:val="2DD630D1"/>
    <w:multiLevelType w:val="hybridMultilevel"/>
    <w:tmpl w:val="0D7A5D82"/>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15:restartNumberingAfterBreak="0">
    <w:nsid w:val="398308CB"/>
    <w:multiLevelType w:val="hybridMultilevel"/>
    <w:tmpl w:val="0D12E096"/>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3" w15:restartNumberingAfterBreak="0">
    <w:nsid w:val="46810325"/>
    <w:multiLevelType w:val="hybridMultilevel"/>
    <w:tmpl w:val="179E5D82"/>
    <w:lvl w:ilvl="0" w:tplc="040C000F">
      <w:start w:val="1"/>
      <w:numFmt w:val="decimal"/>
      <w:lvlText w:val="%1."/>
      <w:lvlJc w:val="left"/>
      <w:pPr>
        <w:ind w:left="1117" w:hanging="360"/>
      </w:pPr>
      <w:rPr>
        <w:rFonts w:hint="default"/>
      </w:rPr>
    </w:lvl>
    <w:lvl w:ilvl="1" w:tplc="040C0003">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4" w15:restartNumberingAfterBreak="0">
    <w:nsid w:val="63D36229"/>
    <w:multiLevelType w:val="multilevel"/>
    <w:tmpl w:val="7B806FAE"/>
    <w:lvl w:ilvl="0">
      <w:start w:val="1"/>
      <w:numFmt w:val="upperRoman"/>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lowerLetter"/>
      <w:pStyle w:val="Titre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33949104">
    <w:abstractNumId w:val="4"/>
  </w:num>
  <w:num w:numId="2" w16cid:durableId="2053185205">
    <w:abstractNumId w:val="4"/>
  </w:num>
  <w:num w:numId="3" w16cid:durableId="464860811">
    <w:abstractNumId w:val="4"/>
  </w:num>
  <w:num w:numId="4" w16cid:durableId="1557207254">
    <w:abstractNumId w:val="0"/>
  </w:num>
  <w:num w:numId="5" w16cid:durableId="1827238397">
    <w:abstractNumId w:val="2"/>
  </w:num>
  <w:num w:numId="6" w16cid:durableId="2073387645">
    <w:abstractNumId w:val="1"/>
  </w:num>
  <w:num w:numId="7" w16cid:durableId="13495272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8"/>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FF5"/>
    <w:rsid w:val="00057D2C"/>
    <w:rsid w:val="001F6755"/>
    <w:rsid w:val="0026588B"/>
    <w:rsid w:val="0042630A"/>
    <w:rsid w:val="004624DD"/>
    <w:rsid w:val="00473C83"/>
    <w:rsid w:val="0049107E"/>
    <w:rsid w:val="004C28F6"/>
    <w:rsid w:val="004C5438"/>
    <w:rsid w:val="004D3D7D"/>
    <w:rsid w:val="004F05D0"/>
    <w:rsid w:val="004F2071"/>
    <w:rsid w:val="005A6E45"/>
    <w:rsid w:val="005B06E2"/>
    <w:rsid w:val="007B3E0A"/>
    <w:rsid w:val="009549DB"/>
    <w:rsid w:val="00961772"/>
    <w:rsid w:val="009935DE"/>
    <w:rsid w:val="00A11FF5"/>
    <w:rsid w:val="00A12B60"/>
    <w:rsid w:val="00A24454"/>
    <w:rsid w:val="00AD6CBB"/>
    <w:rsid w:val="00B54BD4"/>
    <w:rsid w:val="00BD4FAD"/>
    <w:rsid w:val="00C20C4F"/>
    <w:rsid w:val="00C32587"/>
    <w:rsid w:val="00C41C28"/>
    <w:rsid w:val="00C65961"/>
    <w:rsid w:val="00C86D43"/>
    <w:rsid w:val="00D45E48"/>
    <w:rsid w:val="00E6005A"/>
    <w:rsid w:val="00EB5213"/>
    <w:rsid w:val="00EC3CD0"/>
    <w:rsid w:val="00F42DF5"/>
    <w:rsid w:val="00F5469E"/>
    <w:rsid w:val="00F75AD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0DA723C"/>
  <w15:chartTrackingRefBased/>
  <w15:docId w15:val="{9FCBBC12-1CB6-D646-B20C-52BEB3223E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071"/>
    <w:pPr>
      <w:spacing w:before="120" w:after="120" w:line="300" w:lineRule="atLeast"/>
      <w:ind w:firstLine="397"/>
      <w:jc w:val="both"/>
    </w:pPr>
    <w:rPr>
      <w:rFonts w:ascii="Cambria" w:eastAsia="SimSun" w:hAnsi="Cambria"/>
      <w:sz w:val="22"/>
    </w:rPr>
  </w:style>
  <w:style w:type="paragraph" w:styleId="Titre1">
    <w:name w:val="heading 1"/>
    <w:basedOn w:val="Normal"/>
    <w:next w:val="Normal"/>
    <w:link w:val="Titre1Car"/>
    <w:autoRedefine/>
    <w:uiPriority w:val="9"/>
    <w:qFormat/>
    <w:rsid w:val="004F2071"/>
    <w:pPr>
      <w:keepNext/>
      <w:keepLines/>
      <w:numPr>
        <w:numId w:val="3"/>
      </w:numPr>
      <w:spacing w:before="360" w:line="240" w:lineRule="auto"/>
      <w:outlineLvl w:val="0"/>
    </w:pPr>
    <w:rPr>
      <w:rFonts w:ascii="Calisto MT" w:eastAsiaTheme="majorEastAsia" w:hAnsi="Calisto MT" w:cs="Times New Roman (Titres CS)"/>
      <w:color w:val="000000" w:themeColor="text1"/>
      <w:sz w:val="32"/>
      <w:szCs w:val="32"/>
      <w14:ligatures w14:val="all"/>
      <w14:numForm w14:val="oldStyle"/>
      <w14:cntxtAlts/>
    </w:rPr>
  </w:style>
  <w:style w:type="paragraph" w:styleId="Titre2">
    <w:name w:val="heading 2"/>
    <w:basedOn w:val="Titre1"/>
    <w:next w:val="Normal"/>
    <w:link w:val="Titre2Car"/>
    <w:autoRedefine/>
    <w:uiPriority w:val="9"/>
    <w:unhideWhenUsed/>
    <w:qFormat/>
    <w:rsid w:val="004F2071"/>
    <w:pPr>
      <w:numPr>
        <w:ilvl w:val="1"/>
      </w:numPr>
      <w:spacing w:before="240"/>
      <w:outlineLvl w:val="1"/>
    </w:pPr>
    <w:rPr>
      <w:sz w:val="28"/>
      <w:szCs w:val="26"/>
    </w:rPr>
  </w:style>
  <w:style w:type="paragraph" w:styleId="Titre3">
    <w:name w:val="heading 3"/>
    <w:basedOn w:val="Titre2"/>
    <w:next w:val="Normal"/>
    <w:link w:val="Titre3Car"/>
    <w:autoRedefine/>
    <w:uiPriority w:val="9"/>
    <w:unhideWhenUsed/>
    <w:qFormat/>
    <w:rsid w:val="00D45E48"/>
    <w:pPr>
      <w:numPr>
        <w:ilvl w:val="2"/>
        <w:numId w:val="1"/>
      </w:numPr>
      <w:spacing w:after="0"/>
      <w:outlineLvl w:val="2"/>
    </w:pPr>
    <w:rPr>
      <w:sz w:val="24"/>
      <w14:ligatures w14:val="historicalDiscretion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Bibliographie">
    <w:name w:val="Bibliography"/>
    <w:basedOn w:val="Normal"/>
    <w:next w:val="Normal"/>
    <w:autoRedefine/>
    <w:uiPriority w:val="37"/>
    <w:semiHidden/>
    <w:unhideWhenUsed/>
    <w:qFormat/>
    <w:rsid w:val="00BD4FAD"/>
    <w:pPr>
      <w:spacing w:line="300" w:lineRule="exact"/>
      <w:ind w:left="397" w:hanging="397"/>
    </w:pPr>
  </w:style>
  <w:style w:type="paragraph" w:customStyle="1" w:styleId="Citationsansbarre">
    <w:name w:val="Citation sans barre"/>
    <w:basedOn w:val="Citation"/>
    <w:autoRedefine/>
    <w:qFormat/>
    <w:rsid w:val="004F2071"/>
    <w:rPr>
      <w:rFonts w:eastAsia="SimSun"/>
      <w:i/>
    </w:rPr>
  </w:style>
  <w:style w:type="paragraph" w:styleId="Citation">
    <w:name w:val="Quote"/>
    <w:aliases w:val="Citation avec bordure"/>
    <w:basedOn w:val="Normal"/>
    <w:next w:val="Normal"/>
    <w:link w:val="CitationCar"/>
    <w:autoRedefine/>
    <w:uiPriority w:val="29"/>
    <w:qFormat/>
    <w:rsid w:val="004F2071"/>
    <w:pPr>
      <w:pBdr>
        <w:left w:val="single" w:sz="4" w:space="4" w:color="404040" w:themeColor="text1" w:themeTint="BF"/>
      </w:pBdr>
      <w:spacing w:before="0" w:after="0" w:line="240" w:lineRule="auto"/>
      <w:ind w:left="851" w:firstLine="0"/>
    </w:pPr>
    <w:rPr>
      <w:rFonts w:eastAsiaTheme="minorHAnsi"/>
      <w:iCs/>
      <w:color w:val="000000" w:themeColor="text1"/>
    </w:rPr>
  </w:style>
  <w:style w:type="character" w:customStyle="1" w:styleId="CitationCar">
    <w:name w:val="Citation Car"/>
    <w:aliases w:val="Citation avec bordure Car"/>
    <w:basedOn w:val="Policepardfaut"/>
    <w:link w:val="Citation"/>
    <w:uiPriority w:val="29"/>
    <w:rsid w:val="004F2071"/>
    <w:rPr>
      <w:rFonts w:ascii="Cambria" w:hAnsi="Cambria"/>
      <w:iCs/>
      <w:color w:val="000000" w:themeColor="text1"/>
      <w:sz w:val="22"/>
    </w:rPr>
  </w:style>
  <w:style w:type="character" w:customStyle="1" w:styleId="Titre1Car">
    <w:name w:val="Titre 1 Car"/>
    <w:basedOn w:val="Policepardfaut"/>
    <w:link w:val="Titre1"/>
    <w:uiPriority w:val="9"/>
    <w:rsid w:val="004F2071"/>
    <w:rPr>
      <w:rFonts w:ascii="Calisto MT" w:eastAsiaTheme="majorEastAsia" w:hAnsi="Calisto MT" w:cs="Times New Roman (Titres CS)"/>
      <w:color w:val="000000" w:themeColor="text1"/>
      <w:sz w:val="32"/>
      <w:szCs w:val="32"/>
      <w14:ligatures w14:val="all"/>
      <w14:numForm w14:val="oldStyle"/>
      <w14:cntxtAlts/>
    </w:rPr>
  </w:style>
  <w:style w:type="character" w:customStyle="1" w:styleId="Titre2Car">
    <w:name w:val="Titre 2 Car"/>
    <w:basedOn w:val="Policepardfaut"/>
    <w:link w:val="Titre2"/>
    <w:uiPriority w:val="9"/>
    <w:rsid w:val="004F2071"/>
    <w:rPr>
      <w:rFonts w:ascii="Calisto MT" w:eastAsiaTheme="majorEastAsia" w:hAnsi="Calisto MT" w:cs="Times New Roman (Titres CS)"/>
      <w:color w:val="000000" w:themeColor="text1"/>
      <w:sz w:val="28"/>
      <w:szCs w:val="26"/>
      <w14:ligatures w14:val="all"/>
      <w14:numForm w14:val="oldStyle"/>
      <w14:cntxtAlts/>
    </w:rPr>
  </w:style>
  <w:style w:type="character" w:customStyle="1" w:styleId="Titre3Car">
    <w:name w:val="Titre 3 Car"/>
    <w:basedOn w:val="Policepardfaut"/>
    <w:link w:val="Titre3"/>
    <w:uiPriority w:val="9"/>
    <w:rsid w:val="00D45E48"/>
    <w:rPr>
      <w:rFonts w:ascii="Calisto MT" w:eastAsiaTheme="majorEastAsia" w:hAnsi="Calisto MT" w:cs="Times New Roman (Titres CS)"/>
      <w:color w:val="000000" w:themeColor="text1"/>
      <w:szCs w:val="26"/>
      <w14:ligatures w14:val="historicalDiscretional"/>
      <w14:numForm w14:val="oldStyle"/>
      <w14:cntxtAlts/>
    </w:rPr>
  </w:style>
  <w:style w:type="paragraph" w:styleId="Titre">
    <w:name w:val="Title"/>
    <w:basedOn w:val="Normal"/>
    <w:next w:val="Normal"/>
    <w:link w:val="TitreCar"/>
    <w:autoRedefine/>
    <w:uiPriority w:val="10"/>
    <w:qFormat/>
    <w:rsid w:val="004F2071"/>
    <w:pPr>
      <w:spacing w:before="0" w:line="240" w:lineRule="auto"/>
      <w:ind w:firstLine="0"/>
      <w:contextualSpacing/>
      <w:jc w:val="center"/>
    </w:pPr>
    <w:rPr>
      <w:rFonts w:ascii="Calisto MT" w:eastAsiaTheme="majorEastAsia" w:hAnsi="Calisto MT" w:cstheme="majorBidi"/>
      <w:spacing w:val="-10"/>
      <w:kern w:val="28"/>
      <w:sz w:val="56"/>
      <w:szCs w:val="56"/>
    </w:rPr>
  </w:style>
  <w:style w:type="character" w:customStyle="1" w:styleId="TitreCar">
    <w:name w:val="Titre Car"/>
    <w:basedOn w:val="Policepardfaut"/>
    <w:link w:val="Titre"/>
    <w:uiPriority w:val="10"/>
    <w:rsid w:val="004F2071"/>
    <w:rPr>
      <w:rFonts w:ascii="Calisto MT" w:eastAsiaTheme="majorEastAsia" w:hAnsi="Calisto MT" w:cstheme="majorBidi"/>
      <w:spacing w:val="-10"/>
      <w:kern w:val="28"/>
      <w:sz w:val="56"/>
      <w:szCs w:val="56"/>
    </w:rPr>
  </w:style>
  <w:style w:type="paragraph" w:styleId="Sous-titre">
    <w:name w:val="Subtitle"/>
    <w:basedOn w:val="Normal"/>
    <w:next w:val="Normal"/>
    <w:link w:val="Sous-titreCar"/>
    <w:autoRedefine/>
    <w:uiPriority w:val="11"/>
    <w:qFormat/>
    <w:rsid w:val="004F2071"/>
    <w:pPr>
      <w:numPr>
        <w:ilvl w:val="1"/>
      </w:numPr>
      <w:spacing w:after="160"/>
      <w:ind w:firstLine="397"/>
      <w:jc w:val="center"/>
    </w:pPr>
    <w:rPr>
      <w:rFonts w:ascii="Calisto MT" w:eastAsiaTheme="minorEastAsia" w:hAnsi="Calisto MT"/>
      <w:color w:val="000000" w:themeColor="text1"/>
      <w:spacing w:val="15"/>
      <w:sz w:val="28"/>
      <w:szCs w:val="22"/>
    </w:rPr>
  </w:style>
  <w:style w:type="character" w:customStyle="1" w:styleId="Sous-titreCar">
    <w:name w:val="Sous-titre Car"/>
    <w:basedOn w:val="Policepardfaut"/>
    <w:link w:val="Sous-titre"/>
    <w:uiPriority w:val="11"/>
    <w:rsid w:val="004F2071"/>
    <w:rPr>
      <w:rFonts w:ascii="Calisto MT" w:eastAsiaTheme="minorEastAsia" w:hAnsi="Calisto MT"/>
      <w:color w:val="000000" w:themeColor="text1"/>
      <w:spacing w:val="15"/>
      <w:sz w:val="28"/>
      <w:szCs w:val="22"/>
    </w:rPr>
  </w:style>
  <w:style w:type="paragraph" w:styleId="Lgende">
    <w:name w:val="caption"/>
    <w:basedOn w:val="Normal"/>
    <w:next w:val="Normal"/>
    <w:autoRedefine/>
    <w:uiPriority w:val="35"/>
    <w:unhideWhenUsed/>
    <w:qFormat/>
    <w:rsid w:val="00C32587"/>
    <w:pPr>
      <w:spacing w:before="0" w:line="240" w:lineRule="auto"/>
      <w:ind w:firstLine="0"/>
      <w:jc w:val="center"/>
    </w:pPr>
    <w:rPr>
      <w:iCs/>
      <w:color w:val="000000" w:themeColor="text1"/>
      <w:sz w:val="20"/>
      <w:szCs w:val="18"/>
    </w:rPr>
  </w:style>
  <w:style w:type="paragraph" w:styleId="Paragraphedeliste">
    <w:name w:val="List Paragraph"/>
    <w:basedOn w:val="Normal"/>
    <w:uiPriority w:val="34"/>
    <w:qFormat/>
    <w:rsid w:val="00A11FF5"/>
    <w:pPr>
      <w:ind w:left="720"/>
      <w:contextualSpacing/>
    </w:pPr>
  </w:style>
  <w:style w:type="paragraph" w:styleId="Notedebasdepage">
    <w:name w:val="footnote text"/>
    <w:basedOn w:val="Normal"/>
    <w:link w:val="NotedebasdepageCar"/>
    <w:uiPriority w:val="99"/>
    <w:semiHidden/>
    <w:unhideWhenUsed/>
    <w:rsid w:val="00C86D43"/>
    <w:pPr>
      <w:spacing w:before="0" w:after="0" w:line="240" w:lineRule="auto"/>
    </w:pPr>
    <w:rPr>
      <w:sz w:val="20"/>
      <w:szCs w:val="20"/>
    </w:rPr>
  </w:style>
  <w:style w:type="character" w:customStyle="1" w:styleId="NotedebasdepageCar">
    <w:name w:val="Note de bas de page Car"/>
    <w:basedOn w:val="Policepardfaut"/>
    <w:link w:val="Notedebasdepage"/>
    <w:uiPriority w:val="99"/>
    <w:semiHidden/>
    <w:rsid w:val="00C86D43"/>
    <w:rPr>
      <w:rFonts w:ascii="Cambria" w:eastAsia="SimSun" w:hAnsi="Cambria"/>
      <w:sz w:val="20"/>
      <w:szCs w:val="20"/>
    </w:rPr>
  </w:style>
  <w:style w:type="character" w:styleId="Appelnotedebasdep">
    <w:name w:val="footnote reference"/>
    <w:basedOn w:val="Policepardfaut"/>
    <w:uiPriority w:val="99"/>
    <w:semiHidden/>
    <w:unhideWhenUsed/>
    <w:rsid w:val="00C86D43"/>
    <w:rPr>
      <w:vertAlign w:val="superscript"/>
    </w:rPr>
  </w:style>
  <w:style w:type="table" w:styleId="Grilledutableau">
    <w:name w:val="Table Grid"/>
    <w:basedOn w:val="TableauNormal"/>
    <w:uiPriority w:val="39"/>
    <w:rsid w:val="00F75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BC4AD-F169-4A4F-BDA1-EE08D9F2F6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8</Pages>
  <Words>2090</Words>
  <Characters>11500</Characters>
  <Application>Microsoft Office Word</Application>
  <DocSecurity>0</DocSecurity>
  <Lines>95</Lines>
  <Paragraphs>27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Timothée Premat</dc:creator>
  <cp:keywords/>
  <dc:description/>
  <cp:lastModifiedBy>Timothée Premat</cp:lastModifiedBy>
  <cp:revision>5</cp:revision>
  <dcterms:created xsi:type="dcterms:W3CDTF">2023-01-08T11:04:00Z</dcterms:created>
  <dcterms:modified xsi:type="dcterms:W3CDTF">2023-01-27T08:58:00Z</dcterms:modified>
</cp:coreProperties>
</file>