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22E6" w14:textId="1F498024" w:rsidR="008E0459" w:rsidRDefault="00E72119" w:rsidP="00E72119">
      <w:pPr>
        <w:jc w:val="center"/>
        <w:rPr>
          <w:sz w:val="36"/>
          <w:szCs w:val="36"/>
        </w:rPr>
      </w:pPr>
      <w:r>
        <w:rPr>
          <w:sz w:val="36"/>
          <w:szCs w:val="36"/>
        </w:rPr>
        <w:t>Veille Techno 5G plus verte</w:t>
      </w:r>
    </w:p>
    <w:p w14:paraId="7554C76D" w14:textId="673997CC" w:rsidR="00E72119" w:rsidRDefault="00362947" w:rsidP="00E72119">
      <w:pPr>
        <w:rPr>
          <w:sz w:val="32"/>
          <w:szCs w:val="32"/>
        </w:rPr>
      </w:pPr>
      <w:r>
        <w:rPr>
          <w:sz w:val="32"/>
          <w:szCs w:val="32"/>
        </w:rPr>
        <w:t>(</w:t>
      </w:r>
      <w:r w:rsidR="007B11F2">
        <w:rPr>
          <w:sz w:val="32"/>
          <w:szCs w:val="32"/>
        </w:rPr>
        <w:t>3</w:t>
      </w:r>
      <w:r>
        <w:rPr>
          <w:sz w:val="32"/>
          <w:szCs w:val="32"/>
        </w:rPr>
        <w:t xml:space="preserve">) </w:t>
      </w:r>
      <w:r w:rsidR="00E72119">
        <w:rPr>
          <w:sz w:val="32"/>
          <w:szCs w:val="32"/>
        </w:rPr>
        <w:t>La 5G</w:t>
      </w:r>
      <w:r w:rsidR="00E72119" w:rsidRPr="00E72119">
        <w:rPr>
          <w:sz w:val="32"/>
          <w:szCs w:val="32"/>
        </w:rPr>
        <w:t>, qui devrait être jusqu'à 10 fois plus rapide que la LTE</w:t>
      </w:r>
      <w:r w:rsidR="00E72119">
        <w:rPr>
          <w:sz w:val="32"/>
          <w:szCs w:val="32"/>
        </w:rPr>
        <w:t xml:space="preserve"> (refonte de la 3G)</w:t>
      </w:r>
      <w:r w:rsidR="00E72119" w:rsidRPr="00E72119">
        <w:rPr>
          <w:sz w:val="32"/>
          <w:szCs w:val="32"/>
        </w:rPr>
        <w:t xml:space="preserve"> actuelle, avec une latence considérablement réduite, permettra de faire des technologies gourmandes en données et dont la fiabilité est essentielle, comme la </w:t>
      </w:r>
      <w:r w:rsidR="00E72119">
        <w:rPr>
          <w:sz w:val="32"/>
          <w:szCs w:val="32"/>
        </w:rPr>
        <w:t>VR</w:t>
      </w:r>
      <w:r w:rsidR="00E72119" w:rsidRPr="00E72119">
        <w:rPr>
          <w:sz w:val="32"/>
          <w:szCs w:val="32"/>
        </w:rPr>
        <w:t xml:space="preserve">, la </w:t>
      </w:r>
      <w:r w:rsidR="00E72119">
        <w:rPr>
          <w:sz w:val="32"/>
          <w:szCs w:val="32"/>
        </w:rPr>
        <w:t>Réalité augmentée</w:t>
      </w:r>
      <w:r w:rsidR="00E72119" w:rsidRPr="00E72119">
        <w:rPr>
          <w:sz w:val="32"/>
          <w:szCs w:val="32"/>
        </w:rPr>
        <w:t>, l'IA, la chirurgie à distance, les véhicules sans conducteur, l'IoT</w:t>
      </w:r>
      <w:r w:rsidR="00E72119">
        <w:rPr>
          <w:sz w:val="32"/>
          <w:szCs w:val="32"/>
        </w:rPr>
        <w:t xml:space="preserve"> (réseau d’objets et de terminaux connectés équipés de capteurs)</w:t>
      </w:r>
      <w:r w:rsidR="00E72119" w:rsidRPr="00E72119">
        <w:rPr>
          <w:sz w:val="32"/>
          <w:szCs w:val="32"/>
        </w:rPr>
        <w:t xml:space="preserve"> et bien d'autres</w:t>
      </w:r>
      <w:r w:rsidR="00E72119">
        <w:rPr>
          <w:sz w:val="32"/>
          <w:szCs w:val="32"/>
        </w:rPr>
        <w:t>.</w:t>
      </w:r>
    </w:p>
    <w:p w14:paraId="72724E70" w14:textId="77777777" w:rsidR="007B11F2" w:rsidRDefault="00362947" w:rsidP="00E72119">
      <w:pPr>
        <w:rPr>
          <w:sz w:val="32"/>
          <w:szCs w:val="32"/>
        </w:rPr>
      </w:pPr>
      <w:r>
        <w:rPr>
          <w:sz w:val="32"/>
          <w:szCs w:val="32"/>
        </w:rPr>
        <w:t>(</w:t>
      </w:r>
      <w:r w:rsidR="007B11F2">
        <w:rPr>
          <w:sz w:val="32"/>
          <w:szCs w:val="32"/>
        </w:rPr>
        <w:t>4</w:t>
      </w:r>
      <w:r>
        <w:rPr>
          <w:sz w:val="32"/>
          <w:szCs w:val="32"/>
        </w:rPr>
        <w:t xml:space="preserve">) </w:t>
      </w:r>
      <w:r w:rsidRPr="00362947">
        <w:rPr>
          <w:sz w:val="32"/>
          <w:szCs w:val="32"/>
        </w:rPr>
        <w:t>La startup française s’impose comme un acteur clé des </w:t>
      </w:r>
      <w:r w:rsidRPr="00362947">
        <w:rPr>
          <w:b/>
          <w:bCs/>
          <w:sz w:val="32"/>
          <w:szCs w:val="32"/>
        </w:rPr>
        <w:t>télécommunications vertes</w:t>
      </w:r>
      <w:r w:rsidRPr="00362947">
        <w:rPr>
          <w:sz w:val="32"/>
          <w:szCs w:val="32"/>
        </w:rPr>
        <w:t xml:space="preserve">, en offrant aux opérateurs la possibilité de densifier leur couverture réseau sans pour autant multiplier les antennes émettrices. Ces avancées technologiques positionnent les RIS 2.0 de </w:t>
      </w:r>
      <w:proofErr w:type="spellStart"/>
      <w:r w:rsidRPr="00362947">
        <w:rPr>
          <w:sz w:val="32"/>
          <w:szCs w:val="32"/>
        </w:rPr>
        <w:t>Greenerwave</w:t>
      </w:r>
      <w:proofErr w:type="spellEnd"/>
      <w:r w:rsidRPr="00362947">
        <w:rPr>
          <w:sz w:val="32"/>
          <w:szCs w:val="32"/>
        </w:rPr>
        <w:t xml:space="preserve"> comme une pièce maîtresse pour une 5G accessible et respectueuse de l’environnement, promettant ainsi une couverture haut débit ininterrompue.</w:t>
      </w:r>
    </w:p>
    <w:p w14:paraId="573516D1" w14:textId="263801F8" w:rsidR="00362947" w:rsidRDefault="00C068A7" w:rsidP="00E72119">
      <w:pPr>
        <w:rPr>
          <w:sz w:val="32"/>
          <w:szCs w:val="32"/>
        </w:rPr>
      </w:pPr>
      <w:r>
        <w:rPr>
          <w:sz w:val="32"/>
          <w:szCs w:val="32"/>
        </w:rPr>
        <w:t xml:space="preserve">Les </w:t>
      </w:r>
      <w:r w:rsidRPr="00C068A7">
        <w:rPr>
          <w:sz w:val="32"/>
          <w:szCs w:val="32"/>
        </w:rPr>
        <w:t>RIS </w:t>
      </w:r>
      <w:r>
        <w:rPr>
          <w:sz w:val="32"/>
          <w:szCs w:val="32"/>
        </w:rPr>
        <w:t>sont</w:t>
      </w:r>
      <w:r w:rsidRPr="00C068A7">
        <w:rPr>
          <w:sz w:val="32"/>
          <w:szCs w:val="32"/>
        </w:rPr>
        <w:t xml:space="preserve"> un format informatique de balisage standardisé de données bibliographiques. Il permet l'échange de références bibliographiques entre les applications compatibles, en particulier les catalogues de bibliothèques numériques, les bases de données bibliographiques et les </w:t>
      </w:r>
      <w:hyperlink r:id="rId5" w:tooltip="Logiciel de gestion bibliographique" w:history="1">
        <w:r w:rsidRPr="00C068A7">
          <w:rPr>
            <w:sz w:val="32"/>
            <w:szCs w:val="32"/>
          </w:rPr>
          <w:t>logiciels de gestion bibliographique</w:t>
        </w:r>
      </w:hyperlink>
      <w:r w:rsidRPr="00C068A7">
        <w:rPr>
          <w:sz w:val="32"/>
          <w:szCs w:val="32"/>
        </w:rPr>
        <w:t>.</w:t>
      </w:r>
    </w:p>
    <w:p w14:paraId="732626EE" w14:textId="7077B2B5" w:rsidR="00C068A7" w:rsidRPr="00C068A7" w:rsidRDefault="00C068A7" w:rsidP="00C068A7">
      <w:pPr>
        <w:rPr>
          <w:sz w:val="32"/>
          <w:szCs w:val="32"/>
        </w:rPr>
      </w:pPr>
      <w:r>
        <w:rPr>
          <w:sz w:val="32"/>
          <w:szCs w:val="32"/>
        </w:rPr>
        <w:t>(</w:t>
      </w:r>
      <w:r w:rsidR="007B11F2">
        <w:rPr>
          <w:sz w:val="32"/>
          <w:szCs w:val="32"/>
        </w:rPr>
        <w:t>5</w:t>
      </w:r>
      <w:r>
        <w:rPr>
          <w:sz w:val="32"/>
          <w:szCs w:val="32"/>
        </w:rPr>
        <w:t xml:space="preserve">) </w:t>
      </w:r>
      <w:r w:rsidRPr="00C068A7">
        <w:rPr>
          <w:noProof/>
          <w:sz w:val="32"/>
          <w:szCs w:val="32"/>
        </w:rPr>
        <mc:AlternateContent>
          <mc:Choice Requires="wps">
            <w:drawing>
              <wp:anchor distT="0" distB="0" distL="114300" distR="114300" simplePos="0" relativeHeight="251659264" behindDoc="0" locked="0" layoutInCell="1" allowOverlap="1" wp14:anchorId="448650B8" wp14:editId="6FD3782F">
                <wp:simplePos x="0" y="0"/>
                <wp:positionH relativeFrom="column">
                  <wp:posOffset>-899795</wp:posOffset>
                </wp:positionH>
                <wp:positionV relativeFrom="paragraph">
                  <wp:posOffset>-6859270</wp:posOffset>
                </wp:positionV>
                <wp:extent cx="10515600" cy="4351338"/>
                <wp:effectExtent l="0" t="0" r="0" b="0"/>
                <wp:wrapNone/>
                <wp:docPr id="3" name="Espace réservé du contenu 2">
                  <a:extLst xmlns:a="http://schemas.openxmlformats.org/drawingml/2006/main">
                    <a:ext uri="{FF2B5EF4-FFF2-40B4-BE49-F238E27FC236}">
                      <a16:creationId xmlns:a16="http://schemas.microsoft.com/office/drawing/2014/main" id="{3958ECB4-F116-7D3F-B008-4CCEB86C51E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4351338"/>
                        </a:xfrm>
                        <a:prstGeom prst="rect">
                          <a:avLst/>
                        </a:prstGeom>
                      </wps:spPr>
                      <wps:txbx>
                        <w:txbxContent>
                          <w:p w14:paraId="5AAB150B" w14:textId="0661DB49" w:rsidR="00C068A7" w:rsidRDefault="00C068A7" w:rsidP="00C068A7">
                            <w:pPr>
                              <w:rPr>
                                <w:rFonts w:ascii="Muli" w:hAnsi="Muli"/>
                                <w:color w:val="000000" w:themeColor="text1"/>
                                <w:kern w:val="24"/>
                                <w:sz w:val="56"/>
                                <w:szCs w:val="56"/>
                              </w:rPr>
                            </w:pPr>
                          </w:p>
                        </w:txbxContent>
                      </wps:txbx>
                      <wps:bodyPr vert="horz" lIns="91440" tIns="45720" rIns="91440" bIns="45720" rtlCol="0">
                        <a:normAutofit/>
                      </wps:bodyPr>
                    </wps:wsp>
                  </a:graphicData>
                </a:graphic>
              </wp:anchor>
            </w:drawing>
          </mc:Choice>
          <mc:Fallback>
            <w:pict>
              <v:rect w14:anchorId="448650B8" id="Espace réservé du contenu 2" o:spid="_x0000_s1026" style="position:absolute;margin-left:-70.85pt;margin-top:-540.1pt;width:828pt;height:342.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" filled="f" stroked="f">
                <o:lock v:ext="edit" grouping="t"/>
                <v:textbox>
                  <w:txbxContent>
                    <w:p w14:paraId="5AAB150B" w14:textId="0661DB49" w:rsidR="00C068A7" w:rsidRDefault="00C068A7" w:rsidP="00C068A7">
                      <w:pPr>
                        <w:rPr>
                          <w:rFonts w:ascii="Muli" w:hAnsi="Muli"/>
                          <w:color w:val="000000" w:themeColor="text1"/>
                          <w:kern w:val="24"/>
                          <w:sz w:val="56"/>
                          <w:szCs w:val="56"/>
                        </w:rPr>
                      </w:pPr>
                    </w:p>
                  </w:txbxContent>
                </v:textbox>
              </v:rect>
            </w:pict>
          </mc:Fallback>
        </mc:AlternateContent>
      </w:r>
      <w:r w:rsidRPr="00C068A7">
        <w:rPr>
          <w:sz w:val="32"/>
          <w:szCs w:val="32"/>
        </w:rPr>
        <w:t xml:space="preserve">Lors du Mobile World </w:t>
      </w:r>
      <w:proofErr w:type="spellStart"/>
      <w:r w:rsidRPr="00C068A7">
        <w:rPr>
          <w:sz w:val="32"/>
          <w:szCs w:val="32"/>
        </w:rPr>
        <w:t>Congress</w:t>
      </w:r>
      <w:proofErr w:type="spellEnd"/>
      <w:r w:rsidRPr="00C068A7">
        <w:rPr>
          <w:sz w:val="32"/>
          <w:szCs w:val="32"/>
        </w:rPr>
        <w:t xml:space="preserve"> 2024, </w:t>
      </w:r>
      <w:proofErr w:type="spellStart"/>
      <w:r w:rsidRPr="00C068A7">
        <w:rPr>
          <w:sz w:val="32"/>
          <w:szCs w:val="32"/>
        </w:rPr>
        <w:t>Greenerwave</w:t>
      </w:r>
      <w:proofErr w:type="spellEnd"/>
      <w:r w:rsidRPr="00C068A7">
        <w:rPr>
          <w:sz w:val="32"/>
          <w:szCs w:val="32"/>
        </w:rPr>
        <w:t xml:space="preserve"> a fait sensation en dévoilant ses nouvelles surfaces intelligentes reconfigurables, les RIS 2.0. Cette innovation 5G est une réponse concrète aux enjeux d’accessibilité réseau et de respect de l’environnement. En réduisant par dix la consommation d’énergie et le coût des composants clés, </w:t>
      </w:r>
      <w:proofErr w:type="spellStart"/>
      <w:r w:rsidRPr="00C068A7">
        <w:rPr>
          <w:sz w:val="32"/>
          <w:szCs w:val="32"/>
        </w:rPr>
        <w:t>Greenerwave</w:t>
      </w:r>
      <w:proofErr w:type="spellEnd"/>
      <w:r w:rsidRPr="00C068A7">
        <w:rPr>
          <w:sz w:val="32"/>
          <w:szCs w:val="32"/>
        </w:rPr>
        <w:t xml:space="preserve"> propose une solution qui pourrait transformer l’infrastructure des télécommunications mondiales.</w:t>
      </w:r>
    </w:p>
    <w:p w14:paraId="61E43828" w14:textId="61AE9062" w:rsidR="00362947" w:rsidRDefault="007B11F2" w:rsidP="00E72119">
      <w:pPr>
        <w:rPr>
          <w:sz w:val="32"/>
          <w:szCs w:val="32"/>
        </w:rPr>
      </w:pPr>
      <w:r w:rsidRPr="007B11F2">
        <w:rPr>
          <w:sz w:val="32"/>
          <w:szCs w:val="32"/>
        </w:rPr>
        <w:lastRenderedPageBreak/>
        <w:t>(6)</w:t>
      </w:r>
      <w:r>
        <w:rPr>
          <w:sz w:val="32"/>
          <w:szCs w:val="32"/>
        </w:rPr>
        <w:t xml:space="preserve"> </w:t>
      </w:r>
      <w:r w:rsidRPr="007B11F2">
        <w:rPr>
          <w:sz w:val="32"/>
          <w:szCs w:val="32"/>
        </w:rPr>
        <w:t>Au cœur de l’</w:t>
      </w:r>
      <w:r w:rsidRPr="007B11F2">
        <w:rPr>
          <w:b/>
          <w:bCs/>
          <w:sz w:val="32"/>
          <w:szCs w:val="32"/>
        </w:rPr>
        <w:t>efficacité énergétique</w:t>
      </w:r>
      <w:r w:rsidRPr="007B11F2">
        <w:rPr>
          <w:sz w:val="32"/>
          <w:szCs w:val="32"/>
        </w:rPr>
        <w:t xml:space="preserve"> des RIS 2.0 se trouve le concept des </w:t>
      </w:r>
      <w:proofErr w:type="spellStart"/>
      <w:r w:rsidRPr="007B11F2">
        <w:rPr>
          <w:sz w:val="32"/>
          <w:szCs w:val="32"/>
        </w:rPr>
        <w:t>métasurfaces</w:t>
      </w:r>
      <w:proofErr w:type="spellEnd"/>
      <w:r w:rsidRPr="007B11F2">
        <w:rPr>
          <w:sz w:val="32"/>
          <w:szCs w:val="32"/>
        </w:rPr>
        <w:t>. Ces surfaces, développées par </w:t>
      </w:r>
      <w:proofErr w:type="spellStart"/>
      <w:r w:rsidRPr="007B11F2">
        <w:rPr>
          <w:b/>
          <w:bCs/>
          <w:sz w:val="32"/>
          <w:szCs w:val="32"/>
        </w:rPr>
        <w:t>Greenerwave</w:t>
      </w:r>
      <w:proofErr w:type="spellEnd"/>
      <w:r w:rsidRPr="007B11F2">
        <w:rPr>
          <w:sz w:val="32"/>
          <w:szCs w:val="32"/>
        </w:rPr>
        <w:t>, sont composées de multiples éléments appelés pixels qui agissent en concert pour manipuler les ondes électromagnétiques. Le </w:t>
      </w:r>
      <w:r w:rsidRPr="007B11F2">
        <w:rPr>
          <w:b/>
          <w:bCs/>
          <w:sz w:val="32"/>
          <w:szCs w:val="32"/>
        </w:rPr>
        <w:t>fonctionnement des RIS 2.0</w:t>
      </w:r>
      <w:r w:rsidRPr="007B11F2">
        <w:rPr>
          <w:sz w:val="32"/>
          <w:szCs w:val="32"/>
        </w:rPr>
        <w:t> repose sur une symphonie d’interactions finement orchestrées par des </w:t>
      </w:r>
      <w:r w:rsidRPr="007B11F2">
        <w:rPr>
          <w:b/>
          <w:bCs/>
          <w:sz w:val="32"/>
          <w:szCs w:val="32"/>
        </w:rPr>
        <w:t>algorithmes</w:t>
      </w:r>
      <w:r w:rsidRPr="007B11F2">
        <w:rPr>
          <w:sz w:val="32"/>
          <w:szCs w:val="32"/>
        </w:rPr>
        <w:t> sophistiqués.</w:t>
      </w:r>
    </w:p>
    <w:p w14:paraId="6A196100" w14:textId="5EE502B0" w:rsidR="007B11F2" w:rsidRDefault="007B11F2" w:rsidP="00E72119">
      <w:pPr>
        <w:rPr>
          <w:sz w:val="32"/>
          <w:szCs w:val="32"/>
        </w:rPr>
      </w:pPr>
      <w:r w:rsidRPr="007B11F2">
        <w:rPr>
          <w:sz w:val="32"/>
          <w:szCs w:val="32"/>
        </w:rPr>
        <w:t xml:space="preserve">Ces algorithmes ajustent les propriétés des ondes réfléchies pour améliorer la portée et la qualité du signal dans les environnements difficiles. C’est ainsi que </w:t>
      </w:r>
      <w:proofErr w:type="spellStart"/>
      <w:r w:rsidRPr="007B11F2">
        <w:rPr>
          <w:sz w:val="32"/>
          <w:szCs w:val="32"/>
        </w:rPr>
        <w:t>Greenerwave</w:t>
      </w:r>
      <w:proofErr w:type="spellEnd"/>
      <w:r w:rsidRPr="007B11F2">
        <w:rPr>
          <w:sz w:val="32"/>
          <w:szCs w:val="32"/>
        </w:rPr>
        <w:t xml:space="preserve"> parvient à contrôler l’énergie des ondes avec une précision inégalée, offrant ainsi une solution qui révolutionne notre manière de concevoir et d’exploiter les réseaux sans fil. La promesse est celle d’une technologie qui redéfinit les standards de l’</w:t>
      </w:r>
      <w:r w:rsidRPr="007B11F2">
        <w:rPr>
          <w:b/>
          <w:bCs/>
          <w:sz w:val="32"/>
          <w:szCs w:val="32"/>
        </w:rPr>
        <w:t>accessibilité réseau</w:t>
      </w:r>
      <w:r w:rsidRPr="007B11F2">
        <w:rPr>
          <w:sz w:val="32"/>
          <w:szCs w:val="32"/>
        </w:rPr>
        <w:t> et de l’</w:t>
      </w:r>
      <w:r w:rsidRPr="007B11F2">
        <w:rPr>
          <w:b/>
          <w:bCs/>
          <w:sz w:val="32"/>
          <w:szCs w:val="32"/>
        </w:rPr>
        <w:t>innovation</w:t>
      </w:r>
      <w:r w:rsidRPr="007B11F2">
        <w:rPr>
          <w:sz w:val="32"/>
          <w:szCs w:val="32"/>
        </w:rPr>
        <w:t>.</w:t>
      </w:r>
    </w:p>
    <w:p w14:paraId="1C2C56F3" w14:textId="4AFD8766" w:rsidR="007B11F2" w:rsidRPr="007B11F2" w:rsidRDefault="007B11F2" w:rsidP="00E72119">
      <w:pPr>
        <w:rPr>
          <w:sz w:val="32"/>
          <w:szCs w:val="32"/>
        </w:rPr>
      </w:pPr>
      <w:r>
        <w:rPr>
          <w:sz w:val="32"/>
          <w:szCs w:val="32"/>
        </w:rPr>
        <w:t xml:space="preserve">(7) L’innovation des RIS 2.0 permettra donc d’augmenter la qualité des réalités virtuelles et augmentées, </w:t>
      </w:r>
      <w:r w:rsidR="00BF65A9">
        <w:rPr>
          <w:sz w:val="32"/>
          <w:szCs w:val="32"/>
        </w:rPr>
        <w:t>les performances</w:t>
      </w:r>
      <w:r>
        <w:rPr>
          <w:sz w:val="32"/>
          <w:szCs w:val="32"/>
        </w:rPr>
        <w:t xml:space="preserve"> de l’IA et de plein d’autres technologies. Cette innovation </w:t>
      </w:r>
      <w:r w:rsidR="00BF65A9">
        <w:rPr>
          <w:sz w:val="32"/>
          <w:szCs w:val="32"/>
        </w:rPr>
        <w:t>permettra aussi de limiter la consommation d’énergie, est abordable en termes de qualité prix et est plus verte que son prédécesseur la LTE.</w:t>
      </w:r>
    </w:p>
    <w:sectPr w:rsidR="007B11F2" w:rsidRPr="007B1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l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6710"/>
    <w:multiLevelType w:val="hybridMultilevel"/>
    <w:tmpl w:val="498A87CE"/>
    <w:lvl w:ilvl="0" w:tplc="93082C60">
      <w:start w:val="1"/>
      <w:numFmt w:val="bullet"/>
      <w:lvlText w:val="•"/>
      <w:lvlJc w:val="left"/>
      <w:pPr>
        <w:tabs>
          <w:tab w:val="num" w:pos="720"/>
        </w:tabs>
        <w:ind w:left="720" w:hanging="360"/>
      </w:pPr>
      <w:rPr>
        <w:rFonts w:ascii="Arial" w:hAnsi="Arial" w:hint="default"/>
      </w:rPr>
    </w:lvl>
    <w:lvl w:ilvl="1" w:tplc="D21C28CC" w:tentative="1">
      <w:start w:val="1"/>
      <w:numFmt w:val="bullet"/>
      <w:lvlText w:val="•"/>
      <w:lvlJc w:val="left"/>
      <w:pPr>
        <w:tabs>
          <w:tab w:val="num" w:pos="1440"/>
        </w:tabs>
        <w:ind w:left="1440" w:hanging="360"/>
      </w:pPr>
      <w:rPr>
        <w:rFonts w:ascii="Arial" w:hAnsi="Arial" w:hint="default"/>
      </w:rPr>
    </w:lvl>
    <w:lvl w:ilvl="2" w:tplc="6F860414" w:tentative="1">
      <w:start w:val="1"/>
      <w:numFmt w:val="bullet"/>
      <w:lvlText w:val="•"/>
      <w:lvlJc w:val="left"/>
      <w:pPr>
        <w:tabs>
          <w:tab w:val="num" w:pos="2160"/>
        </w:tabs>
        <w:ind w:left="2160" w:hanging="360"/>
      </w:pPr>
      <w:rPr>
        <w:rFonts w:ascii="Arial" w:hAnsi="Arial" w:hint="default"/>
      </w:rPr>
    </w:lvl>
    <w:lvl w:ilvl="3" w:tplc="DB062332" w:tentative="1">
      <w:start w:val="1"/>
      <w:numFmt w:val="bullet"/>
      <w:lvlText w:val="•"/>
      <w:lvlJc w:val="left"/>
      <w:pPr>
        <w:tabs>
          <w:tab w:val="num" w:pos="2880"/>
        </w:tabs>
        <w:ind w:left="2880" w:hanging="360"/>
      </w:pPr>
      <w:rPr>
        <w:rFonts w:ascii="Arial" w:hAnsi="Arial" w:hint="default"/>
      </w:rPr>
    </w:lvl>
    <w:lvl w:ilvl="4" w:tplc="8732FA82" w:tentative="1">
      <w:start w:val="1"/>
      <w:numFmt w:val="bullet"/>
      <w:lvlText w:val="•"/>
      <w:lvlJc w:val="left"/>
      <w:pPr>
        <w:tabs>
          <w:tab w:val="num" w:pos="3600"/>
        </w:tabs>
        <w:ind w:left="3600" w:hanging="360"/>
      </w:pPr>
      <w:rPr>
        <w:rFonts w:ascii="Arial" w:hAnsi="Arial" w:hint="default"/>
      </w:rPr>
    </w:lvl>
    <w:lvl w:ilvl="5" w:tplc="D778B5FC" w:tentative="1">
      <w:start w:val="1"/>
      <w:numFmt w:val="bullet"/>
      <w:lvlText w:val="•"/>
      <w:lvlJc w:val="left"/>
      <w:pPr>
        <w:tabs>
          <w:tab w:val="num" w:pos="4320"/>
        </w:tabs>
        <w:ind w:left="4320" w:hanging="360"/>
      </w:pPr>
      <w:rPr>
        <w:rFonts w:ascii="Arial" w:hAnsi="Arial" w:hint="default"/>
      </w:rPr>
    </w:lvl>
    <w:lvl w:ilvl="6" w:tplc="1C7644AA" w:tentative="1">
      <w:start w:val="1"/>
      <w:numFmt w:val="bullet"/>
      <w:lvlText w:val="•"/>
      <w:lvlJc w:val="left"/>
      <w:pPr>
        <w:tabs>
          <w:tab w:val="num" w:pos="5040"/>
        </w:tabs>
        <w:ind w:left="5040" w:hanging="360"/>
      </w:pPr>
      <w:rPr>
        <w:rFonts w:ascii="Arial" w:hAnsi="Arial" w:hint="default"/>
      </w:rPr>
    </w:lvl>
    <w:lvl w:ilvl="7" w:tplc="AFB0A564" w:tentative="1">
      <w:start w:val="1"/>
      <w:numFmt w:val="bullet"/>
      <w:lvlText w:val="•"/>
      <w:lvlJc w:val="left"/>
      <w:pPr>
        <w:tabs>
          <w:tab w:val="num" w:pos="5760"/>
        </w:tabs>
        <w:ind w:left="5760" w:hanging="360"/>
      </w:pPr>
      <w:rPr>
        <w:rFonts w:ascii="Arial" w:hAnsi="Arial" w:hint="default"/>
      </w:rPr>
    </w:lvl>
    <w:lvl w:ilvl="8" w:tplc="745C49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907BC7"/>
    <w:multiLevelType w:val="hybridMultilevel"/>
    <w:tmpl w:val="A2CCF992"/>
    <w:lvl w:ilvl="0" w:tplc="202A4424">
      <w:start w:val="1"/>
      <w:numFmt w:val="bullet"/>
      <w:lvlText w:val="•"/>
      <w:lvlJc w:val="left"/>
      <w:pPr>
        <w:tabs>
          <w:tab w:val="num" w:pos="720"/>
        </w:tabs>
        <w:ind w:left="720" w:hanging="360"/>
      </w:pPr>
      <w:rPr>
        <w:rFonts w:ascii="Arial" w:hAnsi="Arial" w:hint="default"/>
      </w:rPr>
    </w:lvl>
    <w:lvl w:ilvl="1" w:tplc="640EF0D2" w:tentative="1">
      <w:start w:val="1"/>
      <w:numFmt w:val="bullet"/>
      <w:lvlText w:val="•"/>
      <w:lvlJc w:val="left"/>
      <w:pPr>
        <w:tabs>
          <w:tab w:val="num" w:pos="1440"/>
        </w:tabs>
        <w:ind w:left="1440" w:hanging="360"/>
      </w:pPr>
      <w:rPr>
        <w:rFonts w:ascii="Arial" w:hAnsi="Arial" w:hint="default"/>
      </w:rPr>
    </w:lvl>
    <w:lvl w:ilvl="2" w:tplc="5B94D8FC" w:tentative="1">
      <w:start w:val="1"/>
      <w:numFmt w:val="bullet"/>
      <w:lvlText w:val="•"/>
      <w:lvlJc w:val="left"/>
      <w:pPr>
        <w:tabs>
          <w:tab w:val="num" w:pos="2160"/>
        </w:tabs>
        <w:ind w:left="2160" w:hanging="360"/>
      </w:pPr>
      <w:rPr>
        <w:rFonts w:ascii="Arial" w:hAnsi="Arial" w:hint="default"/>
      </w:rPr>
    </w:lvl>
    <w:lvl w:ilvl="3" w:tplc="D892F3D8" w:tentative="1">
      <w:start w:val="1"/>
      <w:numFmt w:val="bullet"/>
      <w:lvlText w:val="•"/>
      <w:lvlJc w:val="left"/>
      <w:pPr>
        <w:tabs>
          <w:tab w:val="num" w:pos="2880"/>
        </w:tabs>
        <w:ind w:left="2880" w:hanging="360"/>
      </w:pPr>
      <w:rPr>
        <w:rFonts w:ascii="Arial" w:hAnsi="Arial" w:hint="default"/>
      </w:rPr>
    </w:lvl>
    <w:lvl w:ilvl="4" w:tplc="3874124E" w:tentative="1">
      <w:start w:val="1"/>
      <w:numFmt w:val="bullet"/>
      <w:lvlText w:val="•"/>
      <w:lvlJc w:val="left"/>
      <w:pPr>
        <w:tabs>
          <w:tab w:val="num" w:pos="3600"/>
        </w:tabs>
        <w:ind w:left="3600" w:hanging="360"/>
      </w:pPr>
      <w:rPr>
        <w:rFonts w:ascii="Arial" w:hAnsi="Arial" w:hint="default"/>
      </w:rPr>
    </w:lvl>
    <w:lvl w:ilvl="5" w:tplc="BC442B0C" w:tentative="1">
      <w:start w:val="1"/>
      <w:numFmt w:val="bullet"/>
      <w:lvlText w:val="•"/>
      <w:lvlJc w:val="left"/>
      <w:pPr>
        <w:tabs>
          <w:tab w:val="num" w:pos="4320"/>
        </w:tabs>
        <w:ind w:left="4320" w:hanging="360"/>
      </w:pPr>
      <w:rPr>
        <w:rFonts w:ascii="Arial" w:hAnsi="Arial" w:hint="default"/>
      </w:rPr>
    </w:lvl>
    <w:lvl w:ilvl="6" w:tplc="EFE271A6" w:tentative="1">
      <w:start w:val="1"/>
      <w:numFmt w:val="bullet"/>
      <w:lvlText w:val="•"/>
      <w:lvlJc w:val="left"/>
      <w:pPr>
        <w:tabs>
          <w:tab w:val="num" w:pos="5040"/>
        </w:tabs>
        <w:ind w:left="5040" w:hanging="360"/>
      </w:pPr>
      <w:rPr>
        <w:rFonts w:ascii="Arial" w:hAnsi="Arial" w:hint="default"/>
      </w:rPr>
    </w:lvl>
    <w:lvl w:ilvl="7" w:tplc="899E17CC" w:tentative="1">
      <w:start w:val="1"/>
      <w:numFmt w:val="bullet"/>
      <w:lvlText w:val="•"/>
      <w:lvlJc w:val="left"/>
      <w:pPr>
        <w:tabs>
          <w:tab w:val="num" w:pos="5760"/>
        </w:tabs>
        <w:ind w:left="5760" w:hanging="360"/>
      </w:pPr>
      <w:rPr>
        <w:rFonts w:ascii="Arial" w:hAnsi="Arial" w:hint="default"/>
      </w:rPr>
    </w:lvl>
    <w:lvl w:ilvl="8" w:tplc="69347CFC" w:tentative="1">
      <w:start w:val="1"/>
      <w:numFmt w:val="bullet"/>
      <w:lvlText w:val="•"/>
      <w:lvlJc w:val="left"/>
      <w:pPr>
        <w:tabs>
          <w:tab w:val="num" w:pos="6480"/>
        </w:tabs>
        <w:ind w:left="6480" w:hanging="360"/>
      </w:pPr>
      <w:rPr>
        <w:rFonts w:ascii="Arial" w:hAnsi="Arial" w:hint="default"/>
      </w:rPr>
    </w:lvl>
  </w:abstractNum>
  <w:num w:numId="1" w16cid:durableId="425730683">
    <w:abstractNumId w:val="0"/>
  </w:num>
  <w:num w:numId="2" w16cid:durableId="82852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19"/>
    <w:rsid w:val="00270FEC"/>
    <w:rsid w:val="00362947"/>
    <w:rsid w:val="007B11F2"/>
    <w:rsid w:val="008E0459"/>
    <w:rsid w:val="009823CA"/>
    <w:rsid w:val="00984684"/>
    <w:rsid w:val="00BF65A9"/>
    <w:rsid w:val="00C068A7"/>
    <w:rsid w:val="00C756FB"/>
    <w:rsid w:val="00E72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3AA2"/>
  <w15:chartTrackingRefBased/>
  <w15:docId w15:val="{38438DE4-DD78-44A0-81FF-F57D2CF5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11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11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11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1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1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1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1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11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11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11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11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11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1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1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1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119"/>
    <w:rPr>
      <w:rFonts w:eastAsiaTheme="majorEastAsia" w:cstheme="majorBidi"/>
      <w:color w:val="272727" w:themeColor="text1" w:themeTint="D8"/>
    </w:rPr>
  </w:style>
  <w:style w:type="paragraph" w:styleId="Titre">
    <w:name w:val="Title"/>
    <w:basedOn w:val="Normal"/>
    <w:next w:val="Normal"/>
    <w:link w:val="TitreCar"/>
    <w:uiPriority w:val="10"/>
    <w:qFormat/>
    <w:rsid w:val="00E72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1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1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1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119"/>
    <w:pPr>
      <w:spacing w:before="160"/>
      <w:jc w:val="center"/>
    </w:pPr>
    <w:rPr>
      <w:i/>
      <w:iCs/>
      <w:color w:val="404040" w:themeColor="text1" w:themeTint="BF"/>
    </w:rPr>
  </w:style>
  <w:style w:type="character" w:customStyle="1" w:styleId="CitationCar">
    <w:name w:val="Citation Car"/>
    <w:basedOn w:val="Policepardfaut"/>
    <w:link w:val="Citation"/>
    <w:uiPriority w:val="29"/>
    <w:rsid w:val="00E72119"/>
    <w:rPr>
      <w:i/>
      <w:iCs/>
      <w:color w:val="404040" w:themeColor="text1" w:themeTint="BF"/>
    </w:rPr>
  </w:style>
  <w:style w:type="paragraph" w:styleId="Paragraphedeliste">
    <w:name w:val="List Paragraph"/>
    <w:basedOn w:val="Normal"/>
    <w:uiPriority w:val="34"/>
    <w:qFormat/>
    <w:rsid w:val="00E72119"/>
    <w:pPr>
      <w:ind w:left="720"/>
      <w:contextualSpacing/>
    </w:pPr>
  </w:style>
  <w:style w:type="character" w:styleId="Accentuationintense">
    <w:name w:val="Intense Emphasis"/>
    <w:basedOn w:val="Policepardfaut"/>
    <w:uiPriority w:val="21"/>
    <w:qFormat/>
    <w:rsid w:val="00E72119"/>
    <w:rPr>
      <w:i/>
      <w:iCs/>
      <w:color w:val="0F4761" w:themeColor="accent1" w:themeShade="BF"/>
    </w:rPr>
  </w:style>
  <w:style w:type="paragraph" w:styleId="Citationintense">
    <w:name w:val="Intense Quote"/>
    <w:basedOn w:val="Normal"/>
    <w:next w:val="Normal"/>
    <w:link w:val="CitationintenseCar"/>
    <w:uiPriority w:val="30"/>
    <w:qFormat/>
    <w:rsid w:val="00E72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119"/>
    <w:rPr>
      <w:i/>
      <w:iCs/>
      <w:color w:val="0F4761" w:themeColor="accent1" w:themeShade="BF"/>
    </w:rPr>
  </w:style>
  <w:style w:type="character" w:styleId="Rfrenceintense">
    <w:name w:val="Intense Reference"/>
    <w:basedOn w:val="Policepardfaut"/>
    <w:uiPriority w:val="32"/>
    <w:qFormat/>
    <w:rsid w:val="00E72119"/>
    <w:rPr>
      <w:b/>
      <w:bCs/>
      <w:smallCaps/>
      <w:color w:val="0F4761" w:themeColor="accent1" w:themeShade="BF"/>
      <w:spacing w:val="5"/>
    </w:rPr>
  </w:style>
  <w:style w:type="character" w:styleId="lev">
    <w:name w:val="Strong"/>
    <w:basedOn w:val="Policepardfaut"/>
    <w:uiPriority w:val="22"/>
    <w:qFormat/>
    <w:rsid w:val="00362947"/>
    <w:rPr>
      <w:b/>
      <w:bCs/>
    </w:rPr>
  </w:style>
  <w:style w:type="character" w:styleId="Lienhypertexte">
    <w:name w:val="Hyperlink"/>
    <w:basedOn w:val="Policepardfaut"/>
    <w:uiPriority w:val="99"/>
    <w:semiHidden/>
    <w:unhideWhenUsed/>
    <w:rsid w:val="00C06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Logiciel_de_gestion_bibliographiq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451</Words>
  <Characters>2484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Hauser</dc:creator>
  <cp:keywords/>
  <dc:description/>
  <cp:lastModifiedBy>Timothée Hauser</cp:lastModifiedBy>
  <cp:revision>2</cp:revision>
  <dcterms:created xsi:type="dcterms:W3CDTF">2024-03-11T11:37:00Z</dcterms:created>
  <dcterms:modified xsi:type="dcterms:W3CDTF">2024-03-11T11:37:00Z</dcterms:modified>
</cp:coreProperties>
</file>