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84E" w:rsidRDefault="001D084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CDE80B0" wp14:editId="2EFBDEA5">
            <wp:simplePos x="0" y="0"/>
            <wp:positionH relativeFrom="column">
              <wp:posOffset>-241300</wp:posOffset>
            </wp:positionH>
            <wp:positionV relativeFrom="paragraph">
              <wp:posOffset>-133985</wp:posOffset>
            </wp:positionV>
            <wp:extent cx="6125210" cy="2496185"/>
            <wp:effectExtent l="0" t="0" r="27940" b="18415"/>
            <wp:wrapNone/>
            <wp:docPr id="1" name="Char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5805" w:rsidRDefault="00AB5805"/>
    <w:p w:rsidR="001D084E" w:rsidRDefault="001D084E"/>
    <w:p w:rsidR="001D084E" w:rsidRDefault="001D084E"/>
    <w:p w:rsidR="001D084E" w:rsidRDefault="001D084E"/>
    <w:p w:rsidR="001D084E" w:rsidRDefault="001D084E"/>
    <w:p w:rsidR="001D084E" w:rsidRDefault="001D084E"/>
    <w:p w:rsidR="001D084E" w:rsidRDefault="001D084E"/>
    <w:p w:rsidR="001D084E" w:rsidRDefault="001D084E"/>
    <w:p w:rsidR="001D084E" w:rsidRDefault="001D084E" w:rsidP="001D084E">
      <w:pPr>
        <w:pStyle w:val="ListParagraph"/>
        <w:numPr>
          <w:ilvl w:val="0"/>
          <w:numId w:val="1"/>
        </w:numPr>
        <w:rPr>
          <w:rFonts w:eastAsia="Times New Roman"/>
          <w:sz w:val="22"/>
        </w:rPr>
      </w:pPr>
      <w:r>
        <w:rPr>
          <w:rFonts w:ascii="Calibri" w:hAnsi="Calibri" w:cstheme="minorBidi"/>
          <w:color w:val="000000" w:themeColor="text1"/>
          <w:kern w:val="24"/>
          <w:sz w:val="22"/>
          <w:szCs w:val="22"/>
        </w:rPr>
        <w:t>Unintentional includes unintentional and undetermined intents to account for a change in death coding that occurred in 2005. “Opioids” include heroin, opioid-based prescription painkillers, and other unspecified opioids.</w:t>
      </w:r>
    </w:p>
    <w:p w:rsidR="001D084E" w:rsidRDefault="001D084E" w:rsidP="001D084E">
      <w:pPr>
        <w:pStyle w:val="ListParagraph"/>
        <w:numPr>
          <w:ilvl w:val="0"/>
          <w:numId w:val="1"/>
        </w:numPr>
        <w:rPr>
          <w:rFonts w:eastAsia="Times New Roman"/>
          <w:sz w:val="22"/>
        </w:rPr>
      </w:pPr>
      <w:r>
        <w:rPr>
          <w:rFonts w:ascii="Calibri" w:hAnsi="Calibri" w:cstheme="minorBidi"/>
          <w:color w:val="000000" w:themeColor="text1"/>
          <w:kern w:val="24"/>
          <w:sz w:val="22"/>
          <w:szCs w:val="22"/>
        </w:rPr>
        <w:t>As of 12/15/2014, 868 unintentional opioid-related deaths were confirmed by the Office of the Chief Medical Examiner for 2013 but there were 456 deaths for which a final cause of death had not been assigned. Using closed analytic files for 2008 – 2012, analysts at the Department of Public Health developed models to predict the likelihood that the cause of death for any person was opioid-related. Based on these analyses, an additional 110 deaths are expected once causes of death are assigned for those unresolved cases.</w:t>
      </w:r>
    </w:p>
    <w:p w:rsidR="001D084E" w:rsidRDefault="001D084E" w:rsidP="001D084E">
      <w:pPr>
        <w:pStyle w:val="ListParagraph"/>
        <w:numPr>
          <w:ilvl w:val="0"/>
          <w:numId w:val="1"/>
        </w:numPr>
        <w:rPr>
          <w:rFonts w:eastAsia="Times New Roman"/>
          <w:sz w:val="22"/>
        </w:rPr>
      </w:pPr>
      <w:r>
        <w:rPr>
          <w:rFonts w:ascii="Calibri" w:hAnsi="Calibri" w:cstheme="minorBidi"/>
          <w:color w:val="000000" w:themeColor="text1"/>
          <w:kern w:val="24"/>
          <w:sz w:val="22"/>
          <w:szCs w:val="22"/>
        </w:rPr>
        <w:t xml:space="preserve">“Motor vehicle deaths “are counted for occupants, pedestrians, motorcyclists, and </w:t>
      </w:r>
      <w:proofErr w:type="gramStart"/>
      <w:r>
        <w:rPr>
          <w:rFonts w:ascii="Calibri" w:hAnsi="Calibri" w:cstheme="minorBidi"/>
          <w:color w:val="000000" w:themeColor="text1"/>
          <w:kern w:val="24"/>
          <w:sz w:val="22"/>
          <w:szCs w:val="22"/>
        </w:rPr>
        <w:t>bicyclists .</w:t>
      </w:r>
      <w:proofErr w:type="gramEnd"/>
      <w:r>
        <w:rPr>
          <w:rFonts w:ascii="Calibri" w:hAnsi="Calibri" w:cstheme="minorBidi"/>
          <w:color w:val="000000" w:themeColor="text1"/>
          <w:kern w:val="24"/>
          <w:sz w:val="22"/>
          <w:szCs w:val="22"/>
        </w:rPr>
        <w:t xml:space="preserve"> Because the 2013 death file is not yet finalized, the 2013 motor vehicle-related injury death count is a provisional count.</w:t>
      </w:r>
    </w:p>
    <w:p w:rsidR="001D084E" w:rsidRDefault="001D084E" w:rsidP="001D084E">
      <w:pPr>
        <w:pStyle w:val="NormalWeb"/>
        <w:spacing w:before="0" w:beforeAutospacing="0" w:after="0" w:afterAutospacing="0"/>
        <w:rPr>
          <w:rFonts w:ascii="Calibri" w:hAnsi="Calibri" w:cstheme="minorBidi"/>
          <w:b/>
          <w:bCs/>
          <w:color w:val="000000" w:themeColor="text1"/>
          <w:kern w:val="24"/>
        </w:rPr>
      </w:pPr>
    </w:p>
    <w:p w:rsidR="001D084E" w:rsidRDefault="001D084E" w:rsidP="001D084E">
      <w:pPr>
        <w:pStyle w:val="NormalWeb"/>
        <w:spacing w:before="0" w:beforeAutospacing="0" w:after="0" w:afterAutospacing="0"/>
      </w:pPr>
      <w:r>
        <w:rPr>
          <w:rFonts w:ascii="Calibri" w:hAnsi="Calibri" w:cstheme="minorBidi"/>
          <w:b/>
          <w:bCs/>
          <w:color w:val="000000" w:themeColor="text1"/>
          <w:kern w:val="24"/>
        </w:rPr>
        <w:t>Source: Registry of Vital Records and Statistics, MDPH</w:t>
      </w:r>
      <w:r>
        <w:rPr>
          <w:rFonts w:ascii="Calibri" w:hAnsi="Calibri" w:cstheme="minorBidi"/>
          <w:color w:val="000000" w:themeColor="text1"/>
          <w:kern w:val="24"/>
        </w:rPr>
        <w:t xml:space="preserve"> </w:t>
      </w:r>
    </w:p>
    <w:p w:rsidR="001D084E" w:rsidRDefault="001D084E"/>
    <w:p w:rsidR="001D084E" w:rsidRDefault="001D084E"/>
    <w:p w:rsidR="001D084E" w:rsidRDefault="001D084E"/>
    <w:p w:rsidR="001D084E" w:rsidRDefault="001D084E"/>
    <w:p w:rsidR="001D084E" w:rsidRDefault="001D084E"/>
    <w:p w:rsidR="001D084E" w:rsidRDefault="001D084E"/>
    <w:p w:rsidR="001D084E" w:rsidRDefault="001D084E"/>
    <w:sectPr w:rsidR="001D0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622313"/>
    <w:multiLevelType w:val="hybridMultilevel"/>
    <w:tmpl w:val="91B099F4"/>
    <w:lvl w:ilvl="0" w:tplc="D5D4A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7E1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3E21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0227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1CF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8293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42A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06F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0ECE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84E"/>
    <w:rsid w:val="001D084E"/>
    <w:rsid w:val="00756F0D"/>
    <w:rsid w:val="00AB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84E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D08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84E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D08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chart" Target="charts/chart1.xml"/>
  <Relationship Id="rId7" Type="http://schemas.openxmlformats.org/officeDocument/2006/relationships/fontTable" Target="fontTable.xml"/>
  <Relationship Id="rId8" Type="http://schemas.openxmlformats.org/officeDocument/2006/relationships/theme" Target="theme/theme1.xml"/>
</Relationships>

</file>

<file path=word/charts/_rels/chart1.xml.rels><?xml version="1.0" encoding="UTF-8"?>

<Relationships xmlns="http://schemas.openxmlformats.org/package/2006/relationships">
  <Relationship Id="rId1" Type="http://schemas.openxmlformats.org/officeDocument/2006/relationships/package" Target="../embeddings/Microsoft_Excel_Worksheet1.xlsx"/>
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05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r>
              <a:rPr lang="en-US"/>
              <a:t>Unintentional Opioid-related Overdose Deaths vs. Motor Vehicle-related Injury Deaths
Massachusetts 2000-2013</a:t>
            </a:r>
          </a:p>
        </c:rich>
      </c:tx>
      <c:layout/>
      <c:overlay val="0"/>
      <c:spPr>
        <a:noFill/>
        <a:ln w="25402"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Unintentional Opioid-related Overdose Deaths</c:v>
                </c:pt>
              </c:strCache>
            </c:strRef>
          </c:tx>
          <c:spPr>
            <a:ln w="12701">
              <a:solidFill>
                <a:srgbClr val="000080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dPt>
            <c:idx val="13"/>
            <c:marker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  <c:spPr>
              <a:ln w="12701">
                <a:solidFill>
                  <a:srgbClr val="000080"/>
                </a:solidFill>
                <a:prstDash val="solid"/>
              </a:ln>
            </c:spPr>
          </c:dPt>
          <c:dLbls>
            <c:dLbl>
              <c:idx val="0"/>
              <c:layout>
                <c:manualLayout>
                  <c:x val="-2.3135551144472823E-2"/>
                  <c:y val="6.845410237433333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2.1032319222248019E-2"/>
                  <c:y val="5.26570018264100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1.2619391533348812E-2"/>
                  <c:y val="5.265700182641017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2.1032319222248019E-2"/>
                  <c:y val="-4.212560146112814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-4.2064638444496037E-3"/>
                  <c:y val="4.212560146112814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-2.3135551144472823E-2"/>
                  <c:y val="-3.159420109584611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 val="-3.1548478833372029E-2"/>
                  <c:y val="-3.159420109584611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layout>
                <c:manualLayout>
                  <c:x val="-2.7342014988922348E-2"/>
                  <c:y val="-3.159420109584611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8"/>
              <c:layout>
                <c:manualLayout>
                  <c:x val="-2.3135551144472823E-2"/>
                  <c:y val="-3.159420109584611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9"/>
              <c:layout>
                <c:manualLayout>
                  <c:x val="-2.7342014988922428E-2"/>
                  <c:y val="-4.212560146112814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0"/>
              <c:layout>
                <c:manualLayout>
                  <c:x val="-2.3135551144472823E-2"/>
                  <c:y val="-4.739130164376916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1"/>
              <c:layout>
                <c:manualLayout>
                  <c:x val="-2.3135551144472823E-2"/>
                  <c:y val="-3.68599012784871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800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Sheet1!$D$2:$D$15</c:f>
              <c:numCache>
                <c:formatCode>General</c:formatCode>
                <c:ptCount val="14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</c:numCache>
            </c:numRef>
          </c:cat>
          <c:val>
            <c:numRef>
              <c:f>Sheet1!$E$2:$E$15</c:f>
              <c:numCache>
                <c:formatCode>#,##0</c:formatCode>
                <c:ptCount val="14"/>
                <c:pt idx="0">
                  <c:v>338</c:v>
                </c:pt>
                <c:pt idx="1">
                  <c:v>468</c:v>
                </c:pt>
                <c:pt idx="2">
                  <c:v>429</c:v>
                </c:pt>
                <c:pt idx="3">
                  <c:v>549</c:v>
                </c:pt>
                <c:pt idx="4">
                  <c:v>456</c:v>
                </c:pt>
                <c:pt idx="5">
                  <c:v>525</c:v>
                </c:pt>
                <c:pt idx="6">
                  <c:v>615</c:v>
                </c:pt>
                <c:pt idx="7">
                  <c:v>614</c:v>
                </c:pt>
                <c:pt idx="8">
                  <c:v>561</c:v>
                </c:pt>
                <c:pt idx="9">
                  <c:v>599</c:v>
                </c:pt>
                <c:pt idx="10">
                  <c:v>526</c:v>
                </c:pt>
                <c:pt idx="11">
                  <c:v>603</c:v>
                </c:pt>
                <c:pt idx="12">
                  <c:v>668</c:v>
                </c:pt>
                <c:pt idx="13" formatCode="General">
                  <c:v>978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Sheet1!$F$1</c:f>
              <c:strCache>
                <c:ptCount val="1"/>
                <c:pt idx="0">
                  <c:v>Motor Vehicle-related Injury Deaths</c:v>
                </c:pt>
              </c:strCache>
            </c:strRef>
          </c:tx>
          <c:spPr>
            <a:ln w="12701">
              <a:solidFill>
                <a:srgbClr val="FF00FF"/>
              </a:solidFill>
              <a:prstDash val="solid"/>
            </a:ln>
          </c:spPr>
          <c:marker>
            <c:symbol val="square"/>
            <c:size val="5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dLbls>
            <c:dLbl>
              <c:idx val="0"/>
              <c:layout>
                <c:manualLayout>
                  <c:x val="-3.1548478833372029E-2"/>
                  <c:y val="-4.739130164376916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4.2064638444496037E-3"/>
                  <c:y val="-5.265700182641017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2.3135551144472823E-2"/>
                  <c:y val="-5.792270200905119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8.4129276888992074E-3"/>
                  <c:y val="6.318840219169222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-1.6825855377798415E-2"/>
                  <c:y val="-3.159420109584611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-4.2064638444496037E-3"/>
                  <c:y val="4.212560146112814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 val="-2.3135551144472823E-2"/>
                  <c:y val="5.265700182641017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layout>
                <c:manualLayout>
                  <c:x val="-1.8929087300023142E-2"/>
                  <c:y val="5.265700182641017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8"/>
              <c:layout>
                <c:manualLayout>
                  <c:x val="-2.9445246911147228E-2"/>
                  <c:y val="4.21256014611282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9"/>
              <c:layout>
                <c:manualLayout>
                  <c:x val="-3.365171075559683E-2"/>
                  <c:y val="3.68599012784871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0"/>
              <c:layout>
                <c:manualLayout>
                  <c:x val="-3.365171075559683E-2"/>
                  <c:y val="4.212560146112814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1"/>
              <c:layout>
                <c:manualLayout>
                  <c:x val="-3.1548478833372029E-2"/>
                  <c:y val="4.212560146112814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2"/>
              <c:layout>
                <c:manualLayout>
                  <c:x val="-3.1548478833372029E-2"/>
                  <c:y val="3.685990127848703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3"/>
              <c:layout/>
              <c:tx>
                <c:rich>
                  <a:bodyPr/>
                  <a:lstStyle/>
                  <a:p>
                    <a:r>
                      <a:rPr lang="en-US"/>
                      <a:t>371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</c:dLbl>
            <c:spPr>
              <a:noFill/>
              <a:ln w="25402">
                <a:noFill/>
              </a:ln>
            </c:spPr>
            <c:txPr>
              <a:bodyPr/>
              <a:lstStyle/>
              <a:p>
                <a:pPr>
                  <a:defRPr sz="800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Sheet1!$D$2:$D$15</c:f>
              <c:numCache>
                <c:formatCode>General</c:formatCode>
                <c:ptCount val="14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</c:numCache>
            </c:numRef>
          </c:cat>
          <c:val>
            <c:numRef>
              <c:f>Sheet1!$F$2:$F$15</c:f>
              <c:numCache>
                <c:formatCode>General</c:formatCode>
                <c:ptCount val="14"/>
                <c:pt idx="0">
                  <c:v>493</c:v>
                </c:pt>
                <c:pt idx="1">
                  <c:v>568</c:v>
                </c:pt>
                <c:pt idx="2">
                  <c:v>553</c:v>
                </c:pt>
                <c:pt idx="3">
                  <c:v>521</c:v>
                </c:pt>
                <c:pt idx="4">
                  <c:v>526</c:v>
                </c:pt>
                <c:pt idx="5">
                  <c:v>478</c:v>
                </c:pt>
                <c:pt idx="6">
                  <c:v>475</c:v>
                </c:pt>
                <c:pt idx="7">
                  <c:v>437</c:v>
                </c:pt>
                <c:pt idx="8">
                  <c:v>373</c:v>
                </c:pt>
                <c:pt idx="9">
                  <c:v>374</c:v>
                </c:pt>
                <c:pt idx="10">
                  <c:v>380</c:v>
                </c:pt>
                <c:pt idx="11">
                  <c:v>382</c:v>
                </c:pt>
                <c:pt idx="12">
                  <c:v>368</c:v>
                </c:pt>
                <c:pt idx="13">
                  <c:v>371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993536"/>
        <c:axId val="131003520"/>
      </c:lineChart>
      <c:catAx>
        <c:axId val="130993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-2760000" vert="horz"/>
          <a:lstStyle/>
          <a:p>
            <a:pPr>
              <a:defRPr sz="8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131003520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31003520"/>
        <c:scaling>
          <c:orientation val="minMax"/>
        </c:scaling>
        <c:delete val="0"/>
        <c:axPos val="l"/>
        <c:numFmt formatCode="#,##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5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130993536"/>
        <c:crosses val="autoZero"/>
        <c:crossBetween val="between"/>
      </c:valAx>
      <c:spPr>
        <a:solidFill>
          <a:srgbClr val="FFFFFF"/>
        </a:solidFill>
        <a:ln w="12701">
          <a:solidFill>
            <a:srgbClr val="FFFFFF"/>
          </a:solidFill>
          <a:prstDash val="solid"/>
        </a:ln>
      </c:spPr>
    </c:plotArea>
    <c:legend>
      <c:legendPos val="t"/>
      <c:layout/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55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>
      <a:solidFill>
        <a:schemeClr val="accent1"/>
      </a:solidFill>
    </a:ln>
  </c:spPr>
  <c:txPr>
    <a:bodyPr/>
    <a:lstStyle/>
    <a:p>
      <a:pPr>
        <a:defRPr sz="1175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884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EOHHS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2015-02-19T16:10:00Z</dcterms:created>
  <dc:creator>Hood, Malena (DPH)</dc:creator>
  <lastModifiedBy/>
  <dcterms:modified xsi:type="dcterms:W3CDTF">2015-02-19T16:10:00Z</dcterms:modified>
  <revision>2</revision>
</coreProperties>
</file>