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  <w:r w:rsidRPr="001B7E90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274320" distL="114300" distR="114300" simplePos="0" relativeHeight="251700224" behindDoc="1" locked="0" layoutInCell="1" allowOverlap="1" wp14:anchorId="437D3BFD" wp14:editId="36733453">
                <wp:simplePos x="0" y="0"/>
                <wp:positionH relativeFrom="column">
                  <wp:posOffset>171450</wp:posOffset>
                </wp:positionH>
                <wp:positionV relativeFrom="paragraph">
                  <wp:posOffset>44450</wp:posOffset>
                </wp:positionV>
                <wp:extent cx="6305550" cy="1247775"/>
                <wp:effectExtent l="0" t="0" r="19050" b="28575"/>
                <wp:wrapNone/>
                <wp:docPr id="3077" name="Rectangle 3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7" o:spid="_x0000_s1026" style="position:absolute;margin-left:13.5pt;margin-top:3.5pt;width:496.5pt;height:98.25pt;z-index:-251616256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" strokeweight="1pt"/>
            </w:pict>
          </mc:Fallback>
        </mc:AlternateContent>
      </w:r>
    </w:p>
    <w:p w:rsidR="00A2720C" w:rsidRPr="001B7E90" w:rsidRDefault="00A2720C" w:rsidP="00A2720C">
      <w:pPr>
        <w:ind w:firstLine="450"/>
        <w:rPr>
          <w:rFonts w:asciiTheme="minorHAnsi" w:hAnsiTheme="minorHAnsi"/>
          <w:sz w:val="16"/>
          <w:szCs w:val="16"/>
        </w:rPr>
      </w:pPr>
      <w:r w:rsidRPr="001B7E90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B1EB4" wp14:editId="4BC5D554">
                <wp:simplePos x="0" y="0"/>
                <wp:positionH relativeFrom="column">
                  <wp:posOffset>1362075</wp:posOffset>
                </wp:positionH>
                <wp:positionV relativeFrom="paragraph">
                  <wp:posOffset>81915</wp:posOffset>
                </wp:positionV>
                <wp:extent cx="5048250" cy="1019175"/>
                <wp:effectExtent l="0" t="0" r="0" b="9525"/>
                <wp:wrapNone/>
                <wp:docPr id="30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7440" w:rsidRPr="00601389" w:rsidRDefault="00D47440" w:rsidP="00A2720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 w:rsidRPr="00601389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  <w:t>Opioid-related</w:t>
                            </w:r>
                            <w:r w:rsidRPr="00601389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  <w:vertAlign w:val="superscript"/>
                              </w:rPr>
                              <w:t xml:space="preserve"> </w:t>
                            </w:r>
                            <w:r w:rsidRPr="00601389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EMS Transports </w:t>
                            </w:r>
                          </w:p>
                          <w:p w:rsidR="00D47440" w:rsidRPr="002F7E6F" w:rsidRDefault="00D47440" w:rsidP="00A2720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 w:rsidRPr="00601389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  <w:t>Massachusetts Residents: 2013-</w:t>
                            </w:r>
                            <w:r w:rsidRPr="00B0683F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7.25pt;margin-top:6.45pt;width:397.5pt;height:8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" filled="f" stroked="f">
                <v:path arrowok="t"/>
                <v:textbox>
                  <w:txbxContent>
                    <w:p w:rsidR="00D47440" w:rsidRPr="00601389" w:rsidRDefault="00D47440" w:rsidP="00A2720C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</w:pPr>
                      <w:r w:rsidRPr="00601389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  <w:t>Opioid-related</w:t>
                      </w:r>
                      <w:r w:rsidRPr="00601389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  <w:vertAlign w:val="superscript"/>
                        </w:rPr>
                        <w:t xml:space="preserve"> </w:t>
                      </w:r>
                      <w:r w:rsidRPr="00601389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  <w:t xml:space="preserve">EMS Transports </w:t>
                      </w:r>
                    </w:p>
                    <w:p w:rsidR="00D47440" w:rsidRPr="002F7E6F" w:rsidRDefault="00D47440" w:rsidP="00A2720C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</w:pPr>
                      <w:r w:rsidRPr="00601389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  <w:t>Massachusetts Residents: 2013-</w:t>
                      </w:r>
                      <w:r w:rsidRPr="00B0683F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48"/>
                          <w:szCs w:val="4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1B7E90">
        <w:rPr>
          <w:noProof/>
        </w:rPr>
        <w:drawing>
          <wp:inline distT="0" distB="0" distL="0" distR="0" wp14:anchorId="7F95CD9B" wp14:editId="30FDA833">
            <wp:extent cx="1000125" cy="1019175"/>
            <wp:effectExtent l="0" t="0" r="9525" b="9525"/>
            <wp:docPr id="3079" name="Picture 29" descr="DPH-logo-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PH-logo-B&amp;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</w:p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  <w:r w:rsidRPr="001B7E90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E2A6DCB" wp14:editId="0CC2C03E">
                <wp:simplePos x="0" y="0"/>
                <wp:positionH relativeFrom="column">
                  <wp:posOffset>171450</wp:posOffset>
                </wp:positionH>
                <wp:positionV relativeFrom="paragraph">
                  <wp:posOffset>15240</wp:posOffset>
                </wp:positionV>
                <wp:extent cx="6305550" cy="266700"/>
                <wp:effectExtent l="0" t="0" r="19050" b="19050"/>
                <wp:wrapNone/>
                <wp:docPr id="30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440" w:rsidRPr="00573EED" w:rsidRDefault="00D47440" w:rsidP="00A2720C">
                            <w:pPr>
                              <w:tabs>
                                <w:tab w:val="right" w:pos="9630"/>
                              </w:tabs>
                              <w:spacing w:before="120"/>
                              <w:ind w:right="1411" w:hanging="90"/>
                              <w:jc w:val="right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 w:rsidRPr="00573EED"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Massachusetts Department of Public Health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B0683F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>Posted:  AUGUST 2016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.5pt;margin-top:1.2pt;width:496.5pt;height:2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" strokeweight="1pt">
                <v:textbox inset=",0,,0">
                  <w:txbxContent>
                    <w:p w:rsidR="00D47440" w:rsidRPr="00573EED" w:rsidRDefault="00D47440" w:rsidP="00A2720C">
                      <w:pPr>
                        <w:tabs>
                          <w:tab w:val="right" w:pos="9630"/>
                        </w:tabs>
                        <w:spacing w:before="120"/>
                        <w:ind w:right="1411" w:hanging="90"/>
                        <w:jc w:val="right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 w:rsidRPr="00573EED">
                        <w:rPr>
                          <w:rFonts w:ascii="Calibri" w:hAnsi="Calibri"/>
                          <w:sz w:val="18"/>
                          <w:szCs w:val="16"/>
                        </w:rPr>
                        <w:t>Massachusetts Department of Public Health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 </w:t>
                      </w:r>
                      <w:r w:rsidRPr="00B0683F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>Posted:  AUGUST 2016</w:t>
                      </w:r>
                    </w:p>
                  </w:txbxContent>
                </v:textbox>
              </v:shape>
            </w:pict>
          </mc:Fallback>
        </mc:AlternateContent>
      </w:r>
    </w:p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</w:p>
    <w:p w:rsidR="00A2720C" w:rsidRPr="001B7E90" w:rsidRDefault="00A2720C" w:rsidP="00A2720C">
      <w:pPr>
        <w:rPr>
          <w:rFonts w:asciiTheme="minorHAnsi" w:hAnsiTheme="minorHAnsi"/>
          <w:sz w:val="16"/>
          <w:szCs w:val="16"/>
        </w:rPr>
      </w:pPr>
    </w:p>
    <w:p w:rsidR="00804431" w:rsidRPr="00532D2E" w:rsidRDefault="00804431" w:rsidP="00804431">
      <w:pPr>
        <w:pStyle w:val="PlainText"/>
        <w:ind w:left="270"/>
        <w:rPr>
          <w:rStyle w:val="s4"/>
          <w:rFonts w:asciiTheme="minorHAnsi" w:eastAsiaTheme="minorHAnsi" w:hAnsiTheme="minorHAnsi" w:cs="Arial"/>
          <w:b/>
          <w:szCs w:val="22"/>
          <w:lang w:eastAsia="ja-JP"/>
        </w:rPr>
      </w:pPr>
      <w:r w:rsidRPr="00532D2E">
        <w:rPr>
          <w:rStyle w:val="s4"/>
          <w:rFonts w:asciiTheme="minorHAnsi" w:eastAsiaTheme="minorHAnsi" w:hAnsiTheme="minorHAnsi" w:cs="Arial"/>
          <w:b/>
          <w:szCs w:val="22"/>
          <w:lang w:eastAsia="ja-JP"/>
        </w:rPr>
        <w:t>Enhancement of Opioid Overdose Surveillance</w:t>
      </w:r>
    </w:p>
    <w:p w:rsidR="00804431" w:rsidRPr="00840AB7" w:rsidRDefault="00804431" w:rsidP="00804431">
      <w:pPr>
        <w:pStyle w:val="PlainText"/>
        <w:ind w:left="270"/>
        <w:rPr>
          <w:rStyle w:val="s4"/>
          <w:rFonts w:asciiTheme="minorHAnsi" w:eastAsiaTheme="minorHAnsi" w:hAnsiTheme="minorHAnsi" w:cs="Arial"/>
          <w:szCs w:val="22"/>
          <w:lang w:eastAsia="ja-JP"/>
        </w:rPr>
      </w:pPr>
      <w:r w:rsidRPr="00532D2E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MATRIS, the Massachusetts Ambulance Trip Reporting Information System, is a statewide database for collecting emergency medical service data from licensed ambulance services.  It was not specifically designed to track opioid overdose incidents. DPH is currently working with all </w:t>
      </w:r>
      <w:r>
        <w:rPr>
          <w:rStyle w:val="s4"/>
          <w:rFonts w:asciiTheme="minorHAnsi" w:eastAsiaTheme="minorHAnsi" w:hAnsiTheme="minorHAnsi" w:cs="Arial"/>
          <w:szCs w:val="22"/>
          <w:lang w:eastAsia="ja-JP"/>
        </w:rPr>
        <w:t>Emergency Medical Services (</w:t>
      </w:r>
      <w:r w:rsidRPr="00532D2E">
        <w:rPr>
          <w:rStyle w:val="s4"/>
          <w:rFonts w:asciiTheme="minorHAnsi" w:eastAsiaTheme="minorHAnsi" w:hAnsiTheme="minorHAnsi" w:cs="Arial"/>
          <w:szCs w:val="22"/>
          <w:lang w:eastAsia="ja-JP"/>
        </w:rPr>
        <w:t>EMS</w:t>
      </w:r>
      <w:r>
        <w:rPr>
          <w:rStyle w:val="s4"/>
          <w:rFonts w:asciiTheme="minorHAnsi" w:eastAsiaTheme="minorHAnsi" w:hAnsiTheme="minorHAnsi" w:cs="Arial"/>
          <w:szCs w:val="22"/>
          <w:lang w:eastAsia="ja-JP"/>
        </w:rPr>
        <w:t>)</w:t>
      </w:r>
      <w:r w:rsidRPr="00532D2E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 providers to improve the quality and completeness of these data especially with respect to opioid overdose </w:t>
      </w:r>
      <w:r w:rsidRPr="00840AB7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incidents.  </w:t>
      </w:r>
      <w:r w:rsidR="00AA4651" w:rsidRPr="00840AB7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Data for Boston came directly though Boston EMS’ estimates of Narcotic Related Incidents (NRI) and not from DPH’s MATRIS algorithm. </w:t>
      </w:r>
      <w:r w:rsidRPr="00840AB7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To more accurately identify ambulance trips that are opioid-related, several pieces of information from MATRIS are combined such notation that a trip was listed as a poisoning, that there was an administration of naloxone, or that the patient admitted to drug use.  In combination, this information allows DPH to more accurately count opioid overdose incidents. </w:t>
      </w:r>
      <w:r w:rsidR="00590BFA" w:rsidRPr="00840AB7">
        <w:rPr>
          <w:rStyle w:val="s4"/>
          <w:rFonts w:asciiTheme="minorHAnsi" w:eastAsiaTheme="minorHAnsi" w:hAnsiTheme="minorHAnsi"/>
          <w:lang w:eastAsia="ja-JP"/>
        </w:rPr>
        <w:t>Not all services have reported their 2016 Q1 data yet so the numbers cited here are underestimates.  Counts will be updated</w:t>
      </w:r>
      <w:r w:rsidR="0021254E" w:rsidRPr="00840AB7">
        <w:rPr>
          <w:rStyle w:val="s4"/>
          <w:rFonts w:asciiTheme="minorHAnsi" w:eastAsiaTheme="minorHAnsi" w:hAnsiTheme="minorHAnsi"/>
          <w:lang w:eastAsia="ja-JP"/>
        </w:rPr>
        <w:t xml:space="preserve"> on a</w:t>
      </w:r>
      <w:r w:rsidR="00590BFA" w:rsidRPr="00840AB7">
        <w:rPr>
          <w:rStyle w:val="s4"/>
          <w:rFonts w:asciiTheme="minorHAnsi" w:eastAsiaTheme="minorHAnsi" w:hAnsiTheme="minorHAnsi"/>
          <w:lang w:eastAsia="ja-JP"/>
        </w:rPr>
        <w:t xml:space="preserve"> quarterly</w:t>
      </w:r>
      <w:r w:rsidR="0021254E" w:rsidRPr="00840AB7">
        <w:rPr>
          <w:rStyle w:val="s4"/>
          <w:rFonts w:asciiTheme="minorHAnsi" w:eastAsiaTheme="minorHAnsi" w:hAnsiTheme="minorHAnsi"/>
          <w:lang w:eastAsia="ja-JP"/>
        </w:rPr>
        <w:t xml:space="preserve"> basis.</w:t>
      </w:r>
      <w:r w:rsidRPr="00840AB7">
        <w:rPr>
          <w:rStyle w:val="s4"/>
          <w:rFonts w:asciiTheme="minorHAnsi" w:eastAsiaTheme="minorHAnsi" w:hAnsiTheme="minorHAnsi" w:cs="Arial"/>
          <w:szCs w:val="22"/>
          <w:lang w:eastAsia="ja-JP"/>
        </w:rPr>
        <w:t xml:space="preserve">  </w:t>
      </w:r>
    </w:p>
    <w:p w:rsidR="00804431" w:rsidRPr="00840AB7" w:rsidRDefault="00804431" w:rsidP="00804431">
      <w:pPr>
        <w:pStyle w:val="PlainText"/>
        <w:ind w:firstLine="270"/>
        <w:rPr>
          <w:rStyle w:val="s4"/>
          <w:rFonts w:asciiTheme="minorHAnsi" w:eastAsiaTheme="minorHAnsi" w:hAnsiTheme="minorHAnsi"/>
          <w:b/>
          <w:szCs w:val="22"/>
          <w:lang w:eastAsia="ja-JP"/>
        </w:rPr>
      </w:pPr>
    </w:p>
    <w:p w:rsidR="00804431" w:rsidRPr="00840AB7" w:rsidRDefault="00245E34" w:rsidP="00804431">
      <w:pPr>
        <w:pStyle w:val="PlainText"/>
        <w:ind w:firstLine="270"/>
        <w:rPr>
          <w:rStyle w:val="s4"/>
          <w:rFonts w:asciiTheme="minorHAnsi" w:eastAsiaTheme="minorHAnsi" w:hAnsiTheme="minorHAnsi"/>
          <w:b/>
          <w:szCs w:val="22"/>
          <w:lang w:eastAsia="ja-JP"/>
        </w:rPr>
      </w:pPr>
      <w:r w:rsidRPr="00840AB7">
        <w:rPr>
          <w:rStyle w:val="s4"/>
          <w:rFonts w:asciiTheme="minorHAnsi" w:eastAsiaTheme="minorHAnsi" w:hAnsiTheme="minorHAnsi"/>
          <w:b/>
          <w:szCs w:val="22"/>
          <w:lang w:eastAsia="ja-JP"/>
        </w:rPr>
        <w:t>Results</w:t>
      </w: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 xml:space="preserve">As in previous years, the Q1 2016 data indicates that there was the greatest number of suspected opioid overdose incidents among males aged 25-34 (27% of opioid-related incidents). </w:t>
      </w: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 xml:space="preserve">Since 2013, there has been an increasing trend in the percentage of all incidents that are considered opioid-related. The rate of 2.3% in the first quarter of 2016 is </w:t>
      </w:r>
      <w:r w:rsidR="009503A0" w:rsidRPr="00840AB7">
        <w:rPr>
          <w:rStyle w:val="s4"/>
          <w:rFonts w:asciiTheme="minorHAnsi" w:eastAsiaTheme="minorHAnsi" w:hAnsiTheme="minorHAnsi"/>
          <w:szCs w:val="22"/>
          <w:lang w:eastAsia="ja-JP"/>
        </w:rPr>
        <w:t>over</w:t>
      </w: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 xml:space="preserve"> twice what it was in the first quarter of 2013 (1.</w:t>
      </w:r>
      <w:r w:rsidR="009503A0" w:rsidRPr="00840AB7">
        <w:rPr>
          <w:rStyle w:val="s4"/>
          <w:rFonts w:asciiTheme="minorHAnsi" w:eastAsiaTheme="minorHAnsi" w:hAnsiTheme="minorHAnsi"/>
          <w:szCs w:val="22"/>
          <w:lang w:eastAsia="ja-JP"/>
        </w:rPr>
        <w:t>0</w:t>
      </w: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 xml:space="preserve">%). </w:t>
      </w: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>On average, EMS administer</w:t>
      </w:r>
      <w:r w:rsidR="00546C49" w:rsidRPr="00840AB7">
        <w:rPr>
          <w:rStyle w:val="s4"/>
          <w:rFonts w:asciiTheme="minorHAnsi" w:eastAsiaTheme="minorHAnsi" w:hAnsiTheme="minorHAnsi"/>
          <w:szCs w:val="22"/>
          <w:lang w:eastAsia="ja-JP"/>
        </w:rPr>
        <w:t>ed</w:t>
      </w:r>
      <w:r w:rsidRPr="00840AB7">
        <w:rPr>
          <w:rStyle w:val="s4"/>
          <w:rFonts w:asciiTheme="minorHAnsi" w:eastAsiaTheme="minorHAnsi" w:hAnsiTheme="minorHAnsi"/>
          <w:szCs w:val="22"/>
          <w:lang w:eastAsia="ja-JP"/>
        </w:rPr>
        <w:t xml:space="preserve"> Naloxone 1.4 times per opioid-related incident in the first quarter of 2016. </w:t>
      </w: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</w:p>
    <w:p w:rsidR="00AA4651" w:rsidRDefault="00AA4651" w:rsidP="00AA4651">
      <w:pPr>
        <w:pStyle w:val="PlainText"/>
        <w:ind w:left="270"/>
        <w:jc w:val="both"/>
        <w:rPr>
          <w:rStyle w:val="s4"/>
          <w:lang w:eastAsia="ja-JP"/>
        </w:rPr>
      </w:pPr>
      <w:r w:rsidRPr="00840AB7">
        <w:rPr>
          <w:rStyle w:val="s4"/>
          <w:lang w:eastAsia="ja-JP"/>
        </w:rPr>
        <w:t xml:space="preserve">In the first quarter of 2016, of the EMS services reporting their data to DPH, responses to opioid-related incidents were in 199 of the 351 MA cities and towns (57%). </w:t>
      </w:r>
      <w:r w:rsidR="00914D96" w:rsidRPr="00840AB7">
        <w:rPr>
          <w:rStyle w:val="s4"/>
          <w:lang w:eastAsia="ja-JP"/>
        </w:rPr>
        <w:t>Overall, the number of opioid-related</w:t>
      </w:r>
      <w:r w:rsidR="00245E34" w:rsidRPr="00840AB7">
        <w:rPr>
          <w:rStyle w:val="s4"/>
          <w:lang w:eastAsia="ja-JP"/>
        </w:rPr>
        <w:t xml:space="preserve"> EMS transport</w:t>
      </w:r>
      <w:r w:rsidR="00914D96" w:rsidRPr="00840AB7">
        <w:rPr>
          <w:rStyle w:val="s4"/>
          <w:lang w:eastAsia="ja-JP"/>
        </w:rPr>
        <w:t xml:space="preserve"> incidents nearly doubled between 2013 and 2015 and 81 cities/towns also saw at least a doubling of events during this time period. Of note, the death rate increased at a slower rate than </w:t>
      </w:r>
      <w:r w:rsidR="00537F42" w:rsidRPr="00840AB7">
        <w:rPr>
          <w:rStyle w:val="s4"/>
          <w:lang w:eastAsia="ja-JP"/>
        </w:rPr>
        <w:t>opioid-related</w:t>
      </w:r>
      <w:r w:rsidR="00914D96" w:rsidRPr="00840AB7">
        <w:rPr>
          <w:rStyle w:val="s4"/>
          <w:lang w:eastAsia="ja-JP"/>
        </w:rPr>
        <w:t xml:space="preserve"> transports between 2013 and 201</w:t>
      </w:r>
      <w:r w:rsidR="00537F42" w:rsidRPr="00840AB7">
        <w:rPr>
          <w:rStyle w:val="s4"/>
          <w:lang w:eastAsia="ja-JP"/>
        </w:rPr>
        <w:t>5</w:t>
      </w:r>
      <w:r w:rsidR="00914D96" w:rsidRPr="00840AB7">
        <w:rPr>
          <w:rStyle w:val="s4"/>
          <w:lang w:eastAsia="ja-JP"/>
        </w:rPr>
        <w:t xml:space="preserve"> indicating </w:t>
      </w:r>
      <w:r w:rsidR="00DE659E" w:rsidRPr="00840AB7">
        <w:t xml:space="preserve">that the proportion of overdoses that are fatal </w:t>
      </w:r>
      <w:r w:rsidR="009503A0" w:rsidRPr="00840AB7">
        <w:t>may be</w:t>
      </w:r>
      <w:r w:rsidR="00DE659E" w:rsidRPr="00840AB7">
        <w:t xml:space="preserve"> decreasing</w:t>
      </w:r>
      <w:r w:rsidR="00914D96" w:rsidRPr="00840AB7">
        <w:rPr>
          <w:rStyle w:val="s4"/>
          <w:lang w:eastAsia="ja-JP"/>
        </w:rPr>
        <w:t>.</w:t>
      </w:r>
      <w:r w:rsidR="00914D96" w:rsidRPr="00DE659E">
        <w:rPr>
          <w:rStyle w:val="s4"/>
          <w:lang w:eastAsia="ja-JP"/>
        </w:rPr>
        <w:t xml:space="preserve">   </w:t>
      </w:r>
    </w:p>
    <w:p w:rsidR="00804431" w:rsidRPr="00840AB7" w:rsidRDefault="00804431" w:rsidP="00804431">
      <w:pPr>
        <w:pStyle w:val="PlainText"/>
        <w:ind w:left="270"/>
        <w:jc w:val="both"/>
        <w:rPr>
          <w:rStyle w:val="s4"/>
          <w:rFonts w:asciiTheme="minorHAnsi" w:eastAsiaTheme="minorHAnsi" w:hAnsiTheme="minorHAnsi"/>
          <w:szCs w:val="22"/>
          <w:lang w:eastAsia="ja-JP"/>
        </w:rPr>
      </w:pPr>
    </w:p>
    <w:p w:rsidR="00804431" w:rsidRPr="00840AB7" w:rsidRDefault="00804431" w:rsidP="00804431">
      <w:pPr>
        <w:rPr>
          <w:rFonts w:asciiTheme="minorHAnsi" w:hAnsiTheme="minorHAnsi"/>
          <w:sz w:val="22"/>
          <w:szCs w:val="22"/>
        </w:rPr>
      </w:pPr>
    </w:p>
    <w:tbl>
      <w:tblPr>
        <w:tblW w:w="8643" w:type="dxa"/>
        <w:tblInd w:w="450" w:type="dxa"/>
        <w:tblLook w:val="04A0" w:firstRow="1" w:lastRow="0" w:firstColumn="1" w:lastColumn="0" w:noHBand="0" w:noVBand="1"/>
      </w:tblPr>
      <w:tblGrid>
        <w:gridCol w:w="1226"/>
        <w:gridCol w:w="978"/>
        <w:gridCol w:w="978"/>
        <w:gridCol w:w="978"/>
        <w:gridCol w:w="978"/>
        <w:gridCol w:w="978"/>
        <w:gridCol w:w="978"/>
        <w:gridCol w:w="656"/>
        <w:gridCol w:w="893"/>
      </w:tblGrid>
      <w:tr w:rsidR="00804431" w:rsidRPr="00840AB7" w:rsidTr="009C4588">
        <w:trPr>
          <w:trHeight w:val="315"/>
        </w:trPr>
        <w:tc>
          <w:tcPr>
            <w:tcW w:w="8643" w:type="dxa"/>
            <w:gridSpan w:val="9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All Suspected Opioid Related Transports: 2016 (Quarter 1)</w:t>
            </w:r>
          </w:p>
        </w:tc>
      </w:tr>
      <w:tr w:rsidR="00804431" w:rsidRPr="00840AB7" w:rsidTr="009C4588">
        <w:trPr>
          <w:trHeight w:val="315"/>
        </w:trPr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11-14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15-24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65+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804431" w:rsidRPr="00840AB7" w:rsidTr="009C4588">
        <w:trPr>
          <w:trHeight w:val="300"/>
        </w:trPr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590BFA" w:rsidP="009C4588">
            <w:pPr>
              <w:jc w:val="center"/>
              <w:rPr>
                <w:rFonts w:ascii="Calibri" w:hAnsi="Calibri" w:cs="Times New Roman"/>
                <w:sz w:val="22"/>
                <w:szCs w:val="22"/>
                <w:vertAlign w:val="superscript"/>
              </w:rPr>
            </w:pPr>
            <w:r w:rsidRPr="00840AB7">
              <w:rPr>
                <w:rFonts w:ascii="Calibri" w:hAnsi="Calibri" w:cs="Times New Roman"/>
                <w:sz w:val="22"/>
                <w:szCs w:val="22"/>
              </w:rPr>
              <w:t>&lt;5</w:t>
            </w:r>
            <w:r w:rsidR="00804431" w:rsidRPr="00840AB7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1967</w:t>
            </w:r>
          </w:p>
        </w:tc>
      </w:tr>
      <w:tr w:rsidR="00804431" w:rsidRPr="00840AB7" w:rsidTr="009C4588">
        <w:trPr>
          <w:trHeight w:val="300"/>
        </w:trPr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sz w:val="22"/>
                <w:szCs w:val="22"/>
              </w:rPr>
              <w:t>&lt;</w:t>
            </w:r>
            <w:r w:rsidR="00590BFA" w:rsidRPr="00840AB7">
              <w:rPr>
                <w:rFonts w:ascii="Calibri" w:hAnsi="Calibri" w:cs="Times New Roman"/>
                <w:sz w:val="22"/>
                <w:szCs w:val="22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960</w:t>
            </w:r>
          </w:p>
        </w:tc>
      </w:tr>
      <w:tr w:rsidR="00804431" w:rsidRPr="00840AB7" w:rsidTr="009C4588">
        <w:trPr>
          <w:trHeight w:val="300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sz w:val="22"/>
                <w:szCs w:val="22"/>
              </w:rPr>
              <w:t>&lt;</w:t>
            </w:r>
            <w:r w:rsidR="00590BFA" w:rsidRPr="00840AB7">
              <w:rPr>
                <w:rFonts w:ascii="Calibri" w:hAnsi="Calibri" w:cs="Times New Roman"/>
                <w:sz w:val="22"/>
                <w:szCs w:val="22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1118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431" w:rsidRPr="00840AB7" w:rsidRDefault="00804431" w:rsidP="009C458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vertAlign w:val="superscript"/>
              </w:rPr>
            </w:pPr>
            <w:r w:rsidRPr="00840AB7">
              <w:rPr>
                <w:rFonts w:ascii="Calibri" w:hAnsi="Calibri" w:cs="Times New Roman"/>
                <w:color w:val="000000"/>
                <w:sz w:val="22"/>
                <w:szCs w:val="22"/>
              </w:rPr>
              <w:t>3520</w:t>
            </w:r>
            <w:r w:rsidRPr="00840AB7">
              <w:rPr>
                <w:rFonts w:ascii="Calibri" w:hAnsi="Calibri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</w:tbl>
    <w:p w:rsidR="00804431" w:rsidRPr="00840AB7" w:rsidRDefault="00804431" w:rsidP="001B075A">
      <w:pPr>
        <w:ind w:left="330"/>
        <w:rPr>
          <w:rFonts w:asciiTheme="minorHAnsi" w:hAnsiTheme="minorHAnsi"/>
          <w:sz w:val="18"/>
          <w:szCs w:val="18"/>
        </w:rPr>
      </w:pPr>
      <w:r w:rsidRPr="001B075A">
        <w:rPr>
          <w:rFonts w:asciiTheme="minorHAnsi" w:hAnsiTheme="minorHAnsi"/>
          <w:sz w:val="18"/>
          <w:szCs w:val="18"/>
          <w:vertAlign w:val="superscript"/>
        </w:rPr>
        <w:t>1</w:t>
      </w:r>
      <w:r w:rsidRPr="00840AB7">
        <w:rPr>
          <w:rFonts w:asciiTheme="minorHAnsi" w:hAnsiTheme="minorHAnsi"/>
          <w:sz w:val="18"/>
          <w:szCs w:val="18"/>
        </w:rPr>
        <w:t xml:space="preserve"> Includes an additional 593 incidents estimated from </w:t>
      </w:r>
      <w:r w:rsidR="00AA4651" w:rsidRPr="00840AB7">
        <w:rPr>
          <w:rFonts w:asciiTheme="minorHAnsi" w:hAnsiTheme="minorHAnsi"/>
          <w:sz w:val="18"/>
          <w:szCs w:val="18"/>
        </w:rPr>
        <w:t>Boston EMS</w:t>
      </w:r>
      <w:r w:rsidRPr="00840AB7">
        <w:rPr>
          <w:rFonts w:asciiTheme="minorHAnsi" w:hAnsiTheme="minorHAnsi"/>
          <w:sz w:val="18"/>
          <w:szCs w:val="18"/>
        </w:rPr>
        <w:t xml:space="preserve"> whose reporting</w:t>
      </w:r>
      <w:r w:rsidR="001B075A">
        <w:rPr>
          <w:rFonts w:asciiTheme="minorHAnsi" w:hAnsiTheme="minorHAnsi"/>
          <w:sz w:val="18"/>
          <w:szCs w:val="18"/>
        </w:rPr>
        <w:t xml:space="preserve"> differences do not fit into the </w:t>
      </w:r>
      <w:r w:rsidRPr="00840AB7">
        <w:rPr>
          <w:rFonts w:asciiTheme="minorHAnsi" w:hAnsiTheme="minorHAnsi"/>
          <w:sz w:val="18"/>
          <w:szCs w:val="18"/>
        </w:rPr>
        <w:t>algorithm used to identify cases and are not represented in the gender/age categories</w:t>
      </w:r>
      <w:r w:rsidR="00AA4651" w:rsidRPr="00840AB7">
        <w:rPr>
          <w:rFonts w:asciiTheme="minorHAnsi" w:hAnsiTheme="minorHAnsi"/>
          <w:sz w:val="18"/>
          <w:szCs w:val="18"/>
        </w:rPr>
        <w:t xml:space="preserve"> and whose 2016 NRI data we</w:t>
      </w:r>
      <w:r w:rsidR="001B075A">
        <w:rPr>
          <w:rFonts w:asciiTheme="minorHAnsi" w:hAnsiTheme="minorHAnsi"/>
          <w:sz w:val="18"/>
          <w:szCs w:val="18"/>
        </w:rPr>
        <w:t xml:space="preserve"> </w:t>
      </w:r>
      <w:r w:rsidR="00AA4651" w:rsidRPr="00840AB7">
        <w:rPr>
          <w:rFonts w:asciiTheme="minorHAnsi" w:hAnsiTheme="minorHAnsi"/>
          <w:sz w:val="18"/>
          <w:szCs w:val="18"/>
        </w:rPr>
        <w:t xml:space="preserve">do not yet have. </w:t>
      </w:r>
    </w:p>
    <w:p w:rsidR="00804431" w:rsidRDefault="00804431" w:rsidP="00804431">
      <w:pPr>
        <w:rPr>
          <w:rFonts w:asciiTheme="minorHAnsi" w:hAnsiTheme="minorHAnsi"/>
          <w:szCs w:val="22"/>
        </w:rPr>
      </w:pPr>
    </w:p>
    <w:p w:rsidR="00804431" w:rsidRDefault="00804431" w:rsidP="00804431">
      <w:pPr>
        <w:ind w:left="360"/>
        <w:rPr>
          <w:rFonts w:asciiTheme="minorHAnsi" w:hAnsiTheme="minorHAnsi"/>
          <w:szCs w:val="22"/>
        </w:rPr>
      </w:pPr>
    </w:p>
    <w:p w:rsidR="00804431" w:rsidRDefault="00804431" w:rsidP="00804431">
      <w:pPr>
        <w:ind w:left="360"/>
        <w:rPr>
          <w:rFonts w:asciiTheme="minorHAnsi" w:hAnsiTheme="minorHAnsi"/>
          <w:szCs w:val="22"/>
        </w:rPr>
      </w:pPr>
    </w:p>
    <w:p w:rsidR="00804431" w:rsidRDefault="0020731D" w:rsidP="00804431">
      <w:pPr>
        <w:ind w:left="360"/>
        <w:rPr>
          <w:rFonts w:asciiTheme="minorHAnsi" w:hAnsiTheme="minorHAnsi"/>
          <w:szCs w:val="22"/>
        </w:rPr>
      </w:pPr>
      <w:r w:rsidRPr="0020731D">
        <w:rPr>
          <w:noProof/>
        </w:rPr>
        <w:drawing>
          <wp:inline distT="0" distB="0" distL="0" distR="0" wp14:anchorId="2655C68B" wp14:editId="43AE88EE">
            <wp:extent cx="6457950" cy="3057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FF" w:rsidRDefault="000802FF" w:rsidP="00804431">
      <w:pPr>
        <w:ind w:left="360"/>
        <w:rPr>
          <w:rFonts w:asciiTheme="minorHAnsi" w:hAnsiTheme="minorHAnsi"/>
          <w:szCs w:val="22"/>
        </w:rPr>
      </w:pPr>
    </w:p>
    <w:p w:rsidR="00804431" w:rsidRDefault="00804431" w:rsidP="00804431">
      <w:pPr>
        <w:ind w:left="360"/>
        <w:rPr>
          <w:rFonts w:asciiTheme="minorHAnsi" w:hAnsiTheme="minorHAnsi"/>
          <w:szCs w:val="22"/>
        </w:rPr>
      </w:pPr>
    </w:p>
    <w:p w:rsidR="00804431" w:rsidRPr="00840AB7" w:rsidRDefault="008D6702" w:rsidP="00804431">
      <w:pPr>
        <w:tabs>
          <w:tab w:val="left" w:pos="360"/>
        </w:tabs>
        <w:ind w:left="270"/>
        <w:rPr>
          <w:rFonts w:asciiTheme="minorHAnsi" w:hAnsiTheme="minorHAnsi"/>
          <w:szCs w:val="22"/>
        </w:rPr>
      </w:pPr>
      <w:r w:rsidRPr="008D6702">
        <w:rPr>
          <w:noProof/>
        </w:rPr>
        <w:drawing>
          <wp:inline distT="0" distB="0" distL="0" distR="0" wp14:anchorId="19C7E269" wp14:editId="2445A8B8">
            <wp:extent cx="6515100" cy="27618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76" cy="276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1" w:rsidRDefault="00804431" w:rsidP="00804431">
      <w:pPr>
        <w:ind w:left="270"/>
        <w:rPr>
          <w:rFonts w:asciiTheme="minorHAnsi" w:hAnsiTheme="minorHAnsi"/>
          <w:sz w:val="22"/>
          <w:szCs w:val="22"/>
          <w:highlight w:val="yellow"/>
        </w:rPr>
      </w:pPr>
    </w:p>
    <w:p w:rsidR="00804431" w:rsidRDefault="00804431" w:rsidP="00804431">
      <w:pPr>
        <w:ind w:left="270"/>
        <w:rPr>
          <w:rFonts w:asciiTheme="minorHAnsi" w:hAnsiTheme="minorHAnsi"/>
          <w:sz w:val="22"/>
          <w:szCs w:val="22"/>
          <w:highlight w:val="yellow"/>
        </w:rPr>
      </w:pPr>
    </w:p>
    <w:p w:rsidR="00804431" w:rsidRPr="00532D2E" w:rsidRDefault="00804431" w:rsidP="00804431">
      <w:pPr>
        <w:rPr>
          <w:rFonts w:asciiTheme="minorHAnsi" w:hAnsiTheme="minorHAnsi"/>
          <w:b/>
          <w:sz w:val="22"/>
          <w:szCs w:val="22"/>
          <w:u w:val="single"/>
        </w:rPr>
      </w:pPr>
      <w:r w:rsidRPr="00532D2E">
        <w:rPr>
          <w:rFonts w:asciiTheme="minorHAnsi" w:hAnsiTheme="minorHAnsi"/>
          <w:b/>
          <w:sz w:val="22"/>
          <w:szCs w:val="22"/>
          <w:u w:val="single"/>
        </w:rPr>
        <w:t>Technical Notes</w:t>
      </w:r>
    </w:p>
    <w:p w:rsidR="00804431" w:rsidRPr="000601FF" w:rsidRDefault="00804431" w:rsidP="00804431">
      <w:pPr>
        <w:spacing w:after="240"/>
        <w:rPr>
          <w:rStyle w:val="s4"/>
          <w:rFonts w:asciiTheme="minorHAnsi" w:hAnsiTheme="minorHAnsi"/>
          <w:sz w:val="22"/>
          <w:szCs w:val="22"/>
        </w:rPr>
      </w:pPr>
      <w:r w:rsidRPr="00532D2E">
        <w:rPr>
          <w:rStyle w:val="s4"/>
          <w:rFonts w:asciiTheme="minorHAnsi" w:hAnsiTheme="minorHAnsi"/>
          <w:sz w:val="22"/>
          <w:szCs w:val="22"/>
        </w:rPr>
        <w:t>Suspected opioid related incidents are identified using an algorithm that DPH developed with CDC using multiple fields in the MATRIS system. Due to difference</w:t>
      </w:r>
      <w:r w:rsidR="00317A25">
        <w:rPr>
          <w:rStyle w:val="s4"/>
          <w:rFonts w:asciiTheme="minorHAnsi" w:hAnsiTheme="minorHAnsi"/>
          <w:sz w:val="22"/>
          <w:szCs w:val="22"/>
        </w:rPr>
        <w:t>s</w:t>
      </w:r>
      <w:r w:rsidRPr="00532D2E">
        <w:rPr>
          <w:rStyle w:val="s4"/>
          <w:rFonts w:asciiTheme="minorHAnsi" w:hAnsiTheme="minorHAnsi"/>
          <w:sz w:val="22"/>
          <w:szCs w:val="22"/>
        </w:rPr>
        <w:t xml:space="preserve"> in reporting by EMS services, these numbers are likely an undercount of true opioid-related incidents.</w:t>
      </w:r>
      <w:r>
        <w:rPr>
          <w:rStyle w:val="s4"/>
          <w:rFonts w:asciiTheme="minorHAnsi" w:hAnsiTheme="minorHAnsi"/>
          <w:sz w:val="22"/>
          <w:szCs w:val="22"/>
        </w:rPr>
        <w:t xml:space="preserve"> </w:t>
      </w:r>
    </w:p>
    <w:p w:rsidR="00804431" w:rsidRPr="000601FF" w:rsidRDefault="00804431" w:rsidP="00804431">
      <w:pPr>
        <w:ind w:firstLine="270"/>
        <w:rPr>
          <w:rFonts w:asciiTheme="minorHAnsi" w:hAnsiTheme="minorHAnsi"/>
          <w:sz w:val="22"/>
          <w:szCs w:val="22"/>
        </w:rPr>
      </w:pPr>
    </w:p>
    <w:p w:rsidR="00A2720C" w:rsidRPr="001B7E90" w:rsidRDefault="00A2720C" w:rsidP="00A2720C">
      <w:pPr>
        <w:pStyle w:val="PlainText"/>
        <w:rPr>
          <w:rStyle w:val="s4"/>
          <w:rFonts w:asciiTheme="minorHAnsi" w:eastAsiaTheme="minorHAnsi" w:hAnsiTheme="minorHAnsi" w:cs="Arial"/>
          <w:b/>
          <w:szCs w:val="22"/>
          <w:lang w:eastAsia="ja-JP"/>
        </w:rPr>
      </w:pPr>
    </w:p>
    <w:sectPr w:rsidR="00A2720C" w:rsidRPr="001B7E90" w:rsidSect="00A272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864" w:right="135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A4" w:rsidRDefault="00AA5BA4" w:rsidP="007C32A4">
      <w:r>
        <w:separator/>
      </w:r>
    </w:p>
  </w:endnote>
  <w:endnote w:type="continuationSeparator" w:id="0">
    <w:p w:rsidR="00AA5BA4" w:rsidRDefault="00AA5BA4" w:rsidP="007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18"/>
        <w:szCs w:val="18"/>
      </w:rPr>
      <w:id w:val="1890456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162" w:rsidRPr="00F87162" w:rsidRDefault="00F87162">
        <w:pPr>
          <w:pStyle w:val="Footer"/>
          <w:jc w:val="right"/>
          <w:rPr>
            <w:rFonts w:asciiTheme="minorHAnsi" w:hAnsiTheme="minorHAnsi"/>
            <w:sz w:val="18"/>
            <w:szCs w:val="18"/>
          </w:rPr>
        </w:pPr>
        <w:r w:rsidRPr="00F87162">
          <w:rPr>
            <w:rFonts w:asciiTheme="minorHAnsi" w:hAnsiTheme="minorHAnsi"/>
            <w:sz w:val="18"/>
            <w:szCs w:val="18"/>
          </w:rPr>
          <w:fldChar w:fldCharType="begin"/>
        </w:r>
        <w:r w:rsidRPr="00F87162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F87162">
          <w:rPr>
            <w:rFonts w:asciiTheme="minorHAnsi" w:hAnsiTheme="minorHAnsi"/>
            <w:sz w:val="18"/>
            <w:szCs w:val="18"/>
          </w:rPr>
          <w:fldChar w:fldCharType="separate"/>
        </w:r>
        <w:r w:rsidR="006E7DCE">
          <w:rPr>
            <w:rFonts w:asciiTheme="minorHAnsi" w:hAnsiTheme="minorHAnsi"/>
            <w:noProof/>
            <w:sz w:val="18"/>
            <w:szCs w:val="18"/>
          </w:rPr>
          <w:t>1</w:t>
        </w:r>
        <w:r w:rsidRPr="00F87162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:rsidR="00D47440" w:rsidRPr="00F87162" w:rsidRDefault="00D47440">
    <w:pPr>
      <w:pStyle w:val="Footer"/>
      <w:rPr>
        <w:rFonts w:asciiTheme="minorHAnsi" w:hAnsiTheme="min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A4" w:rsidRDefault="00AA5BA4" w:rsidP="007C32A4">
      <w:r>
        <w:separator/>
      </w:r>
    </w:p>
  </w:footnote>
  <w:footnote w:type="continuationSeparator" w:id="0">
    <w:p w:rsidR="00AA5BA4" w:rsidRDefault="00AA5BA4" w:rsidP="007C3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71F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51AF7"/>
    <w:multiLevelType w:val="hybridMultilevel"/>
    <w:tmpl w:val="D02A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46D8"/>
    <w:multiLevelType w:val="hybridMultilevel"/>
    <w:tmpl w:val="329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10237"/>
    <w:multiLevelType w:val="hybridMultilevel"/>
    <w:tmpl w:val="6500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40A"/>
    <w:multiLevelType w:val="hybridMultilevel"/>
    <w:tmpl w:val="A6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C164C"/>
    <w:multiLevelType w:val="hybridMultilevel"/>
    <w:tmpl w:val="261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3688"/>
    <w:multiLevelType w:val="hybridMultilevel"/>
    <w:tmpl w:val="30D6E814"/>
    <w:lvl w:ilvl="0" w:tplc="CD7467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52A67FA8"/>
    <w:multiLevelType w:val="hybridMultilevel"/>
    <w:tmpl w:val="341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249A8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2F79"/>
    <w:multiLevelType w:val="hybridMultilevel"/>
    <w:tmpl w:val="11B6D1FE"/>
    <w:lvl w:ilvl="0" w:tplc="6186D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4424C8"/>
    <w:multiLevelType w:val="hybridMultilevel"/>
    <w:tmpl w:val="A71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34B23"/>
    <w:multiLevelType w:val="hybridMultilevel"/>
    <w:tmpl w:val="38382926"/>
    <w:lvl w:ilvl="0" w:tplc="4006828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9766D91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F50F1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B7121"/>
    <w:multiLevelType w:val="hybridMultilevel"/>
    <w:tmpl w:val="B88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e599b06-9807-40a8-af78-b450131c820c"/>
  </w:docVars>
  <w:rsids>
    <w:rsidRoot w:val="00C2229E"/>
    <w:rsid w:val="000029AD"/>
    <w:rsid w:val="00002AB6"/>
    <w:rsid w:val="00004E45"/>
    <w:rsid w:val="000106D4"/>
    <w:rsid w:val="00010B7A"/>
    <w:rsid w:val="00011169"/>
    <w:rsid w:val="00014CCA"/>
    <w:rsid w:val="00022B9A"/>
    <w:rsid w:val="00024731"/>
    <w:rsid w:val="000305E4"/>
    <w:rsid w:val="0003225B"/>
    <w:rsid w:val="00034994"/>
    <w:rsid w:val="00044FFF"/>
    <w:rsid w:val="00046A3F"/>
    <w:rsid w:val="00047DCF"/>
    <w:rsid w:val="000505C4"/>
    <w:rsid w:val="00050EEE"/>
    <w:rsid w:val="00052761"/>
    <w:rsid w:val="00056028"/>
    <w:rsid w:val="000601FF"/>
    <w:rsid w:val="00061D37"/>
    <w:rsid w:val="000665E3"/>
    <w:rsid w:val="00067D83"/>
    <w:rsid w:val="000701B6"/>
    <w:rsid w:val="000714E0"/>
    <w:rsid w:val="00074594"/>
    <w:rsid w:val="0007643F"/>
    <w:rsid w:val="000802FF"/>
    <w:rsid w:val="00081E61"/>
    <w:rsid w:val="00084B65"/>
    <w:rsid w:val="00084F32"/>
    <w:rsid w:val="000909E7"/>
    <w:rsid w:val="00091544"/>
    <w:rsid w:val="00091641"/>
    <w:rsid w:val="00091C56"/>
    <w:rsid w:val="00092625"/>
    <w:rsid w:val="000934BB"/>
    <w:rsid w:val="000A2F95"/>
    <w:rsid w:val="000A35D6"/>
    <w:rsid w:val="000B33AA"/>
    <w:rsid w:val="000B7A65"/>
    <w:rsid w:val="000C040C"/>
    <w:rsid w:val="000C1559"/>
    <w:rsid w:val="000C4EC3"/>
    <w:rsid w:val="000C56BA"/>
    <w:rsid w:val="000C56F3"/>
    <w:rsid w:val="000C7465"/>
    <w:rsid w:val="000C7A61"/>
    <w:rsid w:val="000C7AD2"/>
    <w:rsid w:val="000D05F8"/>
    <w:rsid w:val="000D0C2A"/>
    <w:rsid w:val="000D2679"/>
    <w:rsid w:val="000D2688"/>
    <w:rsid w:val="000D2D8B"/>
    <w:rsid w:val="000D4331"/>
    <w:rsid w:val="000E1BDC"/>
    <w:rsid w:val="000E36D3"/>
    <w:rsid w:val="000E4688"/>
    <w:rsid w:val="000E6ACF"/>
    <w:rsid w:val="000F157F"/>
    <w:rsid w:val="000F2527"/>
    <w:rsid w:val="000F257D"/>
    <w:rsid w:val="000F5BD1"/>
    <w:rsid w:val="00107032"/>
    <w:rsid w:val="00113A4B"/>
    <w:rsid w:val="0011627D"/>
    <w:rsid w:val="00116FD5"/>
    <w:rsid w:val="00120589"/>
    <w:rsid w:val="00120DB5"/>
    <w:rsid w:val="00126AD6"/>
    <w:rsid w:val="001279BC"/>
    <w:rsid w:val="001347DB"/>
    <w:rsid w:val="001367F9"/>
    <w:rsid w:val="00136AB3"/>
    <w:rsid w:val="0014011C"/>
    <w:rsid w:val="00140AF2"/>
    <w:rsid w:val="0014493A"/>
    <w:rsid w:val="00145DF1"/>
    <w:rsid w:val="001473DB"/>
    <w:rsid w:val="0015294F"/>
    <w:rsid w:val="001544F3"/>
    <w:rsid w:val="001624DF"/>
    <w:rsid w:val="00166097"/>
    <w:rsid w:val="00171437"/>
    <w:rsid w:val="00175A60"/>
    <w:rsid w:val="00176A73"/>
    <w:rsid w:val="00182B0F"/>
    <w:rsid w:val="00182CF2"/>
    <w:rsid w:val="00182EC3"/>
    <w:rsid w:val="00183213"/>
    <w:rsid w:val="00183C22"/>
    <w:rsid w:val="00187F88"/>
    <w:rsid w:val="0019050A"/>
    <w:rsid w:val="00190ACD"/>
    <w:rsid w:val="0019456E"/>
    <w:rsid w:val="0019714E"/>
    <w:rsid w:val="001A125B"/>
    <w:rsid w:val="001A3D51"/>
    <w:rsid w:val="001A6EF6"/>
    <w:rsid w:val="001B075A"/>
    <w:rsid w:val="001B1377"/>
    <w:rsid w:val="001B2472"/>
    <w:rsid w:val="001B56F9"/>
    <w:rsid w:val="001B69EE"/>
    <w:rsid w:val="001B78CC"/>
    <w:rsid w:val="001C60AB"/>
    <w:rsid w:val="001D2CC1"/>
    <w:rsid w:val="001E3379"/>
    <w:rsid w:val="001E6C05"/>
    <w:rsid w:val="0020067B"/>
    <w:rsid w:val="002025AF"/>
    <w:rsid w:val="0020731D"/>
    <w:rsid w:val="0021254E"/>
    <w:rsid w:val="0021457C"/>
    <w:rsid w:val="00220530"/>
    <w:rsid w:val="00222FDC"/>
    <w:rsid w:val="00223C11"/>
    <w:rsid w:val="0022428B"/>
    <w:rsid w:val="0022742A"/>
    <w:rsid w:val="00230121"/>
    <w:rsid w:val="00237FD2"/>
    <w:rsid w:val="002408A5"/>
    <w:rsid w:val="002416BF"/>
    <w:rsid w:val="002421BB"/>
    <w:rsid w:val="002440EB"/>
    <w:rsid w:val="0024575E"/>
    <w:rsid w:val="00245E34"/>
    <w:rsid w:val="00246D0F"/>
    <w:rsid w:val="00247048"/>
    <w:rsid w:val="00247E4D"/>
    <w:rsid w:val="0025052F"/>
    <w:rsid w:val="0025387F"/>
    <w:rsid w:val="00254E59"/>
    <w:rsid w:val="00255C4B"/>
    <w:rsid w:val="00261995"/>
    <w:rsid w:val="00261BBC"/>
    <w:rsid w:val="00262E28"/>
    <w:rsid w:val="00263563"/>
    <w:rsid w:val="00266428"/>
    <w:rsid w:val="00267AE5"/>
    <w:rsid w:val="00270E37"/>
    <w:rsid w:val="00270E83"/>
    <w:rsid w:val="0027439F"/>
    <w:rsid w:val="002771FA"/>
    <w:rsid w:val="002774F4"/>
    <w:rsid w:val="0028359D"/>
    <w:rsid w:val="00284237"/>
    <w:rsid w:val="00285B56"/>
    <w:rsid w:val="00285C1B"/>
    <w:rsid w:val="00291B65"/>
    <w:rsid w:val="002923FD"/>
    <w:rsid w:val="0029338A"/>
    <w:rsid w:val="00293CC9"/>
    <w:rsid w:val="002A00B7"/>
    <w:rsid w:val="002A1AF5"/>
    <w:rsid w:val="002A2A2E"/>
    <w:rsid w:val="002A5447"/>
    <w:rsid w:val="002A5579"/>
    <w:rsid w:val="002A700B"/>
    <w:rsid w:val="002A7A8A"/>
    <w:rsid w:val="002B0268"/>
    <w:rsid w:val="002B3060"/>
    <w:rsid w:val="002B32E2"/>
    <w:rsid w:val="002B3A1F"/>
    <w:rsid w:val="002B7C21"/>
    <w:rsid w:val="002B7C77"/>
    <w:rsid w:val="002C4015"/>
    <w:rsid w:val="002D0514"/>
    <w:rsid w:val="002E74D6"/>
    <w:rsid w:val="002F2795"/>
    <w:rsid w:val="002F3A80"/>
    <w:rsid w:val="002F665D"/>
    <w:rsid w:val="002F7E6F"/>
    <w:rsid w:val="003021AA"/>
    <w:rsid w:val="0030473B"/>
    <w:rsid w:val="00306DE5"/>
    <w:rsid w:val="003107BC"/>
    <w:rsid w:val="00315A18"/>
    <w:rsid w:val="003171BE"/>
    <w:rsid w:val="00317A25"/>
    <w:rsid w:val="00320A0B"/>
    <w:rsid w:val="00321BB4"/>
    <w:rsid w:val="00324C6D"/>
    <w:rsid w:val="003250DE"/>
    <w:rsid w:val="00331EB3"/>
    <w:rsid w:val="00340AD9"/>
    <w:rsid w:val="003412D6"/>
    <w:rsid w:val="00343CF1"/>
    <w:rsid w:val="0034457B"/>
    <w:rsid w:val="00345744"/>
    <w:rsid w:val="00345C20"/>
    <w:rsid w:val="00346A0E"/>
    <w:rsid w:val="00350C5D"/>
    <w:rsid w:val="003522F4"/>
    <w:rsid w:val="003545C6"/>
    <w:rsid w:val="00360AA1"/>
    <w:rsid w:val="00362F77"/>
    <w:rsid w:val="00364018"/>
    <w:rsid w:val="00366626"/>
    <w:rsid w:val="00372714"/>
    <w:rsid w:val="00372C20"/>
    <w:rsid w:val="00375160"/>
    <w:rsid w:val="0038000E"/>
    <w:rsid w:val="0038257B"/>
    <w:rsid w:val="0038391D"/>
    <w:rsid w:val="00385C53"/>
    <w:rsid w:val="0039320F"/>
    <w:rsid w:val="00395778"/>
    <w:rsid w:val="003A1E6D"/>
    <w:rsid w:val="003A2ABD"/>
    <w:rsid w:val="003A2E3D"/>
    <w:rsid w:val="003A4111"/>
    <w:rsid w:val="003B12FC"/>
    <w:rsid w:val="003B50D9"/>
    <w:rsid w:val="003B60D6"/>
    <w:rsid w:val="003C00B4"/>
    <w:rsid w:val="003C047D"/>
    <w:rsid w:val="003C3BC2"/>
    <w:rsid w:val="003C5AB6"/>
    <w:rsid w:val="003C628D"/>
    <w:rsid w:val="003C7781"/>
    <w:rsid w:val="003C7797"/>
    <w:rsid w:val="003C79E7"/>
    <w:rsid w:val="003D0A9B"/>
    <w:rsid w:val="003D0B20"/>
    <w:rsid w:val="003D1855"/>
    <w:rsid w:val="003D2FB2"/>
    <w:rsid w:val="003E1C45"/>
    <w:rsid w:val="003E7FBC"/>
    <w:rsid w:val="003F161B"/>
    <w:rsid w:val="003F2E98"/>
    <w:rsid w:val="003F2F51"/>
    <w:rsid w:val="003F3A55"/>
    <w:rsid w:val="003F5FDE"/>
    <w:rsid w:val="00401350"/>
    <w:rsid w:val="00403483"/>
    <w:rsid w:val="004059CE"/>
    <w:rsid w:val="00406153"/>
    <w:rsid w:val="00406912"/>
    <w:rsid w:val="00413D60"/>
    <w:rsid w:val="00414926"/>
    <w:rsid w:val="00417B7B"/>
    <w:rsid w:val="00420380"/>
    <w:rsid w:val="00425870"/>
    <w:rsid w:val="004267D3"/>
    <w:rsid w:val="00426B4D"/>
    <w:rsid w:val="00427B7B"/>
    <w:rsid w:val="004331A6"/>
    <w:rsid w:val="00434045"/>
    <w:rsid w:val="004374A2"/>
    <w:rsid w:val="004405B0"/>
    <w:rsid w:val="00441E65"/>
    <w:rsid w:val="004424BE"/>
    <w:rsid w:val="00461688"/>
    <w:rsid w:val="0046198F"/>
    <w:rsid w:val="00461F78"/>
    <w:rsid w:val="00462F04"/>
    <w:rsid w:val="00467FA1"/>
    <w:rsid w:val="00491188"/>
    <w:rsid w:val="00492DCC"/>
    <w:rsid w:val="00493F6A"/>
    <w:rsid w:val="00496F53"/>
    <w:rsid w:val="0049720C"/>
    <w:rsid w:val="004A052F"/>
    <w:rsid w:val="004A58AF"/>
    <w:rsid w:val="004A5F97"/>
    <w:rsid w:val="004A6690"/>
    <w:rsid w:val="004B0286"/>
    <w:rsid w:val="004B0BFE"/>
    <w:rsid w:val="004B21DA"/>
    <w:rsid w:val="004C171A"/>
    <w:rsid w:val="004C5B76"/>
    <w:rsid w:val="004D01C9"/>
    <w:rsid w:val="004D5B08"/>
    <w:rsid w:val="004E060B"/>
    <w:rsid w:val="004E1EDE"/>
    <w:rsid w:val="004E2D53"/>
    <w:rsid w:val="004E661B"/>
    <w:rsid w:val="004F122B"/>
    <w:rsid w:val="005003D0"/>
    <w:rsid w:val="00504668"/>
    <w:rsid w:val="0050567F"/>
    <w:rsid w:val="00506251"/>
    <w:rsid w:val="0051017C"/>
    <w:rsid w:val="00516975"/>
    <w:rsid w:val="00517549"/>
    <w:rsid w:val="00517CBE"/>
    <w:rsid w:val="00522090"/>
    <w:rsid w:val="00524DB2"/>
    <w:rsid w:val="00525FC4"/>
    <w:rsid w:val="00530D9D"/>
    <w:rsid w:val="005313DC"/>
    <w:rsid w:val="0053205E"/>
    <w:rsid w:val="00532D2E"/>
    <w:rsid w:val="0053404C"/>
    <w:rsid w:val="005367CF"/>
    <w:rsid w:val="00537483"/>
    <w:rsid w:val="00537F42"/>
    <w:rsid w:val="00545AB8"/>
    <w:rsid w:val="00546C49"/>
    <w:rsid w:val="00553139"/>
    <w:rsid w:val="00563C4B"/>
    <w:rsid w:val="00563DD5"/>
    <w:rsid w:val="00565751"/>
    <w:rsid w:val="00567765"/>
    <w:rsid w:val="0057111F"/>
    <w:rsid w:val="0057183B"/>
    <w:rsid w:val="00573445"/>
    <w:rsid w:val="00573EED"/>
    <w:rsid w:val="00576028"/>
    <w:rsid w:val="00576262"/>
    <w:rsid w:val="00576A6C"/>
    <w:rsid w:val="0058034E"/>
    <w:rsid w:val="0058187A"/>
    <w:rsid w:val="00581C0B"/>
    <w:rsid w:val="00582985"/>
    <w:rsid w:val="00586430"/>
    <w:rsid w:val="00590BFA"/>
    <w:rsid w:val="00592218"/>
    <w:rsid w:val="00592309"/>
    <w:rsid w:val="00597400"/>
    <w:rsid w:val="005B1035"/>
    <w:rsid w:val="005B1930"/>
    <w:rsid w:val="005B2278"/>
    <w:rsid w:val="005B4541"/>
    <w:rsid w:val="005B5287"/>
    <w:rsid w:val="005B7001"/>
    <w:rsid w:val="005B7769"/>
    <w:rsid w:val="005C13D0"/>
    <w:rsid w:val="005D12DC"/>
    <w:rsid w:val="005D1797"/>
    <w:rsid w:val="005D5CEE"/>
    <w:rsid w:val="005D7941"/>
    <w:rsid w:val="005E1BD6"/>
    <w:rsid w:val="005F0376"/>
    <w:rsid w:val="005F0EC4"/>
    <w:rsid w:val="006010B0"/>
    <w:rsid w:val="00601EC4"/>
    <w:rsid w:val="0061498C"/>
    <w:rsid w:val="00617955"/>
    <w:rsid w:val="006237EF"/>
    <w:rsid w:val="006260CC"/>
    <w:rsid w:val="00626457"/>
    <w:rsid w:val="00626CBC"/>
    <w:rsid w:val="006304C2"/>
    <w:rsid w:val="00630C7F"/>
    <w:rsid w:val="00637F1B"/>
    <w:rsid w:val="00640236"/>
    <w:rsid w:val="00643882"/>
    <w:rsid w:val="00655495"/>
    <w:rsid w:val="006576A4"/>
    <w:rsid w:val="00662BA8"/>
    <w:rsid w:val="00665122"/>
    <w:rsid w:val="006661EA"/>
    <w:rsid w:val="006671E7"/>
    <w:rsid w:val="006702B3"/>
    <w:rsid w:val="00670DA0"/>
    <w:rsid w:val="006715C5"/>
    <w:rsid w:val="0067406A"/>
    <w:rsid w:val="00674E41"/>
    <w:rsid w:val="0067580A"/>
    <w:rsid w:val="00676983"/>
    <w:rsid w:val="0068148B"/>
    <w:rsid w:val="006861EA"/>
    <w:rsid w:val="00692DD8"/>
    <w:rsid w:val="00695C87"/>
    <w:rsid w:val="00696B67"/>
    <w:rsid w:val="00697A1F"/>
    <w:rsid w:val="006B669A"/>
    <w:rsid w:val="006C157C"/>
    <w:rsid w:val="006C54E4"/>
    <w:rsid w:val="006C54EF"/>
    <w:rsid w:val="006C7962"/>
    <w:rsid w:val="006D4BBF"/>
    <w:rsid w:val="006D4DEC"/>
    <w:rsid w:val="006D525A"/>
    <w:rsid w:val="006E7DCE"/>
    <w:rsid w:val="006E7E12"/>
    <w:rsid w:val="006F146F"/>
    <w:rsid w:val="0070001E"/>
    <w:rsid w:val="00701124"/>
    <w:rsid w:val="0071170A"/>
    <w:rsid w:val="00711D15"/>
    <w:rsid w:val="00714CCA"/>
    <w:rsid w:val="00714EF7"/>
    <w:rsid w:val="007155F4"/>
    <w:rsid w:val="00722A70"/>
    <w:rsid w:val="00724A24"/>
    <w:rsid w:val="0072694B"/>
    <w:rsid w:val="00732351"/>
    <w:rsid w:val="007326E1"/>
    <w:rsid w:val="0073527D"/>
    <w:rsid w:val="00736B45"/>
    <w:rsid w:val="00736F32"/>
    <w:rsid w:val="00737D0D"/>
    <w:rsid w:val="00740B95"/>
    <w:rsid w:val="00741509"/>
    <w:rsid w:val="00750BDB"/>
    <w:rsid w:val="00750E54"/>
    <w:rsid w:val="00753F66"/>
    <w:rsid w:val="007609EC"/>
    <w:rsid w:val="0076166F"/>
    <w:rsid w:val="00762D9B"/>
    <w:rsid w:val="00763D92"/>
    <w:rsid w:val="00771CE7"/>
    <w:rsid w:val="00772621"/>
    <w:rsid w:val="007812AA"/>
    <w:rsid w:val="007867F1"/>
    <w:rsid w:val="00790963"/>
    <w:rsid w:val="00795B5D"/>
    <w:rsid w:val="007A33BC"/>
    <w:rsid w:val="007B07C5"/>
    <w:rsid w:val="007B2C66"/>
    <w:rsid w:val="007B2C97"/>
    <w:rsid w:val="007B4903"/>
    <w:rsid w:val="007B6613"/>
    <w:rsid w:val="007B684E"/>
    <w:rsid w:val="007B74C8"/>
    <w:rsid w:val="007C32A4"/>
    <w:rsid w:val="007C5F19"/>
    <w:rsid w:val="007D1C6D"/>
    <w:rsid w:val="007D30AA"/>
    <w:rsid w:val="007D3D9E"/>
    <w:rsid w:val="007D4A92"/>
    <w:rsid w:val="007D7CD9"/>
    <w:rsid w:val="007F58F4"/>
    <w:rsid w:val="00804431"/>
    <w:rsid w:val="00812171"/>
    <w:rsid w:val="008145FD"/>
    <w:rsid w:val="008210D8"/>
    <w:rsid w:val="00824354"/>
    <w:rsid w:val="0082492A"/>
    <w:rsid w:val="00826D05"/>
    <w:rsid w:val="008274F8"/>
    <w:rsid w:val="00831DF4"/>
    <w:rsid w:val="00840AB7"/>
    <w:rsid w:val="00841B30"/>
    <w:rsid w:val="00844B65"/>
    <w:rsid w:val="0085064D"/>
    <w:rsid w:val="00853819"/>
    <w:rsid w:val="00853FE0"/>
    <w:rsid w:val="0085554E"/>
    <w:rsid w:val="00860B54"/>
    <w:rsid w:val="0086306E"/>
    <w:rsid w:val="0086525D"/>
    <w:rsid w:val="00873EEE"/>
    <w:rsid w:val="008745F9"/>
    <w:rsid w:val="00880300"/>
    <w:rsid w:val="008911A6"/>
    <w:rsid w:val="00894686"/>
    <w:rsid w:val="00895FC0"/>
    <w:rsid w:val="008961EE"/>
    <w:rsid w:val="0089766C"/>
    <w:rsid w:val="008A068B"/>
    <w:rsid w:val="008A403D"/>
    <w:rsid w:val="008A62CB"/>
    <w:rsid w:val="008B5565"/>
    <w:rsid w:val="008C008A"/>
    <w:rsid w:val="008C026D"/>
    <w:rsid w:val="008C5F35"/>
    <w:rsid w:val="008C6659"/>
    <w:rsid w:val="008C766D"/>
    <w:rsid w:val="008D0385"/>
    <w:rsid w:val="008D08E0"/>
    <w:rsid w:val="008D1B17"/>
    <w:rsid w:val="008D24D2"/>
    <w:rsid w:val="008D4BCF"/>
    <w:rsid w:val="008D6702"/>
    <w:rsid w:val="008E0377"/>
    <w:rsid w:val="008E08B5"/>
    <w:rsid w:val="008E0D33"/>
    <w:rsid w:val="008E44CF"/>
    <w:rsid w:val="008E59C5"/>
    <w:rsid w:val="008E78F4"/>
    <w:rsid w:val="008E7A53"/>
    <w:rsid w:val="008F0DE9"/>
    <w:rsid w:val="008F47FE"/>
    <w:rsid w:val="008F480A"/>
    <w:rsid w:val="008F5185"/>
    <w:rsid w:val="00901636"/>
    <w:rsid w:val="00901D74"/>
    <w:rsid w:val="0091112A"/>
    <w:rsid w:val="00914B0F"/>
    <w:rsid w:val="00914D96"/>
    <w:rsid w:val="00914FF6"/>
    <w:rsid w:val="00915B73"/>
    <w:rsid w:val="009178AF"/>
    <w:rsid w:val="00920EC9"/>
    <w:rsid w:val="00932B2C"/>
    <w:rsid w:val="00936482"/>
    <w:rsid w:val="009405F7"/>
    <w:rsid w:val="009419A4"/>
    <w:rsid w:val="00944F14"/>
    <w:rsid w:val="0094509F"/>
    <w:rsid w:val="009458DE"/>
    <w:rsid w:val="00945BE7"/>
    <w:rsid w:val="009477DE"/>
    <w:rsid w:val="009503A0"/>
    <w:rsid w:val="00950D5D"/>
    <w:rsid w:val="00950DAB"/>
    <w:rsid w:val="00950E9F"/>
    <w:rsid w:val="00952E27"/>
    <w:rsid w:val="00953F2B"/>
    <w:rsid w:val="00953F32"/>
    <w:rsid w:val="0095754A"/>
    <w:rsid w:val="00961FCB"/>
    <w:rsid w:val="0097192B"/>
    <w:rsid w:val="00972B8D"/>
    <w:rsid w:val="00974388"/>
    <w:rsid w:val="00982E73"/>
    <w:rsid w:val="00984CC0"/>
    <w:rsid w:val="009914E8"/>
    <w:rsid w:val="00996A63"/>
    <w:rsid w:val="009A0663"/>
    <w:rsid w:val="009A158D"/>
    <w:rsid w:val="009A49B9"/>
    <w:rsid w:val="009A6A46"/>
    <w:rsid w:val="009B2B34"/>
    <w:rsid w:val="009B4233"/>
    <w:rsid w:val="009C1E86"/>
    <w:rsid w:val="009C4588"/>
    <w:rsid w:val="009C5086"/>
    <w:rsid w:val="009C6577"/>
    <w:rsid w:val="009C7BD4"/>
    <w:rsid w:val="009D0629"/>
    <w:rsid w:val="009D3556"/>
    <w:rsid w:val="009D6A2C"/>
    <w:rsid w:val="009D6C03"/>
    <w:rsid w:val="009D6EF0"/>
    <w:rsid w:val="009D7019"/>
    <w:rsid w:val="009D7175"/>
    <w:rsid w:val="009F1AD4"/>
    <w:rsid w:val="009F4E34"/>
    <w:rsid w:val="00A0201F"/>
    <w:rsid w:val="00A02AA0"/>
    <w:rsid w:val="00A0766E"/>
    <w:rsid w:val="00A10A6B"/>
    <w:rsid w:val="00A12D22"/>
    <w:rsid w:val="00A159C4"/>
    <w:rsid w:val="00A169E2"/>
    <w:rsid w:val="00A20E81"/>
    <w:rsid w:val="00A2292B"/>
    <w:rsid w:val="00A25363"/>
    <w:rsid w:val="00A25584"/>
    <w:rsid w:val="00A25727"/>
    <w:rsid w:val="00A26626"/>
    <w:rsid w:val="00A2720C"/>
    <w:rsid w:val="00A30B77"/>
    <w:rsid w:val="00A318F0"/>
    <w:rsid w:val="00A31E63"/>
    <w:rsid w:val="00A31FA8"/>
    <w:rsid w:val="00A3292A"/>
    <w:rsid w:val="00A36E68"/>
    <w:rsid w:val="00A41F92"/>
    <w:rsid w:val="00A43916"/>
    <w:rsid w:val="00A446C9"/>
    <w:rsid w:val="00A454A7"/>
    <w:rsid w:val="00A5147B"/>
    <w:rsid w:val="00A567D7"/>
    <w:rsid w:val="00A574BF"/>
    <w:rsid w:val="00A62D14"/>
    <w:rsid w:val="00A64DDD"/>
    <w:rsid w:val="00A66550"/>
    <w:rsid w:val="00A736BA"/>
    <w:rsid w:val="00A75CAB"/>
    <w:rsid w:val="00A83FAA"/>
    <w:rsid w:val="00A86325"/>
    <w:rsid w:val="00A868D6"/>
    <w:rsid w:val="00A90851"/>
    <w:rsid w:val="00A9156C"/>
    <w:rsid w:val="00A91A7E"/>
    <w:rsid w:val="00A92693"/>
    <w:rsid w:val="00A959FE"/>
    <w:rsid w:val="00AA09A8"/>
    <w:rsid w:val="00AA4570"/>
    <w:rsid w:val="00AA4651"/>
    <w:rsid w:val="00AA5BA4"/>
    <w:rsid w:val="00AA793E"/>
    <w:rsid w:val="00AB15F0"/>
    <w:rsid w:val="00AB2A87"/>
    <w:rsid w:val="00AC24E5"/>
    <w:rsid w:val="00AC58DE"/>
    <w:rsid w:val="00AD6095"/>
    <w:rsid w:val="00AD778B"/>
    <w:rsid w:val="00AE4FBE"/>
    <w:rsid w:val="00AE6113"/>
    <w:rsid w:val="00AE6ED7"/>
    <w:rsid w:val="00AE6F44"/>
    <w:rsid w:val="00AE7958"/>
    <w:rsid w:val="00AF2D52"/>
    <w:rsid w:val="00AF4A01"/>
    <w:rsid w:val="00AF4A8B"/>
    <w:rsid w:val="00B00E65"/>
    <w:rsid w:val="00B035F6"/>
    <w:rsid w:val="00B0683F"/>
    <w:rsid w:val="00B07FBD"/>
    <w:rsid w:val="00B10671"/>
    <w:rsid w:val="00B116B2"/>
    <w:rsid w:val="00B13977"/>
    <w:rsid w:val="00B152B5"/>
    <w:rsid w:val="00B15E20"/>
    <w:rsid w:val="00B161B5"/>
    <w:rsid w:val="00B255AA"/>
    <w:rsid w:val="00B30E3F"/>
    <w:rsid w:val="00B31C74"/>
    <w:rsid w:val="00B32B2B"/>
    <w:rsid w:val="00B33B1C"/>
    <w:rsid w:val="00B3730D"/>
    <w:rsid w:val="00B426FF"/>
    <w:rsid w:val="00B44D89"/>
    <w:rsid w:val="00B546C0"/>
    <w:rsid w:val="00B547B9"/>
    <w:rsid w:val="00B55904"/>
    <w:rsid w:val="00B6321C"/>
    <w:rsid w:val="00B658D1"/>
    <w:rsid w:val="00B67801"/>
    <w:rsid w:val="00B6795D"/>
    <w:rsid w:val="00B721C3"/>
    <w:rsid w:val="00B73BE6"/>
    <w:rsid w:val="00B77813"/>
    <w:rsid w:val="00B860C2"/>
    <w:rsid w:val="00B9176C"/>
    <w:rsid w:val="00B96C93"/>
    <w:rsid w:val="00BA4BD6"/>
    <w:rsid w:val="00BB2AD4"/>
    <w:rsid w:val="00BC566E"/>
    <w:rsid w:val="00BC6A53"/>
    <w:rsid w:val="00BD1F87"/>
    <w:rsid w:val="00BD3732"/>
    <w:rsid w:val="00BD4F7A"/>
    <w:rsid w:val="00BE5B15"/>
    <w:rsid w:val="00BE5DC3"/>
    <w:rsid w:val="00BE6A77"/>
    <w:rsid w:val="00BF370B"/>
    <w:rsid w:val="00BF5A46"/>
    <w:rsid w:val="00BF5EEA"/>
    <w:rsid w:val="00C0294A"/>
    <w:rsid w:val="00C02B9D"/>
    <w:rsid w:val="00C03F92"/>
    <w:rsid w:val="00C050CD"/>
    <w:rsid w:val="00C05391"/>
    <w:rsid w:val="00C10BD7"/>
    <w:rsid w:val="00C11E58"/>
    <w:rsid w:val="00C142B2"/>
    <w:rsid w:val="00C147CA"/>
    <w:rsid w:val="00C178A8"/>
    <w:rsid w:val="00C17FB0"/>
    <w:rsid w:val="00C2229E"/>
    <w:rsid w:val="00C32BA6"/>
    <w:rsid w:val="00C34563"/>
    <w:rsid w:val="00C347C2"/>
    <w:rsid w:val="00C41FE0"/>
    <w:rsid w:val="00C42EA2"/>
    <w:rsid w:val="00C4340E"/>
    <w:rsid w:val="00C512D3"/>
    <w:rsid w:val="00C52C29"/>
    <w:rsid w:val="00C5392D"/>
    <w:rsid w:val="00C54AB7"/>
    <w:rsid w:val="00C55376"/>
    <w:rsid w:val="00C556D2"/>
    <w:rsid w:val="00C55744"/>
    <w:rsid w:val="00C603D3"/>
    <w:rsid w:val="00C62CD2"/>
    <w:rsid w:val="00C641A6"/>
    <w:rsid w:val="00C67143"/>
    <w:rsid w:val="00C67DC5"/>
    <w:rsid w:val="00C67E24"/>
    <w:rsid w:val="00C67EE5"/>
    <w:rsid w:val="00C71219"/>
    <w:rsid w:val="00C736F1"/>
    <w:rsid w:val="00C76608"/>
    <w:rsid w:val="00C8687E"/>
    <w:rsid w:val="00C911C4"/>
    <w:rsid w:val="00CA0670"/>
    <w:rsid w:val="00CA3427"/>
    <w:rsid w:val="00CB56B9"/>
    <w:rsid w:val="00CB6908"/>
    <w:rsid w:val="00CC0964"/>
    <w:rsid w:val="00CC68BC"/>
    <w:rsid w:val="00CD0F9D"/>
    <w:rsid w:val="00CD1E89"/>
    <w:rsid w:val="00CD2FE2"/>
    <w:rsid w:val="00CD400C"/>
    <w:rsid w:val="00CE1532"/>
    <w:rsid w:val="00CE250A"/>
    <w:rsid w:val="00CE2681"/>
    <w:rsid w:val="00CF1A5D"/>
    <w:rsid w:val="00CF5DF0"/>
    <w:rsid w:val="00CF7DB0"/>
    <w:rsid w:val="00D02F64"/>
    <w:rsid w:val="00D14C0F"/>
    <w:rsid w:val="00D1613E"/>
    <w:rsid w:val="00D16346"/>
    <w:rsid w:val="00D1720F"/>
    <w:rsid w:val="00D26CBF"/>
    <w:rsid w:val="00D303EC"/>
    <w:rsid w:val="00D3724F"/>
    <w:rsid w:val="00D41B0D"/>
    <w:rsid w:val="00D4336A"/>
    <w:rsid w:val="00D44E3A"/>
    <w:rsid w:val="00D471A6"/>
    <w:rsid w:val="00D47344"/>
    <w:rsid w:val="00D47440"/>
    <w:rsid w:val="00D504EF"/>
    <w:rsid w:val="00D561A1"/>
    <w:rsid w:val="00D6363C"/>
    <w:rsid w:val="00D64E57"/>
    <w:rsid w:val="00D71452"/>
    <w:rsid w:val="00D73CF8"/>
    <w:rsid w:val="00D74324"/>
    <w:rsid w:val="00D76F52"/>
    <w:rsid w:val="00D7715A"/>
    <w:rsid w:val="00D82746"/>
    <w:rsid w:val="00D833DA"/>
    <w:rsid w:val="00D837F2"/>
    <w:rsid w:val="00D8465D"/>
    <w:rsid w:val="00D84C6E"/>
    <w:rsid w:val="00D84E41"/>
    <w:rsid w:val="00D85A30"/>
    <w:rsid w:val="00D90A24"/>
    <w:rsid w:val="00D94CEF"/>
    <w:rsid w:val="00D94F1B"/>
    <w:rsid w:val="00D96F41"/>
    <w:rsid w:val="00DA0670"/>
    <w:rsid w:val="00DA5C8F"/>
    <w:rsid w:val="00DB3085"/>
    <w:rsid w:val="00DB5407"/>
    <w:rsid w:val="00DB6D6B"/>
    <w:rsid w:val="00DC09B0"/>
    <w:rsid w:val="00DC70A7"/>
    <w:rsid w:val="00DD2E94"/>
    <w:rsid w:val="00DD50FB"/>
    <w:rsid w:val="00DE2078"/>
    <w:rsid w:val="00DE59EA"/>
    <w:rsid w:val="00DE659E"/>
    <w:rsid w:val="00DF0060"/>
    <w:rsid w:val="00DF03EF"/>
    <w:rsid w:val="00DF2D04"/>
    <w:rsid w:val="00DF4D5C"/>
    <w:rsid w:val="00DF690C"/>
    <w:rsid w:val="00DF714E"/>
    <w:rsid w:val="00E00C8B"/>
    <w:rsid w:val="00E03AA4"/>
    <w:rsid w:val="00E0716C"/>
    <w:rsid w:val="00E13629"/>
    <w:rsid w:val="00E162BF"/>
    <w:rsid w:val="00E200A8"/>
    <w:rsid w:val="00E225A6"/>
    <w:rsid w:val="00E3090A"/>
    <w:rsid w:val="00E31195"/>
    <w:rsid w:val="00E315C8"/>
    <w:rsid w:val="00E36BF5"/>
    <w:rsid w:val="00E37291"/>
    <w:rsid w:val="00E3731B"/>
    <w:rsid w:val="00E37A20"/>
    <w:rsid w:val="00E40A07"/>
    <w:rsid w:val="00E45026"/>
    <w:rsid w:val="00E5287A"/>
    <w:rsid w:val="00E565CD"/>
    <w:rsid w:val="00E56FDB"/>
    <w:rsid w:val="00E570A6"/>
    <w:rsid w:val="00E63AB7"/>
    <w:rsid w:val="00E65BF1"/>
    <w:rsid w:val="00E67C8F"/>
    <w:rsid w:val="00E705AD"/>
    <w:rsid w:val="00E72402"/>
    <w:rsid w:val="00E73933"/>
    <w:rsid w:val="00E74B62"/>
    <w:rsid w:val="00E76049"/>
    <w:rsid w:val="00E80D12"/>
    <w:rsid w:val="00E827F5"/>
    <w:rsid w:val="00E86F5C"/>
    <w:rsid w:val="00E90823"/>
    <w:rsid w:val="00E91B69"/>
    <w:rsid w:val="00E92043"/>
    <w:rsid w:val="00E95C84"/>
    <w:rsid w:val="00E964AF"/>
    <w:rsid w:val="00EA0D9A"/>
    <w:rsid w:val="00EA1F6F"/>
    <w:rsid w:val="00EA4BBA"/>
    <w:rsid w:val="00EA50D9"/>
    <w:rsid w:val="00EA5DAB"/>
    <w:rsid w:val="00EA62F4"/>
    <w:rsid w:val="00EA6952"/>
    <w:rsid w:val="00EB0101"/>
    <w:rsid w:val="00EB4AE9"/>
    <w:rsid w:val="00EB75BC"/>
    <w:rsid w:val="00EC0C5B"/>
    <w:rsid w:val="00EC4AE9"/>
    <w:rsid w:val="00ED2EFB"/>
    <w:rsid w:val="00ED7915"/>
    <w:rsid w:val="00ED7A99"/>
    <w:rsid w:val="00EE29C7"/>
    <w:rsid w:val="00EE34A6"/>
    <w:rsid w:val="00EE3A1C"/>
    <w:rsid w:val="00EF3234"/>
    <w:rsid w:val="00EF3406"/>
    <w:rsid w:val="00EF546E"/>
    <w:rsid w:val="00EF7221"/>
    <w:rsid w:val="00F00E8D"/>
    <w:rsid w:val="00F00F90"/>
    <w:rsid w:val="00F01818"/>
    <w:rsid w:val="00F04906"/>
    <w:rsid w:val="00F0749F"/>
    <w:rsid w:val="00F11E0D"/>
    <w:rsid w:val="00F14F18"/>
    <w:rsid w:val="00F15225"/>
    <w:rsid w:val="00F176D8"/>
    <w:rsid w:val="00F17A87"/>
    <w:rsid w:val="00F21692"/>
    <w:rsid w:val="00F2278F"/>
    <w:rsid w:val="00F23506"/>
    <w:rsid w:val="00F23717"/>
    <w:rsid w:val="00F261D5"/>
    <w:rsid w:val="00F3670D"/>
    <w:rsid w:val="00F36A1F"/>
    <w:rsid w:val="00F3713E"/>
    <w:rsid w:val="00F41C90"/>
    <w:rsid w:val="00F52689"/>
    <w:rsid w:val="00F52BD9"/>
    <w:rsid w:val="00F551F0"/>
    <w:rsid w:val="00F56995"/>
    <w:rsid w:val="00F56E60"/>
    <w:rsid w:val="00F577BB"/>
    <w:rsid w:val="00F6194C"/>
    <w:rsid w:val="00F62D6F"/>
    <w:rsid w:val="00F64E80"/>
    <w:rsid w:val="00F65D56"/>
    <w:rsid w:val="00F72ABE"/>
    <w:rsid w:val="00F73B21"/>
    <w:rsid w:val="00F75102"/>
    <w:rsid w:val="00F76D7A"/>
    <w:rsid w:val="00F80995"/>
    <w:rsid w:val="00F827B9"/>
    <w:rsid w:val="00F843C9"/>
    <w:rsid w:val="00F85EFA"/>
    <w:rsid w:val="00F8631C"/>
    <w:rsid w:val="00F87162"/>
    <w:rsid w:val="00F90711"/>
    <w:rsid w:val="00FA01B3"/>
    <w:rsid w:val="00FA36BB"/>
    <w:rsid w:val="00FA6D9D"/>
    <w:rsid w:val="00FA6EA3"/>
    <w:rsid w:val="00FA7335"/>
    <w:rsid w:val="00FB5FCE"/>
    <w:rsid w:val="00FB63EB"/>
    <w:rsid w:val="00FC0FC6"/>
    <w:rsid w:val="00FC3F2A"/>
    <w:rsid w:val="00FC5AE6"/>
    <w:rsid w:val="00FD0D44"/>
    <w:rsid w:val="00FD1353"/>
    <w:rsid w:val="00FD1BC5"/>
    <w:rsid w:val="00FD5CAD"/>
    <w:rsid w:val="00FD7C1A"/>
    <w:rsid w:val="00FE1844"/>
    <w:rsid w:val="00FE355C"/>
    <w:rsid w:val="00FF5D10"/>
    <w:rsid w:val="00FF642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.emf"/>
  <Relationship Id="rId11" Type="http://schemas.openxmlformats.org/officeDocument/2006/relationships/image" Target="media/image3.emf"/>
  <Relationship Id="rId12" Type="http://schemas.openxmlformats.org/officeDocument/2006/relationships/header" Target="header1.xml"/>
  <Relationship Id="rId13" Type="http://schemas.openxmlformats.org/officeDocument/2006/relationships/header" Target="header2.xml"/>
  <Relationship Id="rId14" Type="http://schemas.openxmlformats.org/officeDocument/2006/relationships/footer" Target="footer1.xml"/>
  <Relationship Id="rId15" Type="http://schemas.openxmlformats.org/officeDocument/2006/relationships/footer" Target="footer2.xml"/>
  <Relationship Id="rId16" Type="http://schemas.openxmlformats.org/officeDocument/2006/relationships/header" Target="header3.xml"/>
  <Relationship Id="rId17" Type="http://schemas.openxmlformats.org/officeDocument/2006/relationships/footer" Target="footer3.xml"/>
  <Relationship Id="rId18" Type="http://schemas.openxmlformats.org/officeDocument/2006/relationships/fontTable" Target="fontTable.xml"/>
  <Relationship Id="rId19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44959-D15D-4C08-B952-ECC13E6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2016-08-03T14:23:00Z</dcterms:created>
  <dc:creator>dbernson</dc:creator>
  <lastModifiedBy/>
  <lastPrinted>2016-07-14T16:53:00Z</lastPrinted>
  <dcterms:modified xsi:type="dcterms:W3CDTF">2016-08-03T14:23:00Z</dcterms:modified>
  <revision>2</revision>
</coreProperties>
</file>