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2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Figure 1: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Genus groupings of snakes, </w:t>
      </w:r>
      <w:r>
        <w:rPr>
          <w:b w:val="false"/>
          <w:bCs w:val="false"/>
        </w:rPr>
        <w:t>snake count per species</w:t>
      </w:r>
      <w:r>
        <w:rPr>
          <w:b w:val="false"/>
          <w:bCs w:val="false"/>
        </w:rPr>
        <w:t xml:space="preserve"> and patterns of three dominant behaviours (</w:t>
      </w:r>
      <w:r>
        <w:rPr>
          <w:b w:val="false"/>
          <w:bCs w:val="false"/>
        </w:rPr>
        <w:t>tongue flicks, defensive/cautious behaviors and &gt;20cm movement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 xml:space="preserve">across controls and all three sound treatments </w:t>
      </w:r>
      <w:r>
        <w:rPr>
          <w:b w:val="false"/>
          <w:bCs w:val="false"/>
        </w:rPr>
        <w:t>combined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Defensive/cautious behaviors included </w:t>
      </w:r>
      <w:r>
        <w:rPr>
          <w:b w:val="false"/>
          <w:bCs w:val="false"/>
        </w:rPr>
        <w:t xml:space="preserve">cautious exploration, fixation, freezing, hisses, head jerks, jaw drops and </w:t>
      </w:r>
      <w:r>
        <w:rPr>
          <w:b w:val="false"/>
          <w:bCs w:val="false"/>
        </w:rPr>
        <w:t>periscoping</w:t>
      </w:r>
      <w:r>
        <w:rPr>
          <w:b w:val="false"/>
          <w:bCs w:val="false"/>
        </w:rPr>
        <w:t>.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-521335</wp:posOffset>
            </wp:positionH>
            <wp:positionV relativeFrom="paragraph">
              <wp:posOffset>173355</wp:posOffset>
            </wp:positionV>
            <wp:extent cx="5090795" cy="7420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2: </w:t>
      </w:r>
      <w:r>
        <w:rPr>
          <w:b/>
          <w:bCs/>
        </w:rPr>
        <w:t>(A)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Mean p</w:t>
      </w:r>
      <w:r>
        <w:rPr>
          <w:b w:val="false"/>
          <w:bCs w:val="false"/>
        </w:rPr>
        <w:t xml:space="preserve">robability of </w:t>
      </w:r>
      <w:r>
        <w:rPr>
          <w:b w:val="false"/>
          <w:bCs w:val="false"/>
        </w:rPr>
        <w:t xml:space="preserve">exhibiting defensive or cautious behavior in control trials </w:t>
      </w:r>
      <w:r>
        <w:rPr>
          <w:b w:val="false"/>
          <w:bCs w:val="false"/>
        </w:rPr>
        <w:t xml:space="preserve">for three snake genera with sufficient response (Fig. 1).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ehaviors included </w:t>
      </w:r>
      <w:r>
        <w:rPr>
          <w:b w:val="false"/>
          <w:bCs w:val="false"/>
        </w:rPr>
        <w:t xml:space="preserve">cautious exploration, fixation, freezing, hisses, head jerks, jaw drops and </w:t>
      </w:r>
      <w:r>
        <w:rPr>
          <w:b w:val="false"/>
          <w:bCs w:val="false"/>
        </w:rPr>
        <w:t>periscoping</w:t>
      </w:r>
      <w:r>
        <w:rPr>
          <w:b w:val="false"/>
          <w:bCs w:val="false"/>
        </w:rPr>
        <w:t>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Lines represent 95% </w:t>
      </w:r>
      <w:r>
        <w:rPr>
          <w:b w:val="false"/>
          <w:bCs w:val="false"/>
          <w:i w:val="false"/>
          <w:iCs w:val="false"/>
        </w:rPr>
        <w:t xml:space="preserve">credible </w:t>
      </w:r>
      <w:r>
        <w:rPr>
          <w:b w:val="false"/>
          <w:bCs w:val="false"/>
          <w:i w:val="false"/>
          <w:iCs w:val="false"/>
        </w:rPr>
        <w:t>intervals.</w:t>
      </w:r>
      <w:r>
        <w:rPr>
          <w:b w:val="false"/>
          <w:bCs w:val="false"/>
          <w:i/>
          <w:iCs/>
        </w:rPr>
        <w:t xml:space="preserve"> </w:t>
      </w:r>
      <w:r>
        <w:rPr>
          <w:b/>
          <w:bCs/>
          <w:i w:val="false"/>
          <w:iCs w:val="false"/>
        </w:rPr>
        <w:t xml:space="preserve">(B) </w:t>
      </w:r>
      <w:r>
        <w:rPr>
          <w:b w:val="false"/>
          <w:bCs w:val="false"/>
          <w:i w:val="false"/>
          <w:iCs w:val="false"/>
        </w:rPr>
        <w:t xml:space="preserve">Change in probability of </w:t>
      </w:r>
      <w:r>
        <w:rPr>
          <w:b w:val="false"/>
          <w:bCs w:val="false"/>
          <w:i w:val="false"/>
          <w:iCs w:val="false"/>
        </w:rPr>
        <w:t>exhibiting</w:t>
      </w:r>
      <w:r>
        <w:rPr>
          <w:b w:val="false"/>
          <w:bCs w:val="false"/>
          <w:i w:val="false"/>
          <w:iCs w:val="false"/>
        </w:rPr>
        <w:t xml:space="preserve"> defensive or cautious behaviours from the control to each of three sound treatments. Values above one indicate increase in probability, and vice versa.</w:t>
      </w:r>
      <w:r>
        <w:rPr>
          <w:b w:val="false"/>
          <w:bCs w:val="false"/>
          <w:i w:val="false"/>
          <w:iCs w:val="false"/>
        </w:rPr>
        <w:t xml:space="preserve"> Light points had credible intervals crossing zero, suggesting no change </w:t>
      </w:r>
      <w:r>
        <w:rPr>
          <w:b w:val="false"/>
          <w:bCs w:val="false"/>
          <w:i w:val="false"/>
          <w:iCs w:val="false"/>
        </w:rPr>
        <w:t xml:space="preserve">in probability </w:t>
      </w:r>
      <w:r>
        <w:rPr>
          <w:b w:val="false"/>
          <w:bCs w:val="false"/>
          <w:i w:val="false"/>
          <w:iCs w:val="false"/>
        </w:rPr>
        <w:t xml:space="preserve">from control. </w:t>
      </w:r>
      <w:r>
        <w:rPr>
          <w:b/>
          <w:bCs/>
          <w:i w:val="false"/>
          <w:iCs w:val="false"/>
        </w:rPr>
        <w:t xml:space="preserve">(C) </w:t>
      </w:r>
      <w:r>
        <w:rPr>
          <w:b w:val="false"/>
          <w:bCs w:val="false"/>
          <w:i w:val="false"/>
          <w:iCs w:val="false"/>
        </w:rPr>
        <w:t xml:space="preserve">Non-metric multidimensional scaling of </w:t>
      </w:r>
      <w:r>
        <w:rPr>
          <w:b w:val="false"/>
          <w:bCs w:val="false"/>
          <w:i w:val="false"/>
          <w:iCs w:val="false"/>
        </w:rPr>
        <w:t xml:space="preserve">defensive/cautious behaviour composition for each genus-sound treatment combination. </w:t>
      </w:r>
      <w:r>
        <w:rPr>
          <w:b w:val="false"/>
          <w:bCs w:val="false"/>
          <w:i w:val="false"/>
          <w:iCs w:val="false"/>
        </w:rPr>
        <w:t xml:space="preserve">Points with similar behavior composition are clustered </w:t>
      </w:r>
      <w:r>
        <w:rPr>
          <w:b w:val="false"/>
          <w:bCs w:val="false"/>
          <w:i w:val="false"/>
          <w:iCs w:val="false"/>
        </w:rPr>
        <w:t>on the plot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Arrows reflect weighted behavior centroids, </w:t>
      </w:r>
      <w:r>
        <w:rPr>
          <w:b w:val="false"/>
          <w:bCs w:val="false"/>
          <w:i w:val="false"/>
          <w:iCs w:val="false"/>
        </w:rPr>
        <w:t xml:space="preserve">where points </w:t>
      </w:r>
      <w:r>
        <w:rPr>
          <w:b w:val="false"/>
          <w:bCs w:val="false"/>
          <w:i w:val="false"/>
          <w:iCs w:val="false"/>
        </w:rPr>
        <w:t xml:space="preserve">in the same direction as arrows exhibited more of those behaviors, </w:t>
      </w:r>
      <w:r>
        <w:rPr>
          <w:b w:val="false"/>
          <w:bCs w:val="false"/>
          <w:i w:val="false"/>
          <w:iCs w:val="false"/>
        </w:rPr>
        <w:t>with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arrow </w:t>
      </w:r>
      <w:r>
        <w:rPr>
          <w:b w:val="false"/>
          <w:bCs w:val="false"/>
          <w:i w:val="false"/>
          <w:iCs w:val="false"/>
        </w:rPr>
        <w:t>length proportional to strength of influence</w:t>
      </w:r>
      <w:r>
        <w:rPr>
          <w:b w:val="false"/>
          <w:bCs w:val="false"/>
          <w:i w:val="false"/>
          <w:iCs w:val="false"/>
        </w:rPr>
        <w:t>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Differences between control (“0”) and treatment points </w:t>
      </w:r>
      <w:r>
        <w:rPr>
          <w:b w:val="false"/>
          <w:bCs w:val="false"/>
          <w:i w:val="false"/>
          <w:iCs w:val="false"/>
        </w:rPr>
        <w:t>(“1”, “2” and “3”)</w:t>
      </w:r>
      <w:r>
        <w:rPr>
          <w:b w:val="false"/>
          <w:bCs w:val="false"/>
          <w:i w:val="false"/>
          <w:iCs w:val="false"/>
        </w:rPr>
        <w:t xml:space="preserve"> suggest </w:t>
      </w:r>
      <w:r>
        <w:rPr>
          <w:b w:val="false"/>
          <w:bCs w:val="false"/>
          <w:i w:val="false"/>
          <w:iCs w:val="false"/>
        </w:rPr>
        <w:t xml:space="preserve">the type of </w:t>
      </w:r>
      <w:r>
        <w:rPr>
          <w:b w:val="false"/>
          <w:bCs w:val="false"/>
          <w:i w:val="false"/>
          <w:iCs w:val="false"/>
        </w:rPr>
        <w:t xml:space="preserve">exhibited defensive </w:t>
      </w:r>
      <w:r>
        <w:rPr>
          <w:b w:val="false"/>
          <w:bCs w:val="false"/>
          <w:i w:val="false"/>
          <w:iCs w:val="false"/>
        </w:rPr>
        <w:t xml:space="preserve">behaviors </w:t>
      </w:r>
      <w:r>
        <w:rPr>
          <w:b w:val="false"/>
          <w:bCs w:val="false"/>
          <w:i w:val="false"/>
          <w:iCs w:val="false"/>
        </w:rPr>
        <w:t xml:space="preserve">changed </w:t>
      </w:r>
      <w:r>
        <w:rPr>
          <w:b w:val="false"/>
          <w:bCs w:val="false"/>
          <w:i w:val="false"/>
          <w:iCs w:val="false"/>
        </w:rPr>
        <w:t xml:space="preserve">in response to sound </w:t>
      </w:r>
      <w:r>
        <w:rPr>
          <w:b w:val="false"/>
          <w:bCs w:val="false"/>
          <w:i w:val="false"/>
          <w:iCs w:val="false"/>
        </w:rPr>
        <w:t xml:space="preserve">treatments. Symbols for the control and sound 1 are omitted for </w:t>
      </w:r>
      <w:r>
        <w:rPr>
          <w:b w:val="false"/>
          <w:bCs w:val="false"/>
          <w:i/>
          <w:iCs/>
        </w:rPr>
        <w:t>Acanthophis</w:t>
      </w:r>
      <w:r>
        <w:rPr>
          <w:b w:val="false"/>
          <w:bCs w:val="false"/>
          <w:i w:val="false"/>
          <w:iCs w:val="false"/>
        </w:rPr>
        <w:t xml:space="preserve"> due to no behaviours being exhibited in those trials. Numbers are omitted from </w:t>
      </w:r>
      <w:r>
        <w:rPr>
          <w:b w:val="false"/>
          <w:bCs w:val="false"/>
          <w:i/>
          <w:iCs/>
        </w:rPr>
        <w:t>Acanthophis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 w:val="false"/>
          <w:bCs w:val="false"/>
          <w:i/>
          <w:iCs/>
        </w:rPr>
        <w:t>Hoplocephalus</w:t>
      </w:r>
      <w:r>
        <w:rPr>
          <w:b w:val="false"/>
          <w:bCs w:val="false"/>
          <w:i w:val="false"/>
          <w:iCs w:val="false"/>
        </w:rPr>
        <w:t xml:space="preserve"> symbols due to space constraints. </w:t>
      </w:r>
      <w:r>
        <w:br w:type="page"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5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>igure 3: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(A) </w:t>
      </w:r>
      <w:r>
        <w:rPr>
          <w:b w:val="false"/>
          <w:bCs w:val="false"/>
        </w:rPr>
        <w:t>Histogram</w:t>
      </w:r>
      <w:r>
        <w:rPr>
          <w:b w:val="false"/>
          <w:bCs w:val="false"/>
        </w:rPr>
        <w:t xml:space="preserve"> of snake movement by genus </w:t>
      </w:r>
      <w:r>
        <w:rPr>
          <w:b w:val="false"/>
          <w:bCs w:val="false"/>
        </w:rPr>
        <w:t xml:space="preserve">(coloured groupings) </w:t>
      </w:r>
      <w:r>
        <w:rPr>
          <w:b w:val="false"/>
          <w:bCs w:val="false"/>
        </w:rPr>
        <w:t xml:space="preserve">and sound treatment </w:t>
      </w:r>
      <w:r>
        <w:rPr>
          <w:b w:val="false"/>
          <w:bCs w:val="false"/>
        </w:rPr>
        <w:t>(0 to 3)</w:t>
      </w:r>
      <w:r>
        <w:rPr>
          <w:b w:val="false"/>
          <w:bCs w:val="false"/>
        </w:rPr>
        <w:t>. H</w:t>
      </w:r>
      <w:r>
        <w:rPr>
          <w:b w:val="false"/>
          <w:bCs w:val="false"/>
        </w:rPr>
        <w:t xml:space="preserve">istogram bars are grouped in units of 10cm, </w:t>
      </w:r>
      <w:r>
        <w:rPr>
          <w:b w:val="false"/>
          <w:bCs w:val="false"/>
        </w:rPr>
        <w:t xml:space="preserve">except </w:t>
      </w:r>
      <w:r>
        <w:rPr>
          <w:b w:val="false"/>
          <w:bCs w:val="false"/>
        </w:rPr>
        <w:t xml:space="preserve">above 100cm (right of dashed line) where they are grouped in units of </w:t>
      </w:r>
      <w:r>
        <w:rPr>
          <w:b w:val="false"/>
          <w:bCs w:val="false"/>
        </w:rPr>
        <w:t xml:space="preserve">50cm.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lternat</w:t>
      </w:r>
      <w:r>
        <w:rPr>
          <w:b w:val="false"/>
          <w:bCs w:val="false"/>
        </w:rPr>
        <w:t>ing</w:t>
      </w:r>
      <w:r>
        <w:rPr>
          <w:b w:val="false"/>
          <w:bCs w:val="false"/>
        </w:rPr>
        <w:t xml:space="preserve"> colours </w:t>
      </w:r>
      <w:r>
        <w:rPr>
          <w:b w:val="false"/>
          <w:bCs w:val="false"/>
        </w:rPr>
        <w:t xml:space="preserve">on bars </w:t>
      </w:r>
      <w:r>
        <w:rPr>
          <w:b w:val="false"/>
          <w:bCs w:val="false"/>
        </w:rPr>
        <w:t xml:space="preserve">represent </w:t>
      </w:r>
      <w:r>
        <w:rPr>
          <w:b w:val="false"/>
          <w:bCs w:val="false"/>
        </w:rPr>
        <w:t>blocks of up to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20% </w:t>
      </w:r>
      <w:r>
        <w:rPr>
          <w:b w:val="false"/>
          <w:bCs w:val="false"/>
        </w:rPr>
        <w:t>of trials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Grey shading indicates the cut-off used to distinguish </w:t>
      </w:r>
      <w:r>
        <w:rPr>
          <w:b w:val="false"/>
          <w:bCs w:val="false"/>
        </w:rPr>
        <w:t>20cm threshold for</w:t>
      </w:r>
      <w:r>
        <w:rPr>
          <w:b w:val="false"/>
          <w:bCs w:val="false"/>
        </w:rPr>
        <w:t xml:space="preserve"> binary movement response used in probability model. </w:t>
      </w:r>
      <w:r>
        <w:rPr>
          <w:b/>
          <w:bCs/>
        </w:rPr>
        <w:t>(</w:t>
      </w:r>
      <w:r>
        <w:rPr>
          <w:b/>
          <w:bCs/>
        </w:rPr>
        <w:t>B</w:t>
      </w:r>
      <w:r>
        <w:rPr>
          <w:b w:val="false"/>
          <w:bCs w:val="false"/>
        </w:rPr>
        <w:t>) Mean probability of &gt;</w:t>
      </w:r>
      <w:r>
        <w:rPr>
          <w:b w:val="false"/>
          <w:bCs w:val="false"/>
        </w:rPr>
        <w:t xml:space="preserve">20cm </w:t>
      </w:r>
      <w:r>
        <w:rPr>
          <w:b w:val="false"/>
          <w:bCs w:val="false"/>
        </w:rPr>
        <w:t xml:space="preserve">snake </w:t>
      </w:r>
      <w:r>
        <w:rPr>
          <w:b w:val="false"/>
          <w:bCs w:val="false"/>
        </w:rPr>
        <w:t>movement in control.</w:t>
      </w:r>
      <w:r>
        <w:rPr>
          <w:b w:val="false"/>
          <w:bCs w:val="false"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C</w:t>
      </w:r>
      <w:r>
        <w:rPr>
          <w:b/>
          <w:bCs/>
        </w:rPr>
        <w:t>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Change in probability of </w:t>
      </w:r>
      <w:r>
        <w:rPr>
          <w:b w:val="false"/>
          <w:bCs w:val="false"/>
          <w:i w:val="false"/>
          <w:iCs w:val="false"/>
        </w:rPr>
        <w:t xml:space="preserve">movement </w:t>
      </w:r>
      <w:r>
        <w:rPr>
          <w:b w:val="false"/>
          <w:bCs w:val="false"/>
          <w:i w:val="false"/>
          <w:iCs w:val="false"/>
        </w:rPr>
        <w:t xml:space="preserve">from the control to each of three sound treatments. Values above one indicate increase in probability, and vice versa. </w:t>
      </w:r>
      <w:r>
        <w:rPr>
          <w:b/>
          <w:bCs/>
          <w:i w:val="false"/>
          <w:iCs w:val="false"/>
        </w:rPr>
        <w:t>(</w:t>
      </w:r>
      <w:r>
        <w:rPr>
          <w:b/>
          <w:bCs/>
          <w:i w:val="false"/>
          <w:iCs w:val="false"/>
        </w:rPr>
        <w:t>D</w:t>
      </w:r>
      <w:r>
        <w:rPr>
          <w:b/>
          <w:bCs/>
          <w:i w:val="false"/>
          <w:iCs w:val="false"/>
        </w:rPr>
        <w:t>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Mean probability of </w:t>
      </w:r>
      <w:r>
        <w:rPr>
          <w:b w:val="false"/>
          <w:bCs w:val="false"/>
        </w:rPr>
        <w:t xml:space="preserve">movement away from speaker </w:t>
      </w:r>
      <w:r>
        <w:rPr>
          <w:b w:val="false"/>
          <w:bCs w:val="false"/>
        </w:rPr>
        <w:t xml:space="preserve">for each genus in </w:t>
      </w:r>
      <w:r>
        <w:rPr>
          <w:b w:val="false"/>
          <w:bCs w:val="false"/>
        </w:rPr>
        <w:t xml:space="preserve">control trials, using only snakes with &gt;20cm of movement. </w:t>
      </w:r>
      <w:r>
        <w:rPr>
          <w:b/>
          <w:bCs/>
        </w:rPr>
        <w:t>(</w:t>
      </w:r>
      <w:r>
        <w:rPr>
          <w:b/>
          <w:bCs/>
        </w:rPr>
        <w:t>A</w:t>
      </w:r>
      <w:r>
        <w:rPr>
          <w:b/>
          <w:bCs/>
        </w:rPr>
        <w:t xml:space="preserve">) </w:t>
      </w:r>
      <w:r>
        <w:rPr>
          <w:b w:val="false"/>
          <w:bCs w:val="false"/>
          <w:i w:val="false"/>
          <w:iCs w:val="false"/>
        </w:rPr>
        <w:t xml:space="preserve">Change in probability of </w:t>
      </w:r>
      <w:r>
        <w:rPr>
          <w:b w:val="false"/>
          <w:bCs w:val="false"/>
          <w:i w:val="false"/>
          <w:iCs w:val="false"/>
        </w:rPr>
        <w:t>movement away from speaker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compared to </w:t>
      </w:r>
      <w:r>
        <w:rPr>
          <w:b w:val="false"/>
          <w:bCs w:val="false"/>
          <w:i w:val="false"/>
          <w:iCs w:val="false"/>
        </w:rPr>
        <w:t xml:space="preserve">control </w:t>
      </w:r>
      <w:r>
        <w:rPr>
          <w:b w:val="false"/>
          <w:bCs w:val="false"/>
          <w:i w:val="false"/>
          <w:iCs w:val="false"/>
        </w:rPr>
        <w:t xml:space="preserve">means for </w:t>
      </w:r>
      <w:r>
        <w:rPr>
          <w:b w:val="false"/>
          <w:bCs w:val="false"/>
          <w:i w:val="false"/>
          <w:iCs w:val="false"/>
        </w:rPr>
        <w:t xml:space="preserve">each of three sound treatments, </w:t>
      </w:r>
      <w:r>
        <w:rPr>
          <w:b w:val="false"/>
          <w:bCs w:val="false"/>
          <w:i w:val="false"/>
          <w:iCs w:val="false"/>
        </w:rPr>
        <w:t xml:space="preserve">as per (B). </w:t>
      </w:r>
      <w:r>
        <w:rPr>
          <w:b w:val="false"/>
          <w:bCs w:val="false"/>
          <w:i w:val="false"/>
          <w:iCs w:val="false"/>
        </w:rPr>
        <w:t xml:space="preserve">Lines in </w:t>
      </w:r>
      <w:r>
        <w:rPr>
          <w:b w:val="false"/>
          <w:bCs w:val="false"/>
          <w:i w:val="false"/>
          <w:iCs w:val="false"/>
        </w:rPr>
        <w:t xml:space="preserve">(B-E) </w:t>
      </w:r>
      <w:r>
        <w:rPr>
          <w:b w:val="false"/>
          <w:bCs w:val="false"/>
          <w:i w:val="false"/>
          <w:iCs w:val="false"/>
        </w:rPr>
        <w:t xml:space="preserve">represent 95% </w:t>
      </w:r>
      <w:r>
        <w:rPr>
          <w:b w:val="false"/>
          <w:bCs w:val="false"/>
          <w:i w:val="false"/>
          <w:iCs w:val="false"/>
        </w:rPr>
        <w:t>credible intervals from Bayesian heirarchical models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>Points in C and E with 95% credible intervals that do not cross zero are highlighted as significant effects.</w:t>
      </w:r>
      <w:r>
        <w:br w:type="page"/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i w:val="false"/>
          <w:iCs w:val="false"/>
          <w:color w:val="auto"/>
        </w:rPr>
        <w:t>M</w:t>
      </w:r>
      <w:r>
        <w:rPr>
          <w:b/>
          <w:bCs/>
          <w:i w:val="false"/>
          <w:iCs w:val="false"/>
          <w:color w:val="auto"/>
        </w:rPr>
        <w:t xml:space="preserve">odel process (this will become </w:t>
      </w:r>
      <w:r>
        <w:rPr>
          <w:b/>
          <w:bCs/>
          <w:i w:val="false"/>
          <w:iCs w:val="false"/>
          <w:color w:val="auto"/>
        </w:rPr>
        <w:t>M</w:t>
      </w:r>
      <w:r>
        <w:rPr>
          <w:b/>
          <w:bCs/>
          <w:i w:val="false"/>
          <w:iCs w:val="false"/>
          <w:color w:val="auto"/>
        </w:rPr>
        <w:t xml:space="preserve">ethods text </w:t>
      </w:r>
      <w:r>
        <w:rPr>
          <w:b/>
          <w:bCs/>
          <w:i w:val="false"/>
          <w:iCs w:val="false"/>
          <w:color w:val="auto"/>
        </w:rPr>
        <w:t xml:space="preserve">and I will make it more </w:t>
      </w:r>
      <w:r>
        <w:rPr>
          <w:b/>
          <w:bCs/>
          <w:i w:val="false"/>
          <w:iCs w:val="false"/>
          <w:color w:val="auto"/>
        </w:rPr>
        <w:t xml:space="preserve">detailed and </w:t>
      </w:r>
      <w:r>
        <w:rPr>
          <w:b/>
          <w:bCs/>
          <w:i w:val="false"/>
          <w:iCs w:val="false"/>
          <w:color w:val="auto"/>
        </w:rPr>
        <w:t xml:space="preserve">readable, </w:t>
      </w:r>
      <w:r>
        <w:rPr>
          <w:b/>
          <w:bCs/>
          <w:i w:val="false"/>
          <w:iCs w:val="false"/>
          <w:color w:val="auto"/>
        </w:rPr>
        <w:t xml:space="preserve">include </w:t>
      </w:r>
      <w:r>
        <w:rPr>
          <w:b/>
          <w:bCs/>
          <w:i w:val="false"/>
          <w:iCs w:val="false"/>
          <w:color w:val="auto"/>
        </w:rPr>
        <w:t xml:space="preserve">citations </w:t>
      </w:r>
      <w:r>
        <w:rPr>
          <w:b/>
          <w:bCs/>
          <w:i w:val="false"/>
          <w:iCs w:val="false"/>
          <w:color w:val="auto"/>
        </w:rPr>
        <w:t>etc</w:t>
      </w:r>
      <w:r>
        <w:rPr>
          <w:b/>
          <w:bCs/>
          <w:i w:val="false"/>
          <w:iCs w:val="false"/>
          <w:color w:val="auto"/>
        </w:rPr>
        <w:t>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auto"/>
        </w:rPr>
      </w:pPr>
      <w:r>
        <w:rPr>
          <w:b/>
          <w:bCs/>
          <w:i w:val="false"/>
          <w:iCs w:val="false"/>
          <w:color w:val="auto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>Summarizing snake behavioral response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auto"/>
        </w:rPr>
      </w:pPr>
      <w:r>
        <w:rPr>
          <w:b/>
          <w:bCs/>
          <w:i w:val="false"/>
          <w:iCs w:val="false"/>
          <w:color w:val="auto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Defensive and cautious behaviors included freezing, hissing, fixation, head jerks, lower jaw drops, periscoping and cautionary exploration.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We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converted the sum of these for each snake trial into a binary variable, whether at least one defensive/cautious behavior occurred. </w:t>
      </w:r>
      <w:r>
        <w:rPr>
          <w:b w:val="false"/>
          <w:bCs w:val="false"/>
          <w:i w:val="false"/>
          <w:iCs w:val="false"/>
          <w:color w:val="auto"/>
          <w:u w:val="none"/>
        </w:rPr>
        <w:t>These were modelled as one of the probability models below.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auto"/>
        </w:rPr>
      </w:pPr>
      <w:r>
        <w:rPr>
          <w:b/>
          <w:bCs/>
          <w:i w:val="false"/>
          <w:iCs w:val="false"/>
          <w:color w:val="auto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 xml:space="preserve">Snake head movement </w:t>
      </w:r>
      <w:r>
        <w:rPr>
          <w:b w:val="false"/>
          <w:bCs w:val="false"/>
          <w:i w:val="false"/>
          <w:iCs w:val="false"/>
          <w:color w:val="auto"/>
          <w:u w:val="single"/>
        </w:rPr>
        <w:t>and direct</w:t>
      </w:r>
      <w:r>
        <w:rPr>
          <w:b w:val="false"/>
          <w:bCs w:val="false"/>
          <w:i w:val="false"/>
          <w:iCs w:val="false"/>
          <w:color w:val="auto"/>
          <w:u w:val="single"/>
        </w:rPr>
        <w:t>i</w:t>
      </w:r>
      <w:r>
        <w:rPr>
          <w:b w:val="false"/>
          <w:bCs w:val="false"/>
          <w:i w:val="false"/>
          <w:iCs w:val="false"/>
          <w:color w:val="auto"/>
          <w:u w:val="single"/>
        </w:rPr>
        <w:t>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Many </w:t>
      </w:r>
      <w:r>
        <w:rPr>
          <w:b w:val="false"/>
          <w:bCs w:val="false"/>
          <w:i w:val="false"/>
          <w:iCs w:val="false"/>
          <w:color w:val="auto"/>
          <w:u w:val="none"/>
        </w:rPr>
        <w:t>snakes recorded small head movement</w:t>
      </w:r>
      <w:r>
        <w:rPr>
          <w:b w:val="false"/>
          <w:bCs w:val="false"/>
          <w:i w:val="false"/>
          <w:iCs w:val="false"/>
          <w:color w:val="auto"/>
          <w:u w:val="none"/>
        </w:rPr>
        <w:t>s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during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trials. </w:t>
      </w:r>
      <w:r>
        <w:rPr>
          <w:b w:val="false"/>
          <w:bCs w:val="false"/>
          <w:i w:val="false"/>
          <w:iCs w:val="false"/>
          <w:color w:val="auto"/>
          <w:u w:val="none"/>
        </w:rPr>
        <w:t>There was a natural division between snakes with &lt; 20cm head movement and those with substantial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ly larger movement. </w:t>
      </w:r>
      <w:r>
        <w:rPr>
          <w:b w:val="false"/>
          <w:bCs w:val="false"/>
          <w:i w:val="false"/>
          <w:iCs w:val="false"/>
          <w:color w:val="auto"/>
          <w:u w:val="none"/>
        </w:rPr>
        <w:t>We divided movement into less than and greater than 20cm bi</w:t>
      </w:r>
      <w:r>
        <w:rPr>
          <w:b w:val="false"/>
          <w:bCs w:val="false"/>
          <w:i w:val="false"/>
          <w:iCs w:val="false"/>
          <w:color w:val="auto"/>
          <w:u w:val="none"/>
        </w:rPr>
        <w:t>nary category for probability modelling.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Movement response does not resolve whether snakes were moving towards or away from the sound, which has different biological implications. We constructed an additional model only for snake trials with &gt;20 cm head movement, </w:t>
      </w:r>
      <w:r>
        <w:rPr>
          <w:b w:val="false"/>
          <w:bCs w:val="false"/>
          <w:i w:val="false"/>
          <w:iCs w:val="false"/>
          <w:color w:val="auto"/>
          <w:u w:val="none"/>
        </w:rPr>
        <w:t>modelling the probability that snakes moved away from the speaker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. We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constructed a binary variable, with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all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trials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with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head movement away from the speaker as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successes and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with all other trials treated as </w:t>
      </w:r>
      <w:r>
        <w:rPr>
          <w:b w:val="false"/>
          <w:bCs w:val="false"/>
          <w:i w:val="false"/>
          <w:iCs w:val="false"/>
          <w:color w:val="auto"/>
          <w:u w:val="none"/>
        </w:rPr>
        <w:t>failures.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/>
          <w:b/>
          <w:bCs/>
          <w:i/>
          <w:i/>
          <w:iCs/>
          <w:color w:val="auto"/>
          <w:u w:val="none"/>
        </w:rPr>
      </w:pPr>
      <w:r>
        <w:rPr>
          <w:b/>
          <w:bCs/>
          <w:i/>
          <w:iCs/>
          <w:color w:val="auto"/>
          <w:u w:val="none"/>
        </w:rPr>
        <w:t>Staistical analyses</w:t>
      </w:r>
    </w:p>
    <w:p>
      <w:pPr>
        <w:pStyle w:val="Normal"/>
        <w:rPr>
          <w:b/>
          <w:b/>
          <w:bCs/>
          <w:i/>
          <w:i/>
          <w:iCs/>
          <w:color w:val="auto"/>
          <w:u w:val="none"/>
        </w:rPr>
      </w:pPr>
      <w:r>
        <w:rPr>
          <w:b/>
          <w:bCs/>
          <w:i/>
          <w:iCs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>nMDS of defensive/cautious behaviors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We also explored whether the composition of defensive/cautious behaviors changed based on sound treatment. For this, we summed all defensive behaviours for all snakes of a given genus for a given sound treatment. We converted these to relative abundance measures (dividing by the total behaviors in that genus-sound treatment combination).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These formed the rows of a compositional matrix, with behaviors as columns. </w:t>
      </w:r>
      <w:r>
        <w:rPr>
          <w:b w:val="false"/>
          <w:bCs w:val="false"/>
          <w:i w:val="false"/>
          <w:iCs w:val="false"/>
          <w:color w:val="auto"/>
          <w:u w:val="none"/>
        </w:rPr>
        <w:t>We visualized differences in composition using non-metric multidimensional scaling (metaMDS function, vegan packge), using Bray-Curtis dissimilarity.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We also tested for whether genus or sound treatment significantly </w:t>
      </w:r>
      <w:r>
        <w:rPr>
          <w:b w:val="false"/>
          <w:bCs w:val="false"/>
          <w:i w:val="false"/>
          <w:iCs w:val="false"/>
          <w:color w:val="auto"/>
          <w:u w:val="none"/>
        </w:rPr>
        <w:t>affected composition of defensive/cautious behaviorrs using a PERMANOVA (adonis2 function, vegan package).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>P</w:t>
      </w:r>
      <w:r>
        <w:rPr>
          <w:b w:val="false"/>
          <w:bCs w:val="false"/>
          <w:i w:val="false"/>
          <w:iCs w:val="false"/>
          <w:color w:val="auto"/>
          <w:u w:val="single"/>
        </w:rPr>
        <w:t>robability models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Bayesian heirarchical models, fit via brms. Bernoulli likelihood, vague uninformative priors for intercept and slope terms (normal distribution with 0 mean, 5 sd). Random intercepts set for each snake, each set of trials and the two speaker directions, with Half-normal cauchy priors for standard deviation (0 mean, 2 sd).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All models had genus, sound factor, their interaction, and ln(snake age) as fixed effects.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O</w:t>
      </w:r>
      <w:r>
        <w:rPr>
          <w:b w:val="false"/>
          <w:bCs w:val="false"/>
          <w:i w:val="false"/>
          <w:iCs w:val="false"/>
          <w:color w:val="auto"/>
          <w:u w:val="none"/>
        </w:rPr>
        <w:t>ur defensive/cautious behavior model initially included snake sex and m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ovement away from speaker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model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initially included initial head direction.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These additional variables did not improve model fit, as determined via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comparison of leave-one-out cross-validation information criteria </w:t>
      </w:r>
      <w:r>
        <w:rPr>
          <w:b w:val="false"/>
          <w:bCs w:val="false"/>
          <w:i w:val="false"/>
          <w:iCs w:val="false"/>
          <w:color w:val="auto"/>
          <w:u w:val="none"/>
        </w:rPr>
        <w:t>(LOOIC), interpretable as per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AIC.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Defensive/cautious models with and without snake sex had LOOIC scores of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223.9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and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223.5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respectively, and movement away from speaker models with and without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initial head direction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had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LOOIC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scores of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378.8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and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372.9 </w:t>
      </w:r>
      <w:r>
        <w:rPr>
          <w:b w:val="false"/>
          <w:bCs w:val="false"/>
          <w:i w:val="false"/>
          <w:iCs w:val="false"/>
          <w:color w:val="auto"/>
          <w:u w:val="none"/>
        </w:rPr>
        <w:t>respectively</w:t>
      </w:r>
      <w:r>
        <w:rPr>
          <w:b w:val="false"/>
          <w:bCs w:val="false"/>
          <w:i w:val="false"/>
          <w:iCs w:val="false"/>
          <w:color w:val="auto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W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e set adapt delta to 0.999 and max treedepth to 15 to reduce divergent transitions.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Models ran across four chains for 10,000 iterations each, 5,000 warm-up and 5,000 for sampling, </w:t>
      </w:r>
      <w:r>
        <w:rPr>
          <w:b w:val="false"/>
          <w:bCs w:val="false"/>
          <w:i w:val="false"/>
          <w:iCs w:val="false"/>
          <w:color w:val="auto"/>
          <w:u w:val="none"/>
        </w:rPr>
        <w:t>for a total of 20,000 sampling iterations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Chain convergence in models was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evaluated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via R-hat scores.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Model validation was performed via residual simulation in DHARMa package </w:t>
      </w:r>
      <w:r>
        <w:rPr>
          <w:b w:val="false"/>
          <w:bCs w:val="false"/>
          <w:i w:val="false"/>
          <w:iCs w:val="false"/>
          <w:color w:val="auto"/>
          <w:u w:val="none"/>
        </w:rPr>
        <w:t>(Hartig 2019)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and leave-one-out cross validation </w:t>
      </w:r>
      <w:r>
        <w:rPr>
          <w:b w:val="false"/>
          <w:bCs w:val="false"/>
          <w:i w:val="false"/>
          <w:iCs w:val="false"/>
          <w:color w:val="auto"/>
          <w:u w:val="none"/>
        </w:rPr>
        <w:t>(loo function, loo package).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Control plots have points at the mean posterior probability. </w:t>
      </w:r>
      <w:r>
        <w:rPr>
          <w:b w:val="false"/>
          <w:bCs w:val="false"/>
          <w:i w:val="false"/>
          <w:iCs w:val="false"/>
          <w:color w:val="auto"/>
          <w:u w:val="none"/>
        </w:rPr>
        <w:t>Bars are 95% credible intervals, the 2.5% and 97.5% quantiles of posterior distribution. T</w:t>
      </w:r>
      <w:r>
        <w:rPr>
          <w:b w:val="false"/>
          <w:bCs w:val="false"/>
          <w:i w:val="false"/>
          <w:iCs w:val="false"/>
          <w:color w:val="auto"/>
          <w:u w:val="none"/>
        </w:rPr>
        <w:t>o get the difference from control plots, which puts each genus on a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n equivalent scale (“difference from control”), we subtracted response-scale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each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genus’ control posterior </w:t>
      </w:r>
      <w:r>
        <w:rPr>
          <w:b w:val="false"/>
          <w:bCs w:val="false"/>
          <w:i w:val="false"/>
          <w:iCs w:val="false"/>
          <w:color w:val="auto"/>
          <w:u w:val="none"/>
        </w:rPr>
        <w:t>draws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from the respective sound factor treatment posterior draws for each genus.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The points of these resulting distributions are the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mean difference from control to treatment, with 95% credible intervals of the differences.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Where credible intervals do not cross zero, it is evidence of a difference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in response probability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between </w:t>
      </w:r>
      <w:r>
        <w:rPr>
          <w:b w:val="false"/>
          <w:bCs w:val="false"/>
          <w:i w:val="false"/>
          <w:iCs w:val="false"/>
          <w:color w:val="auto"/>
          <w:u w:val="none"/>
        </w:rPr>
        <w:t>the control and treatments.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I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n some cases, even with snake-level random effects,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population-level predictions had wide credible intervals,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reduce confidence in some potential trends (such as </w:t>
      </w:r>
      <w:r>
        <w:rPr>
          <w:b w:val="false"/>
          <w:bCs w:val="false"/>
          <w:i/>
          <w:iCs/>
          <w:color w:val="auto"/>
          <w:u w:val="none"/>
        </w:rPr>
        <w:t>Aspidites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reduction in probability of movement away from speaker).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>Specific model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We tested for whether initial head direciton significantly influenced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probability of snake movement direction, but this model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was a poorer fit than the model with this effect absent </w:t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  <w:t>Results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>Basic results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auto"/>
          <w:u w:val="none"/>
        </w:rPr>
      </w:pPr>
      <w:r>
        <w:rPr>
          <w:b w:val="false"/>
          <w:bCs w:val="false"/>
          <w:i/>
          <w:iCs/>
          <w:color w:val="auto"/>
          <w:u w:val="none"/>
        </w:rPr>
        <w:t xml:space="preserve">Summarize </w:t>
      </w:r>
      <w:r>
        <w:rPr>
          <w:b w:val="false"/>
          <w:bCs w:val="false"/>
          <w:i/>
          <w:iCs/>
          <w:color w:val="auto"/>
          <w:u w:val="none"/>
        </w:rPr>
        <w:t xml:space="preserve">Fig </w:t>
      </w:r>
      <w:r>
        <w:rPr>
          <w:b w:val="false"/>
          <w:bCs w:val="false"/>
          <w:i/>
          <w:iCs/>
          <w:color w:val="auto"/>
          <w:u w:val="none"/>
        </w:rPr>
        <w:t>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>Defensive/cautious behaviors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auto"/>
          <w:u w:val="none"/>
        </w:rPr>
      </w:pPr>
      <w:r>
        <w:rPr>
          <w:b w:val="false"/>
          <w:bCs w:val="false"/>
          <w:i/>
          <w:iCs/>
          <w:color w:val="auto"/>
          <w:u w:val="none"/>
        </w:rPr>
        <w:t>T</w:t>
      </w:r>
      <w:r>
        <w:rPr>
          <w:b w:val="false"/>
          <w:bCs w:val="false"/>
          <w:i/>
          <w:iCs/>
          <w:color w:val="auto"/>
          <w:u w:val="none"/>
        </w:rPr>
        <w:t>alk through Fig 2A-B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P</w:t>
      </w:r>
      <w:commentRangeStart w:id="0"/>
      <w:r>
        <w:rPr>
          <w:b w:val="false"/>
          <w:bCs w:val="false"/>
          <w:i w:val="false"/>
          <w:iCs w:val="false"/>
          <w:color w:val="auto"/>
          <w:u w:val="none"/>
        </w:rPr>
        <w:t>ermanova of defensive/cautious behaviour shows significant variation in composition is explained by both genus and by sound treatment.</w:t>
      </w:r>
      <w:r>
        <w:rPr>
          <w:b w:val="false"/>
          <w:bCs w:val="false"/>
          <w:color w:val="auto"/>
          <w:u w:val="none"/>
        </w:rPr>
      </w:r>
      <w:commentRangeEnd w:id="0"/>
      <w:r>
        <w:commentReference w:id="0"/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Genus identity explained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89% of the variation,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with sound contributing an additional 3.6%, with no significant interaction between the two </w:t>
      </w:r>
      <w:r>
        <w:rPr>
          <w:b w:val="false"/>
          <w:bCs w:val="false"/>
          <w:i w:val="false"/>
          <w:iCs w:val="false"/>
          <w:color w:val="auto"/>
          <w:u w:val="none"/>
        </w:rPr>
        <w:t>sets of factors</w:t>
      </w:r>
      <w:r>
        <w:rPr>
          <w:b w:val="false"/>
          <w:bCs w:val="false"/>
          <w:i w:val="false"/>
          <w:iCs w:val="false"/>
          <w:color w:val="auto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auto"/>
          <w:u w:val="none"/>
        </w:rPr>
      </w:pPr>
      <w:r>
        <w:rPr>
          <w:b w:val="false"/>
          <w:bCs w:val="false"/>
          <w:i/>
          <w:iCs/>
          <w:color w:val="auto"/>
          <w:u w:val="none"/>
        </w:rPr>
        <w:t>T</w:t>
      </w:r>
      <w:r>
        <w:rPr>
          <w:b w:val="false"/>
          <w:bCs w:val="false"/>
          <w:i/>
          <w:iCs/>
          <w:color w:val="auto"/>
          <w:u w:val="none"/>
        </w:rPr>
        <w:t>alk through Fig 2C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  <w:t>S</w:t>
      </w:r>
      <w:r>
        <w:rPr>
          <w:b w:val="false"/>
          <w:bCs w:val="false"/>
          <w:i w:val="false"/>
          <w:iCs w:val="false"/>
          <w:color w:val="auto"/>
          <w:u w:val="single"/>
        </w:rPr>
        <w:t>nake movement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b w:val="false"/>
          <w:bCs w:val="false"/>
          <w:i w:val="false"/>
          <w:iCs w:val="false"/>
          <w:color w:val="auto"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auto"/>
          <w:u w:val="none"/>
        </w:rPr>
      </w:pPr>
      <w:r>
        <w:rPr>
          <w:b w:val="false"/>
          <w:bCs w:val="false"/>
          <w:i/>
          <w:iCs/>
          <w:color w:val="auto"/>
          <w:u w:val="none"/>
        </w:rPr>
        <w:t>Talk through Fig 3A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auto"/>
          <w:u w:val="none"/>
        </w:rPr>
      </w:pPr>
      <w:r>
        <w:rPr>
          <w:b w:val="false"/>
          <w:bCs w:val="false"/>
          <w:i/>
          <w:iCs/>
          <w:color w:val="auto"/>
          <w:u w:val="none"/>
        </w:rPr>
        <w:t>Probability model summary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auto"/>
          <w:u w:val="none"/>
        </w:rPr>
      </w:pPr>
      <w:r>
        <w:rPr>
          <w:b w:val="false"/>
          <w:bCs w:val="false"/>
          <w:i/>
          <w:iCs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auto"/>
          <w:u w:val="none"/>
        </w:rPr>
      </w:pPr>
      <w:r>
        <w:rPr>
          <w:b w:val="false"/>
          <w:bCs w:val="false"/>
          <w:i/>
          <w:iCs/>
          <w:color w:val="auto"/>
          <w:u w:val="none"/>
        </w:rPr>
        <w:t>Direction model summary</w:t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  <w:t>Supplementary Tables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Permanova summary table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testing whether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dissimilarity of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composition of defensive/cautious behaviors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is clustered by genus, sound treatment, or their interaction.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782"/>
        <w:gridCol w:w="736"/>
        <w:gridCol w:w="1527"/>
        <w:gridCol w:w="877"/>
        <w:gridCol w:w="1169"/>
        <w:gridCol w:w="2881"/>
      </w:tblGrid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8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</w:t>
            </w:r>
          </w:p>
        </w:tc>
        <w:tc>
          <w:tcPr>
            <w:tcW w:w="7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4.028</w:t>
            </w:r>
          </w:p>
        </w:tc>
        <w:tc>
          <w:tcPr>
            <w:tcW w:w="8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36.279</w:t>
            </w:r>
          </w:p>
        </w:tc>
        <w:tc>
          <w:tcPr>
            <w:tcW w:w="2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Factor</w:t>
            </w:r>
          </w:p>
        </w:tc>
        <w:tc>
          <w:tcPr>
            <w:tcW w:w="7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0.163</w:t>
            </w:r>
          </w:p>
        </w:tc>
        <w:tc>
          <w:tcPr>
            <w:tcW w:w="8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5.884</w:t>
            </w:r>
          </w:p>
        </w:tc>
        <w:tc>
          <w:tcPr>
            <w:tcW w:w="2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Genus: sound factor</w:t>
            </w:r>
          </w:p>
        </w:tc>
        <w:tc>
          <w:tcPr>
            <w:tcW w:w="7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0.117</w:t>
            </w:r>
          </w:p>
        </w:tc>
        <w:tc>
          <w:tcPr>
            <w:tcW w:w="8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1.052</w:t>
            </w:r>
          </w:p>
        </w:tc>
        <w:tc>
          <w:tcPr>
            <w:tcW w:w="2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0.437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Residual</w:t>
            </w:r>
          </w:p>
        </w:tc>
        <w:tc>
          <w:tcPr>
            <w:tcW w:w="7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0.222</w:t>
            </w:r>
          </w:p>
        </w:tc>
        <w:tc>
          <w:tcPr>
            <w:tcW w:w="8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7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4.530</w:t>
            </w:r>
          </w:p>
        </w:tc>
        <w:tc>
          <w:tcPr>
            <w:tcW w:w="87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Table S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2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-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4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are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model summary tables from brms, along with additional model validation tests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via residual simulation and leave-one-out cross validation. Estimates are means from Bayesian posteriors, along with standard errors and confidence intervals. Ȓ is a metric of model convergence, where 1 equals perfect convergence (REF). ESS = effective sample size, a measure of the number of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reliable samples obtained from the model markov chains.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ELPD </w:t>
      </w:r>
      <w:r>
        <w:rPr>
          <w:b w:val="false"/>
          <w:bCs w:val="false"/>
          <w:i w:val="false"/>
          <w:iCs w:val="false"/>
          <w:color w:val="auto"/>
          <w:u w:val="none"/>
        </w:rPr>
        <w:t>=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theoretical expected log pointwise predictive density, </w:t>
      </w:r>
      <w:r>
        <w:rPr>
          <w:b w:val="false"/>
          <w:bCs w:val="false"/>
          <w:i w:val="false"/>
          <w:iCs w:val="false"/>
          <w:color w:val="auto"/>
          <w:u w:val="none"/>
        </w:rPr>
        <w:t>P LOO = effective number of parameters, LOOIC = LOO information criterion. Pareto K is a measure of importance sampling reliability.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  <w:t>Table S</w:t>
      </w:r>
      <w:r>
        <w:rPr>
          <w:b/>
          <w:bCs/>
          <w:i w:val="false"/>
          <w:iCs w:val="false"/>
          <w:color w:val="auto"/>
          <w:u w:val="none"/>
        </w:rPr>
        <w:t>2</w:t>
      </w:r>
      <w:r>
        <w:rPr>
          <w:b/>
          <w:bCs/>
          <w:i w:val="false"/>
          <w:iCs w:val="false"/>
          <w:color w:val="auto"/>
          <w:u w:val="none"/>
        </w:rPr>
        <w:t>: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auto"/>
          <w:u w:val="none"/>
        </w:rPr>
        <w:t>Probability of d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efensive/cautious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behavior </w:t>
      </w:r>
      <w:r>
        <w:rPr>
          <w:b w:val="false"/>
          <w:bCs w:val="false"/>
          <w:i w:val="false"/>
          <w:iCs w:val="false"/>
          <w:color w:val="auto"/>
          <w:u w:val="none"/>
        </w:rPr>
        <w:t>model summar</w:t>
      </w:r>
      <w:r>
        <w:rPr>
          <w:b w:val="false"/>
          <w:bCs w:val="false"/>
          <w:i w:val="false"/>
          <w:iCs w:val="false"/>
          <w:color w:val="auto"/>
          <w:u w:val="none"/>
        </w:rPr>
        <w:t>y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table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782"/>
        <w:gridCol w:w="937"/>
        <w:gridCol w:w="1094"/>
        <w:gridCol w:w="1109"/>
        <w:gridCol w:w="1169"/>
        <w:gridCol w:w="718"/>
        <w:gridCol w:w="1169"/>
        <w:gridCol w:w="994"/>
      </w:tblGrid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Fixed effects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Ȓ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Bulk ESS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 ESS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Intercept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0.365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4.526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-8.836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9.279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11344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1.582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1.058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-0.448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3.727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10792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0.647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-1.407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2.772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8526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11364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1.703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1.078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3.868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9107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11932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genusOxyuranus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-0.220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2.021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-4.189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3.800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8797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10633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genusPseudonaja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-0.882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2.382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-5.592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9464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11538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n(</w:t>
            </w:r>
            <w:r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-1.377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1.835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-5.030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2.312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9403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11516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ale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2.394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2.019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-1.538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6.549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10250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11884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soundFact1:genusOxyuranus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-0.228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-2.785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2.320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9191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12070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soundFact2:genusOxyuranus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1.314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-1.214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3.877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8883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12049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soundFact3:genusOxyuranus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-0.329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-2.958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2.258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9772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13051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soundFact1:genusPseudonaja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-1.328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1.490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-4.277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1.536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10188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14013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soundFact2:genusPseudonaja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-0.637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-3.644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2.315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10235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13633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soundFact3:genusPseudonaja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-1.026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1.512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-4.015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1.909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10673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13543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Random effects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Ȓ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Bulk ESS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 ESS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Side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1.032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1.368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4.522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8699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9811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2.856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1.027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1.454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5.395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7872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10978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0.730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1.543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5094</w:t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5395</w:t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Dispersion test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Obs:Sim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0.875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Uniformity test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One-sample Komogorov-Smirnov test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0.039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Leave-one-out cross validation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Elpd LOO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111.8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LOO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LOOIC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223.5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Pareto K</w:t>
            </w:r>
          </w:p>
        </w:tc>
        <w:tc>
          <w:tcPr>
            <w:tcW w:w="93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99% &lt; 0.5</w:t>
            </w:r>
          </w:p>
        </w:tc>
        <w:tc>
          <w:tcPr>
            <w:tcW w:w="10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  <w:t>Table S</w:t>
      </w:r>
      <w:r>
        <w:rPr>
          <w:b/>
          <w:bCs/>
          <w:i w:val="false"/>
          <w:iCs w:val="false"/>
          <w:color w:val="auto"/>
          <w:u w:val="none"/>
        </w:rPr>
        <w:t>3</w:t>
      </w:r>
      <w:r>
        <w:rPr>
          <w:b/>
          <w:bCs/>
          <w:i w:val="false"/>
          <w:iCs w:val="false"/>
          <w:color w:val="auto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Binary movement probability model summary</w:t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775"/>
        <w:gridCol w:w="1082"/>
        <w:gridCol w:w="956"/>
        <w:gridCol w:w="1109"/>
        <w:gridCol w:w="1169"/>
        <w:gridCol w:w="718"/>
        <w:gridCol w:w="1169"/>
        <w:gridCol w:w="997"/>
      </w:tblGrid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Fixed effects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Ȓ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Bulk ESS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 ESS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Intercept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4.601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3.194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-1.607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11.021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8809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11155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0.238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-1.249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1.687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9090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13335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-1.228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9534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13815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-0.814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-2.597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9240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12237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1.778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1.683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-1.592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5.056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8280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11625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2.226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1.968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-1.635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6.152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10480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13554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4.381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1.306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7.470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7726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11544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2.965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1.936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-1.087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6.622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7517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10972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logAge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-3.120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1.472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-6.060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-0.222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9062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11803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2.804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0.172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5.766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13036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14100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2.276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-0.285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12682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15313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1.673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1.681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8.234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13673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14838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0.930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1.599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-2.122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4.144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14270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15215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-0.517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-3.607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2.529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13501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14085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1.875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1.651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-1.292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5.242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13246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14617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-0.243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-2.523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12222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15156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-1.477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12353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13886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3.311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11073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13058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-0.757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-3.168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1.689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12400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14833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-0.755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-3.296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12918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14222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1.349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-2.347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2.926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11746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14912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Random effects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Ȓ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Bulk ESS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 ESS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Side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0.913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1.312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0.018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4.278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7276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8774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2.026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0.577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1.146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3.373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7859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12714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0.226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0.176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0.008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0.649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10289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7965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Dispersion test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Obs:Sim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0.969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Uniformity test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One-sample Komogorov-Smirnov test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0.052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Leave-one-out cross validation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Elpd LOO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153.8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LOO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37.7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LOOIC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307.7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Pareto K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97.5% &lt;0.5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  <w:t>Table S</w:t>
      </w:r>
      <w:r>
        <w:rPr>
          <w:b/>
          <w:bCs/>
          <w:i w:val="false"/>
          <w:iCs w:val="false"/>
          <w:color w:val="auto"/>
          <w:u w:val="none"/>
        </w:rPr>
        <w:t>4</w:t>
      </w:r>
      <w:r>
        <w:rPr>
          <w:b/>
          <w:bCs/>
          <w:i w:val="false"/>
          <w:iCs w:val="false"/>
          <w:color w:val="auto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Probability of movement towards speaker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auto"/>
          <w:u w:val="none"/>
        </w:rPr>
        <w:t>m</w:t>
      </w:r>
      <w:r>
        <w:rPr>
          <w:b w:val="false"/>
          <w:bCs w:val="false"/>
          <w:i w:val="false"/>
          <w:iCs w:val="false"/>
          <w:color w:val="auto"/>
          <w:u w:val="none"/>
        </w:rPr>
        <w:t>odel summary</w:t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775"/>
        <w:gridCol w:w="1082"/>
        <w:gridCol w:w="956"/>
        <w:gridCol w:w="1109"/>
        <w:gridCol w:w="1169"/>
        <w:gridCol w:w="718"/>
        <w:gridCol w:w="1169"/>
        <w:gridCol w:w="997"/>
      </w:tblGrid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Fixed effects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Ȓ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Bulk ESS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 ESS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Intercept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-0.170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-3.225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2.938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6233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4587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1.654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3.330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6224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9111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1.708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3.394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6122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8898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-0.671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2.808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6845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10060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2.034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4.014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6787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10889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0.984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-1.298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3.223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11205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0.564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-1.383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2.497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6434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9128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0.383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-2.479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2.875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7669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9554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logAge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-1.242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-2.261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-0.287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13219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11028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-0.891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-3.149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1.362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8313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11172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-2.145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1.225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-4.591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8392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11890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soundFact3:genusAspidites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-2.840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-6.232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11231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13246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-1.060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1.365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-3.691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1.635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9342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12356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-1.742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1.430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-4.603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9184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13150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soundFact3:genusHoplocephalus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-0.164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1.404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-2.885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2.602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9091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12574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-0.451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1.137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-2.706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1.807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7566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11388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-0.109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1.110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-2.291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6975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9831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soundFact3:genusOxyuranus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1.173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-1.989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2.617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7873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11060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soundFact1:genusPseudonaja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-0.609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-3.535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2.571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9342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10563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soundFact2:genusPseudonaja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1.507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-2.699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3.224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8906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10827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soundFact3:genusPseudonaja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-0.893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-4.480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2.542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10036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12216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Random effects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Upper 95% </w:t>
            </w:r>
            <w:r>
              <w:rPr>
                <w:sz w:val="20"/>
                <w:szCs w:val="20"/>
              </w:rPr>
              <w:t>CI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Ȓ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Bulk ESS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 ESS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Side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1.008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4.695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5738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5104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0.406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0.286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0.018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1.073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5838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8223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0.231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0.016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0.869</w:t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6750</w:t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8732</w:t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Dispersion test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Obs:Sim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1.008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Uniformity test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One-sample Komogorov-Smirnov test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0.029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0.955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Leave-one-out cross validation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Elpd LOO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186.5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LOO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33.9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LOOIC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372.9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</w:t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27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Pareto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99.1% &lt;0.5</w:t>
            </w:r>
          </w:p>
        </w:tc>
        <w:tc>
          <w:tcPr>
            <w:tcW w:w="95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sectPr>
      <w:headerReference w:type="default" r:id="rId5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4-14T13:56:03Z" w:initials="">
    <w:p>
      <w:r>
        <w:rPr>
          <w:rFonts w:ascii="Liberation Serif" w:hAnsi="Liberation Serif" w:eastAsia="Noto Serif CJK SC" w:cs="Droid Sans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AU" w:eastAsia="zh-CN" w:bidi="hi-IN"/>
        </w:rPr>
        <w:t>Results.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LibreOffice/7.0.5.2$Linux_X86_64 LibreOffice_project/00$Build-2</Application>
  <AppVersion>15.0000</AppVersion>
  <Pages>10</Pages>
  <Words>2039</Words>
  <Characters>12084</Characters>
  <CharactersWithSpaces>13413</CharactersWithSpaces>
  <Paragraphs>713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2021-03-30T16:00:20Z</dcterms:created>
  <dc:creator>Timothy Staples</dc:creator>
  <dc:description/>
  <dc:language>en-AU</dc:language>
  <cp:lastModifiedBy>Timothy Staples</cp:lastModifiedBy>
  <dcterms:modified xsi:type="dcterms:W3CDTF">2021-04-19T09:41:57Z</dcterms:modified>
  <cp:revision>297</cp:revision>
  <dc:subject/>
  <dc:title/>
</cp:coreProperties>
</file>