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Call Center Performance Analysis</w:t>
      </w:r>
    </w:p>
    <w:p>
      <w:pPr>
        <w:pStyle w:val="Subtitle"/>
      </w:pPr>
      <w:r>
        <w:t xml:space="preserve">Executive KPI Dashboard - Monthly Operations Review</w:t>
      </w:r>
    </w:p>
    <w:p>
      <w:pPr>
        <w:spacing w:after="480"/>
        <w:jc w:val="center"/>
      </w:pPr>
      <w:r>
        <w:rPr>
          <w:color w:val="7F7F7F"/>
          <w:sz w:val="20"/>
          <w:szCs w:val="20"/>
        </w:rPr>
        <w:t xml:space="preserve">Analysis Period: Latest Month | Report Date: December 2024</w:t>
      </w:r>
    </w:p>
    <w:p>
      <w:pPr>
        <w:pStyle w:val="Heading1"/>
      </w:pPr>
      <w:r>
        <w:t xml:space="preserve">Executive Summary</w:t>
      </w:r>
    </w:p>
    <w:p>
      <w:pPr>
        <w:spacing w:after="240"/>
      </w:pPr>
      <w:r>
        <w:t xml:space="preserve">This report presents a comprehensive analysis of call center operations for the latest month, examining 3,896 customer interactions across 8 operational KPIs. The analysis identifies three critical optimization opportunities with projected annual savings of R1.5M through targeted interventions in agent training, staffing optimization, and process improvements.</w:t>
      </w:r>
    </w:p>
    <w:p>
      <w:pPr>
        <w:pStyle w:val="Heading2"/>
      </w:pPr>
      <w:r>
        <w:t xml:space="preserve">Interactive Dashboard</w:t>
      </w:r>
    </w:p>
    <w:p>
      <w:pPr>
        <w:spacing w:after="240"/>
      </w:pPr>
      <w:r>
        <w:t xml:space="preserve">View the live interactive dashboard: </w:t>
      </w:r>
      <w:hyperlink w:history="1" r:id="rId9qq43rg5sm9ns4_zzwen7">
        <w:r>
          <w:rPr>
            <w:rStyle w:val="Hyperlink"/>
            <w:color w:val="0563C1"/>
            <w:u w:val="single"/>
          </w:rPr>
          <w:t xml:space="preserve">Tableau Public Dashboard</w:t>
        </w:r>
      </w:hyperlink>
    </w:p>
    <w:p>
      <w:pPr>
        <w:spacing w:after="360"/>
      </w:pPr>
      <w:r>
        <w:t xml:space="preserve">Project repository: </w:t>
      </w:r>
      <w:hyperlink w:history="1" r:id="rId7gxhr6roynwvnc07sgcaz">
        <w:r>
          <w:rPr>
            <w:rStyle w:val="Hyperlink"/>
            <w:color w:val="0563C1"/>
            <w:u w:val="single"/>
          </w:rPr>
          <w:t xml:space="preserve">GitHub Repository</w:t>
        </w:r>
      </w:hyperlink>
    </w:p>
    <w:p>
      <w:pPr>
        <w:pStyle w:val="Heading1"/>
      </w:pPr>
      <w:r>
        <w:t xml:space="preserve">Key Performance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Performance</w:t>
            </w:r>
          </w:p>
        </w:tc>
      </w:tr>
      <w:tr>
        <w:tc>
          <w:tcPr>
            <w:tcW w:type="dxa" w:w="4680"/>
            <w:tcBorders>
              <w:top w:val="single" w:color="CCCCCC" w:sz="1"/>
              <w:left w:val="single" w:color="CCCCCC" w:sz="1"/>
              <w:bottom w:val="single" w:color="CCCCCC" w:sz="1"/>
              <w:right w:val="single" w:color="CCCCCC" w:sz="1"/>
            </w:tcBorders>
          </w:tcPr>
          <w:p>
            <w:r>
              <w:rPr>
                <w:b/>
                <w:bCs/>
              </w:rPr>
              <w:t xml:space="preserve">Total Monthly Calls</w:t>
            </w:r>
          </w:p>
        </w:tc>
        <w:tc>
          <w:tcPr>
            <w:tcW w:type="dxa" w:w="4680"/>
            <w:tcBorders>
              <w:top w:val="single" w:color="CCCCCC" w:sz="1"/>
              <w:left w:val="single" w:color="CCCCCC" w:sz="1"/>
              <w:bottom w:val="single" w:color="CCCCCC" w:sz="1"/>
              <w:right w:val="single" w:color="CCCCCC" w:sz="1"/>
            </w:tcBorders>
          </w:tcPr>
          <w:p>
            <w:r>
              <w:t xml:space="preserve">3,896 interactions</w:t>
            </w:r>
          </w:p>
        </w:tc>
      </w:tr>
      <w:tr>
        <w:tc>
          <w:tcPr>
            <w:tcW w:type="dxa" w:w="4680"/>
            <w:tcBorders>
              <w:top w:val="single" w:color="CCCCCC" w:sz="1"/>
              <w:left w:val="single" w:color="CCCCCC" w:sz="1"/>
              <w:bottom w:val="single" w:color="CCCCCC" w:sz="1"/>
              <w:right w:val="single" w:color="CCCCCC" w:sz="1"/>
            </w:tcBorders>
          </w:tcPr>
          <w:p>
            <w:r>
              <w:rPr>
                <w:b/>
                <w:bCs/>
              </w:rPr>
              <w:t xml:space="preserve">Overall Resolution Rate</w:t>
            </w:r>
          </w:p>
        </w:tc>
        <w:tc>
          <w:tcPr>
            <w:tcW w:type="dxa" w:w="4680"/>
            <w:tcBorders>
              <w:top w:val="single" w:color="CCCCCC" w:sz="1"/>
              <w:left w:val="single" w:color="CCCCCC" w:sz="1"/>
              <w:bottom w:val="single" w:color="CCCCCC" w:sz="1"/>
              <w:right w:val="single" w:color="CCCCCC" w:sz="1"/>
            </w:tcBorders>
          </w:tcPr>
          <w:p>
            <w:r>
              <w:t xml:space="preserve">70.47% (2,746 resolved)</w:t>
            </w:r>
          </w:p>
        </w:tc>
      </w:tr>
      <w:tr>
        <w:tc>
          <w:tcPr>
            <w:tcW w:type="dxa" w:w="4680"/>
            <w:tcBorders>
              <w:top w:val="single" w:color="CCCCCC" w:sz="1"/>
              <w:left w:val="single" w:color="CCCCCC" w:sz="1"/>
              <w:bottom w:val="single" w:color="CCCCCC" w:sz="1"/>
              <w:right w:val="single" w:color="CCCCCC" w:sz="1"/>
            </w:tcBorders>
          </w:tcPr>
          <w:p>
            <w:r>
              <w:rPr>
                <w:b/>
                <w:bCs/>
              </w:rPr>
              <w:t xml:space="preserve">Average Speed of Answer</w:t>
            </w:r>
          </w:p>
        </w:tc>
        <w:tc>
          <w:tcPr>
            <w:tcW w:type="dxa" w:w="4680"/>
            <w:tcBorders>
              <w:top w:val="single" w:color="CCCCCC" w:sz="1"/>
              <w:left w:val="single" w:color="CCCCCC" w:sz="1"/>
              <w:bottom w:val="single" w:color="CCCCCC" w:sz="1"/>
              <w:right w:val="single" w:color="CCCCCC" w:sz="1"/>
            </w:tcBorders>
          </w:tcPr>
          <w:p>
            <w:r>
              <w:t xml:space="preserve">67 seconds (meets target)</w:t>
            </w:r>
          </w:p>
        </w:tc>
      </w:tr>
      <w:tr>
        <w:tc>
          <w:tcPr>
            <w:tcW w:type="dxa" w:w="4680"/>
            <w:tcBorders>
              <w:top w:val="single" w:color="CCCCCC" w:sz="1"/>
              <w:left w:val="single" w:color="CCCCCC" w:sz="1"/>
              <w:bottom w:val="single" w:color="CCCCCC" w:sz="1"/>
              <w:right w:val="single" w:color="CCCCCC" w:sz="1"/>
            </w:tcBorders>
          </w:tcPr>
          <w:p>
            <w:r>
              <w:rPr>
                <w:b/>
                <w:bCs/>
              </w:rPr>
              <w:t xml:space="preserve">Agent Performance Range</w:t>
            </w:r>
          </w:p>
        </w:tc>
        <w:tc>
          <w:tcPr>
            <w:tcW w:type="dxa" w:w="4680"/>
            <w:tcBorders>
              <w:top w:val="single" w:color="CCCCCC" w:sz="1"/>
              <w:left w:val="single" w:color="CCCCCC" w:sz="1"/>
              <w:bottom w:val="single" w:color="CCCCCC" w:sz="1"/>
              <w:right w:val="single" w:color="CCCCCC" w:sz="1"/>
            </w:tcBorders>
          </w:tcPr>
          <w:p>
            <w:r>
              <w:t xml:space="preserve">59.18% - 78.74% resolution</w:t>
            </w:r>
          </w:p>
        </w:tc>
      </w:tr>
    </w:tbl>
    <w:p>
      <w:pPr>
        <w:spacing w:after="240"/>
      </w:pPr>
      <w:r>
        <w:t xml:space="preserve"/>
      </w:r>
    </w:p>
    <w:p>
      <w:pPr>
        <w:pStyle w:val="Heading1"/>
      </w:pPr>
      <w:r>
        <w:t xml:space="preserve">Critical Findings</w:t>
      </w:r>
    </w:p>
    <w:p>
      <w:pPr>
        <w:pStyle w:val="Heading2"/>
      </w:pPr>
      <w:r>
        <w:t xml:space="preserve">1. Agent Performance Gaps</w:t>
      </w:r>
    </w:p>
    <w:p>
      <w:pPr>
        <w:spacing w:after="120"/>
      </w:pPr>
      <w:r>
        <w:t xml:space="preserve">Three agents identified below the 70% resolution rate target:</w:t>
      </w:r>
    </w:p>
    <w:p>
      <w:pPr>
        <w:pStyle w:val="ListParagraph"/>
        <w:numPr>
          <w:ilvl w:val="0"/>
          <w:numId w:val="2"/>
        </w:numPr>
      </w:pPr>
      <w:r>
        <w:rPr>
          <w:b/>
          <w:bCs/>
        </w:rPr>
        <w:t xml:space="preserve">Dan: 59.18% (116 calls) - </w:t>
      </w:r>
      <w:r>
        <w:t xml:space="preserve">10.82 percentage points below target</w:t>
      </w:r>
    </w:p>
    <w:p>
      <w:pPr>
        <w:pStyle w:val="ListParagraph"/>
        <w:numPr>
          <w:ilvl w:val="0"/>
          <w:numId w:val="2"/>
        </w:numPr>
      </w:pPr>
      <w:r>
        <w:rPr>
          <w:b/>
          <w:bCs/>
        </w:rPr>
        <w:t xml:space="preserve">Joe: 67.53% (131 calls) - </w:t>
      </w:r>
      <w:r>
        <w:t xml:space="preserve">2.47 percentage points below target</w:t>
      </w:r>
    </w:p>
    <w:p>
      <w:pPr>
        <w:pStyle w:val="ListParagraph"/>
        <w:numPr>
          <w:ilvl w:val="0"/>
          <w:numId w:val="2"/>
        </w:numPr>
        <w:spacing w:after="240"/>
      </w:pPr>
      <w:r>
        <w:rPr>
          <w:b/>
          <w:bCs/>
        </w:rPr>
        <w:t xml:space="preserve">Diane: 68.75% (143 calls) - </w:t>
      </w:r>
      <w:r>
        <w:t xml:space="preserve">1.25 percentage points below target</w:t>
      </w:r>
    </w:p>
    <w:p>
      <w:pPr>
        <w:spacing w:after="360"/>
      </w:pPr>
      <w:r>
        <w:rPr>
          <w:b/>
          <w:bCs/>
        </w:rPr>
        <w:t xml:space="preserve">Business Impact: </w:t>
      </w:r>
      <w:r>
        <w:t xml:space="preserve">Combined performance gap results in ~45 unresolved calls monthly, generating R6,750 in escalation costs (R81,000 annually).</w:t>
      </w:r>
    </w:p>
    <w:p>
      <w:pPr>
        <w:pStyle w:val="Heading2"/>
      </w:pPr>
      <w:r>
        <w:t xml:space="preserve">2. Monday Staffing Inefficiency</w:t>
      </w:r>
    </w:p>
    <w:p>
      <w:pPr>
        <w:spacing w:after="120"/>
      </w:pPr>
      <w:r>
        <w:t xml:space="preserve">Monday call volume consistently exceeds capacity:</w:t>
      </w:r>
    </w:p>
    <w:p>
      <w:pPr>
        <w:pStyle w:val="ListParagraph"/>
        <w:numPr>
          <w:ilvl w:val="0"/>
          <w:numId w:val="2"/>
        </w:numPr>
      </w:pPr>
      <w:r>
        <w:t xml:space="preserve">Monday: ~290 calls (+26% above weekly average of 230 calls)</w:t>
      </w:r>
    </w:p>
    <w:p>
      <w:pPr>
        <w:pStyle w:val="ListParagraph"/>
        <w:numPr>
          <w:ilvl w:val="0"/>
          <w:numId w:val="2"/>
        </w:numPr>
      </w:pPr>
      <w:r>
        <w:t xml:space="preserve">Friday: ~200 calls (lowest volume day)</w:t>
      </w:r>
    </w:p>
    <w:p>
      <w:pPr>
        <w:pStyle w:val="ListParagraph"/>
        <w:numPr>
          <w:ilvl w:val="0"/>
          <w:numId w:val="2"/>
        </w:numPr>
        <w:spacing w:after="240"/>
      </w:pPr>
      <w:r>
        <w:t xml:space="preserve">Current staffing does not reflect demand pattern</w:t>
      </w:r>
    </w:p>
    <w:p>
      <w:pPr>
        <w:spacing w:after="360"/>
      </w:pPr>
      <w:r>
        <w:rPr>
          <w:b/>
          <w:bCs/>
        </w:rPr>
        <w:t xml:space="preserve">Business Impact: </w:t>
      </w:r>
      <w:r>
        <w:t xml:space="preserve">Extended Monday wait times increase abandonment risk and reduce satisfaction. Estimated impact: 2% churn increase on 10,000 customers equals R300,000 annual retention value at risk.</w:t>
      </w:r>
    </w:p>
    <w:p>
      <w:pPr>
        <w:pStyle w:val="Heading2"/>
      </w:pPr>
      <w:r>
        <w:t xml:space="preserve">3. Top Performer Insights</w:t>
      </w:r>
    </w:p>
    <w:p>
      <w:pPr>
        <w:spacing w:after="120"/>
      </w:pPr>
      <w:r>
        <w:t xml:space="preserve">Martha demonstrates consistently superior performance:</w:t>
      </w:r>
    </w:p>
    <w:p>
      <w:pPr>
        <w:pStyle w:val="ListParagraph"/>
        <w:numPr>
          <w:ilvl w:val="0"/>
          <w:numId w:val="2"/>
        </w:numPr>
      </w:pPr>
      <w:r>
        <w:t xml:space="preserve">Highest resolution rate: 78.74% (+8.27 points above target)</w:t>
      </w:r>
    </w:p>
    <w:p>
      <w:pPr>
        <w:pStyle w:val="ListParagraph"/>
        <w:numPr>
          <w:ilvl w:val="0"/>
          <w:numId w:val="2"/>
        </w:numPr>
      </w:pPr>
      <w:r>
        <w:t xml:space="preserve">Highest call volume resolved: 163 calls</w:t>
      </w:r>
    </w:p>
    <w:p>
      <w:pPr>
        <w:pStyle w:val="ListParagraph"/>
        <w:numPr>
          <w:ilvl w:val="0"/>
          <w:numId w:val="2"/>
        </w:numPr>
        <w:spacing w:after="360"/>
      </w:pPr>
      <w:r>
        <w:t xml:space="preserve">Performance suggests replicable best practices for training</w:t>
      </w:r>
    </w:p>
    <w:p>
      <w:pPr>
        <w:pStyle w:val="Heading1"/>
      </w:pPr>
      <w:r>
        <w:t xml:space="preserve">Strategic Recommendations</w:t>
      </w:r>
    </w:p>
    <w:p>
      <w:pPr>
        <w:pStyle w:val="Heading2"/>
      </w:pPr>
      <w:r>
        <w:t xml:space="preserve">Immediate Actions (Week 1)</w:t>
      </w:r>
    </w:p>
    <w:p>
      <w:pPr>
        <w:pStyle w:val="ListParagraph"/>
        <w:numPr>
          <w:ilvl w:val="0"/>
          <w:numId w:val="3"/>
        </w:numPr>
      </w:pPr>
      <w:r>
        <w:rPr>
          <w:b/>
          <w:bCs/>
        </w:rPr>
        <w:t xml:space="preserve">Agent Training Program: </w:t>
      </w:r>
      <w:r>
        <w:t xml:space="preserve">Schedule coaching sessions for Dan focusing on call resolution techniques. Target: bring resolution rate to 70% minimum within 30 days.</w:t>
      </w:r>
    </w:p>
    <w:p>
      <w:pPr>
        <w:pStyle w:val="ListParagraph"/>
        <w:numPr>
          <w:ilvl w:val="0"/>
          <w:numId w:val="3"/>
        </w:numPr>
      </w:pPr>
      <w:r>
        <w:rPr>
          <w:b/>
          <w:bCs/>
        </w:rPr>
        <w:t xml:space="preserve">Monday Staffing Adjustment: </w:t>
      </w:r>
      <w:r>
        <w:t xml:space="preserve">Shift one agent from Friday to Monday to balance workload. Expected outcome: reduce Monday wait times by 15%.</w:t>
      </w:r>
    </w:p>
    <w:p>
      <w:pPr>
        <w:pStyle w:val="ListParagraph"/>
        <w:numPr>
          <w:ilvl w:val="0"/>
          <w:numId w:val="3"/>
        </w:numPr>
        <w:spacing w:after="360"/>
      </w:pPr>
      <w:r>
        <w:rPr>
          <w:b/>
          <w:bCs/>
        </w:rPr>
        <w:t xml:space="preserve">Best Practice Documentation: </w:t>
      </w:r>
      <w:r>
        <w:t xml:space="preserve">Document Martha's call handling methodology for training materials and peer shadowing program.</w:t>
      </w:r>
    </w:p>
    <w:p>
      <w:pPr>
        <w:pStyle w:val="Heading2"/>
      </w:pPr>
      <w:r>
        <w:t xml:space="preserve">Short-term Initiatives (Month 1-3)</w:t>
      </w:r>
    </w:p>
    <w:p>
      <w:pPr>
        <w:pStyle w:val="ListParagraph"/>
        <w:numPr>
          <w:ilvl w:val="0"/>
          <w:numId w:val="3"/>
        </w:numPr>
      </w:pPr>
      <w:r>
        <w:t xml:space="preserve">Implement systematic training program for agents below 70% target</w:t>
      </w:r>
    </w:p>
    <w:p>
      <w:pPr>
        <w:pStyle w:val="ListParagraph"/>
        <w:numPr>
          <w:ilvl w:val="0"/>
          <w:numId w:val="3"/>
        </w:numPr>
      </w:pPr>
      <w:r>
        <w:t xml:space="preserve">Establish weekly dashboard reviews for proactive performance management</w:t>
      </w:r>
    </w:p>
    <w:p>
      <w:pPr>
        <w:pStyle w:val="ListParagraph"/>
        <w:numPr>
          <w:ilvl w:val="0"/>
          <w:numId w:val="3"/>
        </w:numPr>
        <w:spacing w:after="360"/>
      </w:pPr>
      <w:r>
        <w:t xml:space="preserve">Develop agent performance improvement plans with clear milestones</w:t>
      </w:r>
    </w:p>
    <w:p>
      <w:pPr>
        <w:pStyle w:val="Heading1"/>
      </w:pPr>
      <w:r>
        <w:t xml:space="preserve">Projected Financial Impact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70AD47" w:val="clear"/>
          </w:tcPr>
          <w:p>
            <w:pPr>
              <w:jc w:val="center"/>
            </w:pPr>
            <w:r>
              <w:rPr>
                <w:b/>
                <w:bCs/>
                <w:color w:val="FFFFFF"/>
                <w:sz w:val="22"/>
                <w:szCs w:val="22"/>
              </w:rPr>
              <w:t xml:space="preserve">Initiative</w:t>
            </w:r>
          </w:p>
        </w:tc>
        <w:tc>
          <w:tcPr>
            <w:tcW w:type="dxa" w:w="4680"/>
            <w:tcBorders>
              <w:top w:val="single" w:color="CCCCCC" w:sz="1"/>
              <w:left w:val="single" w:color="CCCCCC" w:sz="1"/>
              <w:bottom w:val="single" w:color="CCCCCC" w:sz="1"/>
              <w:right w:val="single" w:color="CCCCCC" w:sz="1"/>
            </w:tcBorders>
            <w:shd w:fill="70AD47" w:val="clear"/>
          </w:tcPr>
          <w:p>
            <w:pPr>
              <w:jc w:val="center"/>
            </w:pPr>
            <w:r>
              <w:rPr>
                <w:b/>
                <w:bCs/>
                <w:color w:val="FFFFFF"/>
                <w:sz w:val="22"/>
                <w:szCs w:val="22"/>
              </w:rPr>
              <w:t xml:space="preserve">Annual Savings</w:t>
            </w:r>
          </w:p>
        </w:tc>
      </w:tr>
      <w:tr>
        <w:tc>
          <w:tcPr>
            <w:tcW w:type="dxa" w:w="4680"/>
            <w:tcBorders>
              <w:top w:val="single" w:color="CCCCCC" w:sz="1"/>
              <w:left w:val="single" w:color="CCCCCC" w:sz="1"/>
              <w:bottom w:val="single" w:color="CCCCCC" w:sz="1"/>
              <w:right w:val="single" w:color="CCCCCC" w:sz="1"/>
            </w:tcBorders>
          </w:tcPr>
          <w:p>
            <w:r>
              <w:t xml:space="preserve">Agent Training Program</w:t>
            </w:r>
          </w:p>
        </w:tc>
        <w:tc>
          <w:tcPr>
            <w:tcW w:type="dxa" w:w="4680"/>
            <w:tcBorders>
              <w:top w:val="single" w:color="CCCCCC" w:sz="1"/>
              <w:left w:val="single" w:color="CCCCCC" w:sz="1"/>
              <w:bottom w:val="single" w:color="CCCCCC" w:sz="1"/>
              <w:right w:val="single" w:color="CCCCCC" w:sz="1"/>
            </w:tcBorders>
          </w:tcPr>
          <w:p>
            <w:pPr>
              <w:jc w:val="right"/>
            </w:pPr>
            <w:r>
              <w:t xml:space="preserve">R81,000</w:t>
            </w:r>
          </w:p>
        </w:tc>
      </w:tr>
      <w:tr>
        <w:tc>
          <w:tcPr>
            <w:tcW w:type="dxa" w:w="4680"/>
            <w:tcBorders>
              <w:top w:val="single" w:color="CCCCCC" w:sz="1"/>
              <w:left w:val="single" w:color="CCCCCC" w:sz="1"/>
              <w:bottom w:val="single" w:color="CCCCCC" w:sz="1"/>
              <w:right w:val="single" w:color="CCCCCC" w:sz="1"/>
            </w:tcBorders>
          </w:tcPr>
          <w:p>
            <w:r>
              <w:t xml:space="preserve">Monday Staffing Optimization</w:t>
            </w:r>
          </w:p>
        </w:tc>
        <w:tc>
          <w:tcPr>
            <w:tcW w:type="dxa" w:w="4680"/>
            <w:tcBorders>
              <w:top w:val="single" w:color="CCCCCC" w:sz="1"/>
              <w:left w:val="single" w:color="CCCCCC" w:sz="1"/>
              <w:bottom w:val="single" w:color="CCCCCC" w:sz="1"/>
              <w:right w:val="single" w:color="CCCCCC" w:sz="1"/>
            </w:tcBorders>
          </w:tcPr>
          <w:p>
            <w:pPr>
              <w:jc w:val="right"/>
            </w:pPr>
            <w:r>
              <w:t xml:space="preserve">R300,000</w:t>
            </w:r>
          </w:p>
        </w:tc>
      </w:tr>
      <w:tr>
        <w:tc>
          <w:tcPr>
            <w:tcW w:type="dxa" w:w="4680"/>
            <w:tcBorders>
              <w:top w:val="single" w:color="CCCCCC" w:sz="1"/>
              <w:left w:val="single" w:color="CCCCCC" w:sz="1"/>
              <w:bottom w:val="single" w:color="CCCCCC" w:sz="1"/>
              <w:right w:val="single" w:color="CCCCCC" w:sz="1"/>
            </w:tcBorders>
          </w:tcPr>
          <w:p>
            <w:r>
              <w:t xml:space="preserve">Process Efficiency Improvements</w:t>
            </w:r>
          </w:p>
        </w:tc>
        <w:tc>
          <w:tcPr>
            <w:tcW w:type="dxa" w:w="4680"/>
            <w:tcBorders>
              <w:top w:val="single" w:color="CCCCCC" w:sz="1"/>
              <w:left w:val="single" w:color="CCCCCC" w:sz="1"/>
              <w:bottom w:val="single" w:color="CCCCCC" w:sz="1"/>
              <w:right w:val="single" w:color="CCCCCC" w:sz="1"/>
            </w:tcBorders>
          </w:tcPr>
          <w:p>
            <w:pPr>
              <w:jc w:val="right"/>
            </w:pPr>
            <w:r>
              <w:t xml:space="preserve">R400,000</w:t>
            </w:r>
          </w:p>
        </w:tc>
      </w:tr>
      <w:tr>
        <w:tc>
          <w:tcPr>
            <w:tcW w:type="dxa" w:w="4680"/>
            <w:tcBorders>
              <w:top w:val="double" w:color="000000" w:sz="3"/>
              <w:left w:val="single" w:color="CCCCCC" w:sz="1"/>
              <w:bottom w:val="double" w:color="000000" w:sz="3"/>
              <w:right w:val="single" w:color="CCCCCC" w:sz="1"/>
            </w:tcBorders>
            <w:shd w:fill="E7E6E6" w:val="clear"/>
          </w:tcPr>
          <w:p>
            <w:r>
              <w:rPr>
                <w:b/>
                <w:bCs/>
              </w:rPr>
              <w:t xml:space="preserve">Total Projected Savings</w:t>
            </w:r>
          </w:p>
        </w:tc>
        <w:tc>
          <w:tcPr>
            <w:tcW w:type="dxa" w:w="4680"/>
            <w:tcBorders>
              <w:top w:val="double" w:color="000000" w:sz="3"/>
              <w:left w:val="single" w:color="CCCCCC" w:sz="1"/>
              <w:bottom w:val="double" w:color="000000" w:sz="3"/>
              <w:right w:val="single" w:color="CCCCCC" w:sz="1"/>
            </w:tcBorders>
            <w:shd w:fill="E7E6E6" w:val="clear"/>
          </w:tcPr>
          <w:p>
            <w:pPr>
              <w:jc w:val="right"/>
            </w:pPr>
            <w:r>
              <w:rPr>
                <w:b/>
                <w:bCs/>
              </w:rPr>
              <w:t xml:space="preserve">R781,000 - R1.5M</w:t>
            </w:r>
          </w:p>
        </w:tc>
      </w:tr>
    </w:tbl>
    <w:p>
      <w:pPr>
        <w:spacing w:after="360"/>
      </w:pPr>
      <w:r>
        <w:t xml:space="preserve"/>
      </w:r>
    </w:p>
    <w:p>
      <w:pPr>
        <w:pStyle w:val="Heading1"/>
      </w:pPr>
      <w:r>
        <w:t xml:space="preserve">Conclusion</w:t>
      </w:r>
    </w:p>
    <w:p>
      <w:pPr>
        <w:spacing w:after="240"/>
      </w:pPr>
      <w:r>
        <w:t xml:space="preserve">The call center analysis reveals clear optimization opportunities with quantifiable business impact. Immediate implementation of targeted agent training, staffing adjustments, and performance management protocols will improve service quality while generating substantial cost savings. The interactive dashboard enables ongoing monthly tracking to measure intervention effectiveness and identify emerging patterns.</w:t>
      </w:r>
    </w:p>
    <w:p>
      <w:pPr>
        <w:spacing w:after="120"/>
      </w:pPr>
      <w:r>
        <w:rPr>
          <w:b/>
          <w:bCs/>
        </w:rPr>
        <w:t xml:space="preserve">Next Steps:</w:t>
      </w:r>
    </w:p>
    <w:p>
      <w:pPr>
        <w:pStyle w:val="ListParagraph"/>
        <w:numPr>
          <w:ilvl w:val="0"/>
          <w:numId w:val="2"/>
        </w:numPr>
      </w:pPr>
      <w:r>
        <w:t xml:space="preserve">Schedule stakeholder review meeting within 1 week</w:t>
      </w:r>
    </w:p>
    <w:p>
      <w:pPr>
        <w:pStyle w:val="ListParagraph"/>
        <w:numPr>
          <w:ilvl w:val="0"/>
          <w:numId w:val="2"/>
        </w:numPr>
      </w:pPr>
      <w:r>
        <w:t xml:space="preserve">Initiate agent training program within 2 weeks</w:t>
      </w:r>
    </w:p>
    <w:p>
      <w:pPr>
        <w:pStyle w:val="ListParagraph"/>
        <w:numPr>
          <w:ilvl w:val="0"/>
          <w:numId w:val="2"/>
        </w:numPr>
      </w:pPr>
      <w:r>
        <w:t xml:space="preserve">Implement staffing adjustments beginning next Monday</w:t>
      </w:r>
    </w:p>
    <w:p>
      <w:pPr>
        <w:pStyle w:val="ListParagraph"/>
        <w:numPr>
          <w:ilvl w:val="0"/>
          <w:numId w:val="2"/>
        </w:numPr>
        <w:spacing w:after="360"/>
      </w:pPr>
      <w:r>
        <w:t xml:space="preserve">Establish monthly dashboard review cadence for ongoing monitoring</w:t>
      </w:r>
    </w:p>
    <w:p>
      <w:pPr>
        <w:pBdr>
          <w:top w:val="single" w:color="CCCCCC" w:sz="6"/>
        </w:pBdr>
        <w:spacing w:before="480" w:after="120"/>
      </w:pPr>
      <w:r>
        <w:t xml:space="preserve"/>
      </w:r>
    </w:p>
    <w:p>
      <w:pPr>
        <w:spacing w:after="120"/>
        <w:jc w:val="center"/>
      </w:pPr>
      <w:r>
        <w:rPr>
          <w:color w:val="7F7F7F"/>
          <w:sz w:val="20"/>
          <w:szCs w:val="20"/>
        </w:rPr>
        <w:t xml:space="preserve">Report prepared by: Unarine Timothy Tshimauswu</w:t>
      </w:r>
    </w:p>
    <w:p>
      <w:pPr>
        <w:jc w:val="center"/>
      </w:pPr>
      <w:r>
        <w:rPr>
          <w:color w:val="7F7F7F"/>
          <w:sz w:val="20"/>
          <w:szCs w:val="20"/>
        </w:rPr>
        <w:t xml:space="preserve">Data Scientist | Business Intelligence Analyst</w:t>
      </w:r>
    </w:p>
    <w:p>
      <w:pPr>
        <w:spacing w:after="120"/>
        <w:jc w:val="center"/>
      </w:pPr>
      <w:r>
        <w:rPr>
          <w:color w:val="7F7F7F"/>
          <w:sz w:val="20"/>
          <w:szCs w:val="20"/>
        </w:rPr>
        <w:t xml:space="preserve">Contact: timothytshimauswu@gmail.com | </w:t>
      </w:r>
      <w:hyperlink w:history="1" r:id="rIdhpad1w7ahr9sihyqowfxm">
        <w:r>
          <w:rPr>
            <w:color w:val="0563C1"/>
            <w:sz w:val="20"/>
            <w:szCs w:val="20"/>
            <w:u w:val="single"/>
          </w:rPr>
          <w:t xml:space="preserve">LinkedIn Profile</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F4E78"/>
      <w:sz w:val="48"/>
      <w:szCs w:val="48"/>
    </w:rPr>
  </w:style>
  <w:style w:type="paragraph" w:styleId="Subtitle">
    <w:name w:val="Subtitle"/>
    <w:basedOn w:val="Normal"/>
    <w:pPr>
      <w:spacing w:after="480"/>
      <w:jc w:val="center"/>
    </w:pPr>
    <w:rPr>
      <w:rFonts w:ascii="Arial" w:cs="Arial" w:eastAsia="Arial" w:hAnsi="Arial"/>
      <w:color w:val="5B9BD5"/>
      <w:sz w:val="24"/>
      <w:szCs w:val="24"/>
    </w:rPr>
  </w:style>
  <w:style w:type="paragraph" w:styleId="Heading1">
    <w:name w:val="Heading 1"/>
    <w:basedOn w:val="Normal"/>
    <w:next w:val="Normal"/>
    <w:pPr>
      <w:spacing w:before="360" w:after="120"/>
      <w:outlineLvl w:val="0"/>
    </w:pPr>
    <w:rPr>
      <w:rFonts w:ascii="Arial" w:cs="Arial" w:eastAsia="Arial" w:hAnsi="Arial"/>
      <w:b/>
      <w:bCs/>
      <w:color w:val="1F4E78"/>
      <w:sz w:val="28"/>
      <w:szCs w:val="28"/>
    </w:rPr>
  </w:style>
  <w:style w:type="paragraph" w:styleId="Heading2">
    <w:name w:val="Heading 2"/>
    <w:basedOn w:val="Normal"/>
    <w:next w:val="Normal"/>
    <w:pPr>
      <w:spacing w:before="240" w:after="120"/>
      <w:outlineLvl w:val="1"/>
    </w:pPr>
    <w:rPr>
      <w:rFonts w:ascii="Arial" w:cs="Arial" w:eastAsia="Arial" w:hAnsi="Arial"/>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9qq43rg5sm9ns4_zzwen7" Type="http://schemas.openxmlformats.org/officeDocument/2006/relationships/hyperlink" Target="https://public.tableau.com/app/profile/timothy.tshimauswu4603/viz/CallCentrePerformanceDashboard_17665283843880/CallCentrePerformanceDashboard-ExecutiveKPIMonitoring" TargetMode="External"/><Relationship Id="rId7gxhr6roynwvnc07sgcaz" Type="http://schemas.openxmlformats.org/officeDocument/2006/relationships/hyperlink" Target="https://github.com/TimothyTshimauswu/Call-Center-Performance-Dashboard" TargetMode="External"/><Relationship Id="rIdhpad1w7ahr9sihyqowfxm" Type="http://schemas.openxmlformats.org/officeDocument/2006/relationships/hyperlink" Target="https://www.linkedin.com/in/utshimauswu"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2025-12-23T22:32:57.883Z</dcterms:created>
  <dcterms:modified xsi:type="dcterms:W3CDTF">2025-12-23T22:32:57.884Z</dcterms:modified>
</cp:coreProperties>
</file>

<file path=docProps/custom.xml><?xml version="1.0" encoding="utf-8"?>
<Properties xmlns="http://schemas.openxmlformats.org/officeDocument/2006/custom-properties" xmlns:vt="http://schemas.openxmlformats.org/officeDocument/2006/docPropsVTypes"/>
</file>