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i w:val="0"/>
          <w:color w:val="000000"/>
          <w:sz w:val="32"/>
        </w:rPr>
        <w:t>Mathematical Physics and Analysis Sample</w:t>
      </w:r>
    </w:p>
    <w:p>
      <w:pPr>
        <w:spacing w:line="276" w:lineRule="auto" w:after="120"/>
      </w:pPr>
      <w:r>
        <w:t>This document provides a comprehensive test suite of mathematical expressions written in LaTeX notation embedded within Markdown. It includes inline Greek characters, fractions, summations, integrals, matrices, subscripts, superscripts, tables with formulas, and numbered display equations.</w:t>
      </w:r>
    </w:p>
    <w:p>
      <w:pPr>
        <w:pStyle w:val="Heading2"/>
        <w:spacing w:before="240" w:after="80"/>
      </w:pPr>
      <w:r>
        <w:rPr>
          <w:rFonts w:ascii="Times New Roman" w:hAnsi="Times New Roman"/>
          <w:b/>
          <w:i w:val="0"/>
          <w:color w:val="1E1E1E"/>
          <w:sz w:val="28"/>
        </w:rPr>
        <w:t>1. Introduction and Inline Notations</w:t>
      </w:r>
    </w:p>
    <w:p>
      <w:pPr>
        <w:spacing w:line="276" w:lineRule="auto" w:after="120"/>
      </w:pPr>
      <w:r>
        <w:t xml:space="preserve">Let </w:t>
      </w:r>
      <m:oMath xmlns:mml="http://www.w3.org/1998/Math/MathML">
        <m:r>
          <m:t>α,β,γ∈𝐑</m:t>
        </m:r>
      </m:oMath>
      <w:r>
        <w:t xml:space="preserve"> represent scalar parameters, while </w:t>
      </w:r>
      <m:oMath xmlns:mml="http://www.w3.org/1998/Math/MathML">
        <m:r>
          <m:t>θ</m:t>
        </m:r>
      </m:oMath>
      <w:r>
        <w:t xml:space="preserve"> and </w:t>
      </w:r>
      <m:oMath xmlns:mml="http://www.w3.org/1998/Math/MathML">
        <m:r>
          <m:t>ϕ</m:t>
        </m:r>
      </m:oMath>
      <w:r>
        <w:t xml:space="preserve"> denote spherical angular coordinates. In quantum mechanics, the wavevector is </w:t>
      </w:r>
      <m:oMath xmlns:mml="http://www.w3.org/1998/Math/MathML">
        <m:r>
          <m:t>𝐤</m:t>
        </m:r>
      </m:oMath>
      <w:r>
        <w:t xml:space="preserve"> with magnitude </w:t>
      </w:r>
      <m:oMath xmlns:mml="http://www.w3.org/1998/Math/MathML">
        <m:r>
          <m:t>k=</m:t>
        </m:r>
        <m:f>
          <m:fPr>
            <m:type m:val="bar"/>
          </m:fPr>
          <m:num>
            <m:r>
              <m:t>2π</m:t>
            </m:r>
          </m:num>
          <m:den>
            <m:r>
              <m:t>λ</m:t>
            </m:r>
          </m:den>
        </m:f>
      </m:oMath>
      <w:r>
        <w:t xml:space="preserve">, and the reduced Planck constant is </w:t>
      </w:r>
      <m:oMath xmlns:mml="http://www.w3.org/1998/Math/MathML">
        <m:r>
          <m:t>ℏ≈1.05457×</m:t>
        </m:r>
        <m:sSup>
          <m:e>
            <m:r>
              <m:t>10</m:t>
            </m:r>
          </m:e>
          <m:sup>
            <m:r>
              <m:t>−34</m:t>
            </m:r>
          </m:sup>
        </m:sSup>
        <m:r>
          <m:rPr>
            <m:sty m:val="p"/>
          </m:rPr>
          <m:t>J</m:t>
        </m:r>
        <m:r>
          <m:t>·s</m:t>
        </m:r>
      </m:oMath>
      <w:r>
        <w:t>.</w:t>
      </w:r>
    </w:p>
    <w:p>
      <w:pPr>
        <w:spacing w:line="276" w:lineRule="auto" w:after="120"/>
      </w:pPr>
      <w:r>
        <w:t xml:space="preserve">Inline expressions such as </w:t>
      </w:r>
      <m:oMath xmlns:mml="http://www.w3.org/1998/Math/MathML">
        <m:sSub>
          <m:e>
            <m:r>
              <m:t>a</m:t>
            </m:r>
          </m:e>
          <m:sub>
            <m:r>
              <m:t>i</m:t>
            </m:r>
          </m:sub>
        </m:sSub>
        <m:sSup>
          <m:e>
            <m:r>
              <m:t>x</m:t>
            </m:r>
          </m:e>
          <m:sup>
            <m:r>
              <m:t>i</m:t>
            </m:r>
          </m:sup>
        </m:sSup>
        <m:r>
          <m:t>+</m:t>
        </m:r>
        <m:sSub>
          <m:e>
            <m:r>
              <m:t>b</m:t>
            </m:r>
          </m:e>
          <m:sub>
            <m:r>
              <m:t>j</m:t>
            </m:r>
          </m:sub>
        </m:sSub>
        <m:sSup>
          <m:e>
            <m:r>
              <m:t>y</m:t>
            </m:r>
          </m:e>
          <m:sup>
            <m:r>
              <m:t>j</m:t>
            </m:r>
          </m:sup>
        </m:sSup>
        <m:r>
          <m:t>=</m:t>
        </m:r>
        <m:sSub>
          <m:e>
            <m:r>
              <m:t>c</m:t>
            </m:r>
          </m:e>
          <m:sub>
            <m:r>
              <m:t>k</m:t>
            </m:r>
          </m:sub>
        </m:sSub>
        <m:sSup>
          <m:e>
            <m:r>
              <m:t>z</m:t>
            </m:r>
          </m:e>
          <m:sup>
            <m:r>
              <m:t>k</m:t>
            </m:r>
          </m:sup>
        </m:sSup>
      </m:oMath>
      <w:r>
        <w:t xml:space="preserve"> demonstrate mixed subscripting and superscripting. Standard kinetic energy is expressed as </w:t>
      </w:r>
      <m:oMath xmlns:mml="http://www.w3.org/1998/Math/MathML">
        <m:r>
          <m:t>T=</m:t>
        </m:r>
        <m:f>
          <m:fPr>
            <m:type m:val="bar"/>
          </m:fPr>
          <m:num>
            <m:r>
              <m:t>1</m:t>
            </m:r>
          </m:num>
          <m:den>
            <m:r>
              <m:t>2</m:t>
            </m:r>
          </m:den>
        </m:f>
        <m:r>
          <m:t>m</m:t>
        </m:r>
        <m:sSup>
          <m:e>
            <m:r>
              <m:t>v</m:t>
            </m:r>
          </m:e>
          <m:sup>
            <m:r>
              <m:t>2</m:t>
            </m:r>
          </m:sup>
        </m:sSup>
      </m:oMath>
      <w:r>
        <w:t xml:space="preserve">, and the relativistic mass-energy equivalence is </w:t>
      </w:r>
      <m:oMath xmlns:mml="http://www.w3.org/1998/Math/MathML">
        <m:sSub>
          <m:e>
            <m:r>
              <m:t>E</m:t>
            </m:r>
          </m:e>
          <m:sub>
            <m:r>
              <m:t>0</m:t>
            </m:r>
          </m:sub>
        </m:sSub>
        <m:r>
          <m:t>=</m:t>
        </m:r>
        <m:sSub>
          <m:e>
            <m:r>
              <m:t>m</m:t>
            </m:r>
          </m:e>
          <m:sub>
            <m:r>
              <m:t>0</m:t>
            </m:r>
          </m:sub>
        </m:sSub>
        <m:sSup>
          <m:e>
            <m:r>
              <m:t>c</m:t>
            </m:r>
          </m:e>
          <m:sup>
            <m:r>
              <m:t>2</m:t>
            </m:r>
          </m:sup>
        </m:sSup>
      </m:oMath>
      <w:r>
        <w:t>.</w:t>
      </w:r>
    </w:p>
    <w:p>
      <w:pPr>
        <w:pStyle w:val="Heading2"/>
        <w:spacing w:before="240" w:after="80"/>
      </w:pPr>
      <w:r>
        <w:rPr>
          <w:rFonts w:ascii="Times New Roman" w:hAnsi="Times New Roman"/>
          <w:b/>
          <w:i w:val="0"/>
          <w:color w:val="1E1E1E"/>
          <w:sz w:val="28"/>
        </w:rPr>
        <w:t>2. Fundamental Display Equations</w:t>
      </w:r>
    </w:p>
    <w:p>
      <w:pPr>
        <w:spacing w:line="276" w:lineRule="auto" w:after="120"/>
      </w:pPr>
      <w:r>
        <w:t>Below are 10 display equations designed to evaluate OMML conversion, formatting, and automatic equation numbering.</w:t>
      </w:r>
    </w:p>
    <w:p>
      <w:pPr>
        <w:pStyle w:val="Heading3"/>
        <w:spacing w:before="160" w:after="40"/>
      </w:pPr>
      <w:r>
        <w:rPr>
          <w:rFonts w:ascii="Times New Roman" w:hAnsi="Times New Roman"/>
          <w:b/>
          <w:i/>
          <w:color w:val="323232"/>
          <w:sz w:val="24"/>
        </w:rPr>
        <w:t>Equation 1: Quadratic Roots</w:t>
      </w:r>
    </w:p>
    <w:p>
      <w:pPr>
        <w:spacing w:line="276" w:lineRule="auto" w:after="120"/>
      </w:pPr>
      <w:r>
        <w:t xml:space="preserve">The analytic solution for the roots of any quadratic polynomial </w:t>
      </w:r>
      <m:oMath xmlns:mml="http://www.w3.org/1998/Math/MathML">
        <m:r>
          <m:t>a</m:t>
        </m:r>
        <m:sSup>
          <m:e>
            <m:r>
              <m:t>x</m:t>
            </m:r>
          </m:e>
          <m:sup>
            <m:r>
              <m:t>2</m:t>
            </m:r>
          </m:sup>
        </m:sSup>
        <m:r>
          <m:t>+bx+c=0</m:t>
        </m:r>
      </m:oMath>
      <w:r>
        <w:t>:</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6912"/>
        <w:gridCol w:w="1584"/>
      </w:tblGrid>
      <w:tr>
        <w:tc>
          <w:tcPr>
            <w:tcW w:type="dxa" w:w="3120"/>
          </w:tcPr>
          <w:p>
            <w:pPr>
              <w:spacing w:before="80" w:after="80"/>
            </w:pPr>
          </w:p>
        </w:tc>
        <w:tc>
          <w:tcPr>
            <w:tcW w:type="dxa" w:w="3120"/>
          </w:tcPr>
          <w:p>
            <w:pPr>
              <w:spacing w:before="80" w:after="80"/>
              <w:jc w:val="center"/>
            </w:pPr>
            <m:oMath xmlns:mml="http://www.w3.org/1998/Math/MathML">
              <m:r>
                <m:t>x=</m:t>
              </m:r>
              <m:f>
                <m:fPr>
                  <m:type m:val="bar"/>
                </m:fPr>
                <m:num>
                  <m:r>
                    <m:t>−b±</m:t>
                  </m:r>
                  <m:rad>
                    <m:radPr>
                      <m:degHide m:val="on"/>
                    </m:radPr>
                    <m:deg/>
                    <m:e>
                      <m:sSup>
                        <m:e>
                          <m:r>
                            <m:t>b</m:t>
                          </m:r>
                        </m:e>
                        <m:sup>
                          <m:r>
                            <m:t>2</m:t>
                          </m:r>
                        </m:sup>
                      </m:sSup>
                      <m:r>
                        <m:t>−4ac</m:t>
                      </m:r>
                    </m:e>
                  </m:rad>
                </m:num>
                <m:den>
                  <m:r>
                    <m:t>2a</m:t>
                  </m:r>
                </m:den>
              </m:f>
            </m:oMath>
          </w:p>
        </w:tc>
        <w:tc>
          <w:tcPr>
            <w:tcW w:type="dxa" w:w="3120"/>
          </w:tcPr>
          <w:p>
            <w:pPr>
              <w:spacing w:before="80" w:after="80"/>
              <w:jc w:val="right"/>
            </w:pPr>
            <w:r>
              <w:rPr>
                <w:rFonts w:ascii="Cambria Math" w:hAnsi="Cambria Math"/>
                <w:sz w:val="24"/>
              </w:rPr>
              <w:t>(1)</w:t>
            </w:r>
          </w:p>
        </w:tc>
      </w:tr>
    </w:tbl>
    <w:p>
      <w:pPr>
        <w:pStyle w:val="Heading3"/>
        <w:spacing w:before="160" w:after="40"/>
      </w:pPr>
      <w:r>
        <w:rPr>
          <w:rFonts w:ascii="Times New Roman" w:hAnsi="Times New Roman"/>
          <w:b/>
          <w:i/>
          <w:color w:val="323232"/>
          <w:sz w:val="24"/>
        </w:rPr>
        <w:t>Equation 2: Euler's Identity</w:t>
      </w:r>
    </w:p>
    <w:p>
      <w:pPr>
        <w:spacing w:line="276" w:lineRule="auto" w:after="120"/>
      </w:pPr>
      <w:r>
        <w:t xml:space="preserve">Connecting fundamental mathematical constants </w:t>
      </w:r>
      <m:oMath xmlns:mml="http://www.w3.org/1998/Math/MathML">
        <m:r>
          <m:t>e</m:t>
        </m:r>
      </m:oMath>
      <w:r>
        <w:t xml:space="preserve">, </w:t>
      </w:r>
      <m:oMath xmlns:mml="http://www.w3.org/1998/Math/MathML">
        <m:r>
          <m:t>i</m:t>
        </m:r>
      </m:oMath>
      <w:r>
        <w:t xml:space="preserve">, </w:t>
      </w:r>
      <m:oMath xmlns:mml="http://www.w3.org/1998/Math/MathML">
        <m:r>
          <m:t>π</m:t>
        </m:r>
      </m:oMath>
      <w:r>
        <w:t xml:space="preserve">, </w:t>
      </w:r>
      <m:oMath xmlns:mml="http://www.w3.org/1998/Math/MathML">
        <m:r>
          <m:t>1</m:t>
        </m:r>
      </m:oMath>
      <w:r>
        <w:t xml:space="preserve">, and </w:t>
      </w:r>
      <m:oMath xmlns:mml="http://www.w3.org/1998/Math/MathML">
        <m:r>
          <m:t>0</m:t>
        </m:r>
      </m:oMath>
      <w:r>
        <w:t>:</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6912"/>
        <w:gridCol w:w="1584"/>
      </w:tblGrid>
      <w:tr>
        <w:tc>
          <w:tcPr>
            <w:tcW w:type="dxa" w:w="3120"/>
          </w:tcPr>
          <w:p>
            <w:pPr>
              <w:spacing w:before="80" w:after="80"/>
            </w:pPr>
          </w:p>
        </w:tc>
        <w:tc>
          <w:tcPr>
            <w:tcW w:type="dxa" w:w="3120"/>
          </w:tcPr>
          <w:p>
            <w:pPr>
              <w:spacing w:before="80" w:after="80"/>
              <w:jc w:val="center"/>
            </w:pPr>
            <m:oMath xmlns:mml="http://www.w3.org/1998/Math/MathML">
              <m:sSup>
                <m:e>
                  <m:r>
                    <m:t>e</m:t>
                  </m:r>
                </m:e>
                <m:sup>
                  <m:r>
                    <m:t>iπ</m:t>
                  </m:r>
                </m:sup>
              </m:sSup>
              <m:r>
                <m:t>+1=0</m:t>
              </m:r>
            </m:oMath>
          </w:p>
        </w:tc>
        <w:tc>
          <w:tcPr>
            <w:tcW w:type="dxa" w:w="3120"/>
          </w:tcPr>
          <w:p>
            <w:pPr>
              <w:spacing w:before="80" w:after="80"/>
              <w:jc w:val="right"/>
            </w:pPr>
            <w:r>
              <w:rPr>
                <w:rFonts w:ascii="Cambria Math" w:hAnsi="Cambria Math"/>
                <w:sz w:val="24"/>
              </w:rPr>
              <w:t>(2)</w:t>
            </w:r>
          </w:p>
        </w:tc>
      </w:tr>
    </w:tbl>
    <w:p>
      <w:pPr>
        <w:pStyle w:val="Heading3"/>
        <w:spacing w:before="160" w:after="40"/>
      </w:pPr>
      <w:r>
        <w:rPr>
          <w:rFonts w:ascii="Times New Roman" w:hAnsi="Times New Roman"/>
          <w:b/>
          <w:i/>
          <w:color w:val="323232"/>
          <w:sz w:val="24"/>
        </w:rPr>
        <w:t>Equation 3: Normal Probability Distribution</w:t>
      </w:r>
    </w:p>
    <w:p>
      <w:pPr>
        <w:spacing w:line="276" w:lineRule="auto" w:after="120"/>
      </w:pPr>
      <w:r>
        <w:t xml:space="preserve">The probability density function of a Gaussian distribution with mean </w:t>
      </w:r>
      <m:oMath xmlns:mml="http://www.w3.org/1998/Math/MathML">
        <m:r>
          <m:t>μ</m:t>
        </m:r>
      </m:oMath>
      <w:r>
        <w:t xml:space="preserve"> and variance </w:t>
      </w:r>
      <m:oMath xmlns:mml="http://www.w3.org/1998/Math/MathML">
        <m:sSup>
          <m:e>
            <m:r>
              <m:t>σ</m:t>
            </m:r>
          </m:e>
          <m:sup>
            <m:r>
              <m:t>2</m:t>
            </m:r>
          </m:sup>
        </m:sSup>
      </m:oMath>
      <w:r>
        <w:t>:</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6912"/>
        <w:gridCol w:w="1584"/>
      </w:tblGrid>
      <w:tr>
        <w:tc>
          <w:tcPr>
            <w:tcW w:type="dxa" w:w="3120"/>
          </w:tcPr>
          <w:p>
            <w:pPr>
              <w:spacing w:before="80" w:after="80"/>
            </w:pPr>
          </w:p>
        </w:tc>
        <w:tc>
          <w:tcPr>
            <w:tcW w:type="dxa" w:w="3120"/>
          </w:tcPr>
          <w:p>
            <w:pPr>
              <w:spacing w:before="80" w:after="80"/>
              <w:jc w:val="center"/>
            </w:pPr>
            <m:oMath xmlns:mml="http://www.w3.org/1998/Math/MathML">
              <m:r>
                <m:t>f(x;μ,</m:t>
              </m:r>
              <m:sSup>
                <m:e>
                  <m:r>
                    <m:t>σ</m:t>
                  </m:r>
                </m:e>
                <m:sup>
                  <m:r>
                    <m:t>2</m:t>
                  </m:r>
                </m:sup>
              </m:sSup>
              <m:r>
                <m:t>)=</m:t>
              </m:r>
              <m:f>
                <m:fPr>
                  <m:type m:val="bar"/>
                </m:fPr>
                <m:num>
                  <m:r>
                    <m:t>1</m:t>
                  </m:r>
                </m:num>
                <m:den>
                  <m:r>
                    <m:t>σ</m:t>
                  </m:r>
                  <m:rad>
                    <m:radPr>
                      <m:degHide m:val="on"/>
                    </m:radPr>
                    <m:deg/>
                    <m:e>
                      <m:r>
                        <m:t>2π</m:t>
                      </m:r>
                    </m:e>
                  </m:rad>
                </m:den>
              </m:f>
              <m:r>
                <m:rPr>
                  <m:sty m:val="p"/>
                </m:rPr>
                <m:t>exp</m:t>
              </m:r>
              <m:r>
                <m:t>(−</m:t>
              </m:r>
              <m:f>
                <m:fPr>
                  <m:type m:val="bar"/>
                </m:fPr>
                <m:num>
                  <m:r>
                    <m:t>(x−μ</m:t>
                  </m:r>
                  <m:sSup>
                    <m:e>
                      <m:r>
                        <m:t>)</m:t>
                      </m:r>
                    </m:e>
                    <m:sup>
                      <m:r>
                        <m:t>2</m:t>
                      </m:r>
                    </m:sup>
                  </m:sSup>
                </m:num>
                <m:den>
                  <m:r>
                    <m:t>2</m:t>
                  </m:r>
                  <m:sSup>
                    <m:e>
                      <m:r>
                        <m:t>σ</m:t>
                      </m:r>
                    </m:e>
                    <m:sup>
                      <m:r>
                        <m:t>2</m:t>
                      </m:r>
                    </m:sup>
                  </m:sSup>
                </m:den>
              </m:f>
              <m:r>
                <m:t>)</m:t>
              </m:r>
            </m:oMath>
          </w:p>
        </w:tc>
        <w:tc>
          <w:tcPr>
            <w:tcW w:type="dxa" w:w="3120"/>
          </w:tcPr>
          <w:p>
            <w:pPr>
              <w:spacing w:before="80" w:after="80"/>
              <w:jc w:val="right"/>
            </w:pPr>
            <w:r>
              <w:rPr>
                <w:rFonts w:ascii="Cambria Math" w:hAnsi="Cambria Math"/>
                <w:sz w:val="24"/>
              </w:rPr>
              <w:t>(3)</w:t>
            </w:r>
          </w:p>
        </w:tc>
      </w:tr>
    </w:tbl>
    <w:p>
      <w:pPr>
        <w:pStyle w:val="Heading3"/>
        <w:spacing w:before="160" w:after="40"/>
      </w:pPr>
      <w:r>
        <w:rPr>
          <w:rFonts w:ascii="Times New Roman" w:hAnsi="Times New Roman"/>
          <w:b/>
          <w:i/>
          <w:color w:val="323232"/>
          <w:sz w:val="24"/>
        </w:rPr>
        <w:t>Equation 4: Gamma Function Integral</w:t>
      </w:r>
    </w:p>
    <w:p>
      <w:pPr>
        <w:spacing w:line="276" w:lineRule="auto" w:after="120"/>
      </w:pPr>
      <w:r>
        <w:t xml:space="preserve">The integral representation of the Gamma function </w:t>
      </w:r>
      <m:oMath xmlns:mml="http://www.w3.org/1998/Math/MathML">
        <m:r>
          <m:t>Γ(z)</m:t>
        </m:r>
      </m:oMath>
      <w:r>
        <w:t xml:space="preserve"> for </w:t>
      </w:r>
      <m:oMath xmlns:mml="http://www.w3.org/1998/Math/MathML">
        <m:r>
          <m:rPr>
            <m:sty m:val="p"/>
          </m:rPr>
          <m:t>Re</m:t>
        </m:r>
        <m:r>
          <m:t>(z)&gt;0</m:t>
        </m:r>
      </m:oMath>
      <w:r>
        <w:t>:</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6912"/>
        <w:gridCol w:w="1584"/>
      </w:tblGrid>
      <w:tr>
        <w:tc>
          <w:tcPr>
            <w:tcW w:type="dxa" w:w="3120"/>
          </w:tcPr>
          <w:p>
            <w:pPr>
              <w:spacing w:before="80" w:after="80"/>
            </w:pPr>
          </w:p>
        </w:tc>
        <w:tc>
          <w:tcPr>
            <w:tcW w:type="dxa" w:w="3120"/>
          </w:tcPr>
          <w:p>
            <w:pPr>
              <w:spacing w:before="80" w:after="80"/>
              <w:jc w:val="center"/>
            </w:pPr>
            <m:oMath xmlns:mml="http://www.w3.org/1998/Math/MathML">
              <m:r>
                <m:t>Γ(z)=</m:t>
              </m:r>
              <m:nary>
                <m:naryPr>
                  <m:chr m:val="∫"/>
                  <m:limLoc m:val="subSup"/>
                  <m:grow m:val="1"/>
                  <m:subHide m:val="off"/>
                  <m:supHide m:val="off"/>
                </m:naryPr>
                <m:sub>
                  <m:r>
                    <m:t>0</m:t>
                  </m:r>
                </m:sub>
                <m:sup>
                  <m:r>
                    <m:t>∞</m:t>
                  </m:r>
                </m:sup>
                <m:e/>
              </m:nary>
              <m:sSup>
                <m:e>
                  <m:r>
                    <m:t>t</m:t>
                  </m:r>
                </m:e>
                <m:sup>
                  <m:r>
                    <m:t>z−1</m:t>
                  </m:r>
                </m:sup>
              </m:sSup>
              <m:sSup>
                <m:e>
                  <m:r>
                    <m:t>e</m:t>
                  </m:r>
                </m:e>
                <m:sup>
                  <m:r>
                    <m:t>−t</m:t>
                  </m:r>
                </m:sup>
              </m:sSup>
              <m:r>
                <m:t>dt</m:t>
              </m:r>
            </m:oMath>
          </w:p>
        </w:tc>
        <w:tc>
          <w:tcPr>
            <w:tcW w:type="dxa" w:w="3120"/>
          </w:tcPr>
          <w:p>
            <w:pPr>
              <w:spacing w:before="80" w:after="80"/>
              <w:jc w:val="right"/>
            </w:pPr>
            <w:r>
              <w:rPr>
                <w:rFonts w:ascii="Cambria Math" w:hAnsi="Cambria Math"/>
                <w:sz w:val="24"/>
              </w:rPr>
              <w:t>(4)</w:t>
            </w:r>
          </w:p>
        </w:tc>
      </w:tr>
    </w:tbl>
    <w:p>
      <w:pPr>
        <w:pStyle w:val="Heading3"/>
        <w:spacing w:before="160" w:after="40"/>
      </w:pPr>
      <w:r>
        <w:rPr>
          <w:rFonts w:ascii="Times New Roman" w:hAnsi="Times New Roman"/>
          <w:b/>
          <w:i/>
          <w:color w:val="323232"/>
          <w:sz w:val="24"/>
        </w:rPr>
        <w:t>Equation 5: Riemann Zeta Function and Euler Product</w:t>
      </w:r>
    </w:p>
    <w:p>
      <w:pPr>
        <w:spacing w:line="276" w:lineRule="auto" w:after="120"/>
      </w:pPr>
      <w:r>
        <w:t xml:space="preserve">The Dirichlet series and Euler product over all prime numbers </w:t>
      </w:r>
      <m:oMath xmlns:mml="http://www.w3.org/1998/Math/MathML">
        <m:r>
          <m:t>p</m:t>
        </m:r>
      </m:oMath>
      <w:r>
        <w:t>:</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6912"/>
        <w:gridCol w:w="1584"/>
      </w:tblGrid>
      <w:tr>
        <w:tc>
          <w:tcPr>
            <w:tcW w:type="dxa" w:w="3120"/>
          </w:tcPr>
          <w:p>
            <w:pPr>
              <w:spacing w:before="80" w:after="80"/>
            </w:pPr>
          </w:p>
        </w:tc>
        <w:tc>
          <w:tcPr>
            <w:tcW w:type="dxa" w:w="3120"/>
          </w:tcPr>
          <w:p>
            <w:pPr>
              <w:spacing w:before="80" w:after="80"/>
              <w:jc w:val="center"/>
            </w:pPr>
            <m:oMath xmlns:mml="http://www.w3.org/1998/Math/MathML">
              <m:r>
                <m:t>ζ(s)=</m:t>
              </m:r>
              <m:nary>
                <m:naryPr>
                  <m:chr m:val="∑"/>
                  <m:limLoc m:val="subSup"/>
                  <m:grow m:val="1"/>
                  <m:subHide m:val="off"/>
                  <m:supHide m:val="off"/>
                </m:naryPr>
                <m:sub>
                  <m:r>
                    <m:t>n=1</m:t>
                  </m:r>
                </m:sub>
                <m:sup>
                  <m:r>
                    <m:t>∞</m:t>
                  </m:r>
                </m:sup>
                <m:e/>
              </m:nary>
              <m:f>
                <m:fPr>
                  <m:type m:val="bar"/>
                </m:fPr>
                <m:num>
                  <m:r>
                    <m:t>1</m:t>
                  </m:r>
                </m:num>
                <m:den>
                  <m:sSup>
                    <m:e>
                      <m:r>
                        <m:t>n</m:t>
                      </m:r>
                    </m:e>
                    <m:sup>
                      <m:r>
                        <m:t>s</m:t>
                      </m:r>
                    </m:sup>
                  </m:sSup>
                </m:den>
              </m:f>
              <m:r>
                <m:t>=</m:t>
              </m:r>
              <m:nary>
                <m:naryPr>
                  <m:chr m:val="∏"/>
                  <m:limLoc m:val="subSup"/>
                  <m:grow m:val="1"/>
                  <m:subHide m:val="off"/>
                  <m:supHide m:val="on"/>
                </m:naryPr>
                <m:sub>
                  <m:r>
                    <m:t>p</m:t>
                  </m:r>
                  <m:r>
                    <m:rPr>
                      <m:sty m:val="p"/>
                    </m:rPr>
                    <m:t>prime</m:t>
                  </m:r>
                </m:sub>
                <m:sup/>
                <m:e/>
              </m:nary>
              <m:f>
                <m:fPr>
                  <m:type m:val="bar"/>
                </m:fPr>
                <m:num>
                  <m:r>
                    <m:t>1</m:t>
                  </m:r>
                </m:num>
                <m:den>
                  <m:r>
                    <m:t>1−</m:t>
                  </m:r>
                  <m:sSup>
                    <m:e>
                      <m:r>
                        <m:t>p</m:t>
                      </m:r>
                    </m:e>
                    <m:sup>
                      <m:r>
                        <m:t>−s</m:t>
                      </m:r>
                    </m:sup>
                  </m:sSup>
                </m:den>
              </m:f>
            </m:oMath>
          </w:p>
        </w:tc>
        <w:tc>
          <w:tcPr>
            <w:tcW w:type="dxa" w:w="3120"/>
          </w:tcPr>
          <w:p>
            <w:pPr>
              <w:spacing w:before="80" w:after="80"/>
              <w:jc w:val="right"/>
            </w:pPr>
            <w:r>
              <w:rPr>
                <w:rFonts w:ascii="Cambria Math" w:hAnsi="Cambria Math"/>
                <w:sz w:val="24"/>
              </w:rPr>
              <w:t>(5)</w:t>
            </w:r>
          </w:p>
        </w:tc>
      </w:tr>
    </w:tbl>
    <w:p>
      <w:pPr>
        <w:pStyle w:val="Heading3"/>
        <w:spacing w:before="160" w:after="40"/>
      </w:pPr>
      <w:r>
        <w:rPr>
          <w:rFonts w:ascii="Times New Roman" w:hAnsi="Times New Roman"/>
          <w:b/>
          <w:i/>
          <w:color w:val="323232"/>
          <w:sz w:val="24"/>
        </w:rPr>
        <w:t>Equation 6: Continuous Fourier Transform</w:t>
      </w:r>
    </w:p>
    <w:p>
      <w:pPr>
        <w:spacing w:line="276" w:lineRule="auto" w:after="120"/>
      </w:pPr>
      <w:r>
        <w:t xml:space="preserve">The continuous forward Fourier transform decomposing a function </w:t>
      </w:r>
      <m:oMath xmlns:mml="http://www.w3.org/1998/Math/MathML">
        <m:r>
          <m:t>f(x)</m:t>
        </m:r>
      </m:oMath>
      <w:r>
        <w:t xml:space="preserve"> into frequency components </w:t>
      </w:r>
      <m:oMath xmlns:mml="http://www.w3.org/1998/Math/MathML">
        <m:r>
          <m:t>ξ</m:t>
        </m:r>
      </m:oMath>
      <w:r>
        <w:t>:</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6912"/>
        <w:gridCol w:w="1584"/>
      </w:tblGrid>
      <w:tr>
        <w:tc>
          <w:tcPr>
            <w:tcW w:type="dxa" w:w="3120"/>
          </w:tcPr>
          <w:p>
            <w:pPr>
              <w:spacing w:before="80" w:after="80"/>
            </w:pPr>
          </w:p>
        </w:tc>
        <w:tc>
          <w:tcPr>
            <w:tcW w:type="dxa" w:w="3120"/>
          </w:tcPr>
          <w:p>
            <w:pPr>
              <w:spacing w:before="80" w:after="80"/>
              <w:jc w:val="center"/>
            </w:pPr>
            <m:oMath xmlns:mml="http://www.w3.org/1998/Math/MathML">
              <m:limUpp>
                <m:e>
                  <m:r>
                    <m:t>f</m:t>
                  </m:r>
                </m:e>
                <m:lim>
                  <m:r>
                    <m:t>^</m:t>
                  </m:r>
                </m:lim>
              </m:limUpp>
              <m:r>
                <m:t>(ξ)=</m:t>
              </m:r>
              <m:nary>
                <m:naryPr>
                  <m:chr m:val="∫"/>
                  <m:limLoc m:val="subSup"/>
                  <m:grow m:val="1"/>
                  <m:subHide m:val="off"/>
                  <m:supHide m:val="off"/>
                </m:naryPr>
                <m:sub>
                  <m:r>
                    <m:t>−∞</m:t>
                  </m:r>
                </m:sub>
                <m:sup>
                  <m:r>
                    <m:t>∞</m:t>
                  </m:r>
                </m:sup>
                <m:e/>
              </m:nary>
              <m:r>
                <m:t>f(x)</m:t>
              </m:r>
              <m:sSup>
                <m:e>
                  <m:r>
                    <m:t>e</m:t>
                  </m:r>
                </m:e>
                <m:sup>
                  <m:r>
                    <m:t>−2πixξ</m:t>
                  </m:r>
                </m:sup>
              </m:sSup>
              <m:r>
                <m:t>dx</m:t>
              </m:r>
            </m:oMath>
          </w:p>
        </w:tc>
        <w:tc>
          <w:tcPr>
            <w:tcW w:type="dxa" w:w="3120"/>
          </w:tcPr>
          <w:p>
            <w:pPr>
              <w:spacing w:before="80" w:after="80"/>
              <w:jc w:val="right"/>
            </w:pPr>
            <w:r>
              <w:rPr>
                <w:rFonts w:ascii="Cambria Math" w:hAnsi="Cambria Math"/>
                <w:sz w:val="24"/>
              </w:rPr>
              <w:t>(6)</w:t>
            </w:r>
          </w:p>
        </w:tc>
      </w:tr>
    </w:tbl>
    <w:p>
      <w:pPr>
        <w:pStyle w:val="Heading3"/>
        <w:spacing w:before="160" w:after="40"/>
      </w:pPr>
      <w:r>
        <w:rPr>
          <w:rFonts w:ascii="Times New Roman" w:hAnsi="Times New Roman"/>
          <w:b/>
          <w:i/>
          <w:color w:val="323232"/>
          <w:sz w:val="24"/>
        </w:rPr>
        <w:t>Equation 7: Maxwell's First Equation (Gauss's Law)</w:t>
      </w:r>
    </w:p>
    <w:p>
      <w:pPr>
        <w:spacing w:line="276" w:lineRule="auto" w:after="120"/>
      </w:pPr>
      <w:r>
        <w:t xml:space="preserve">The differential formulation of Gauss's law for the electric field </w:t>
      </w:r>
      <m:oMath xmlns:mml="http://www.w3.org/1998/Math/MathML">
        <m:r>
          <m:t>𝐄</m:t>
        </m:r>
      </m:oMath>
      <w:r>
        <w:t xml:space="preserve"> given charge density </w:t>
      </w:r>
      <m:oMath xmlns:mml="http://www.w3.org/1998/Math/MathML">
        <m:r>
          <m:t>ρ</m:t>
        </m:r>
      </m:oMath>
      <w:r>
        <w:t xml:space="preserve"> and permittivity </w:t>
      </w:r>
      <m:oMath xmlns:mml="http://www.w3.org/1998/Math/MathML">
        <m:sSub>
          <m:e>
            <m:r>
              <m:t>ε</m:t>
            </m:r>
          </m:e>
          <m:sub>
            <m:r>
              <m:t>0</m:t>
            </m:r>
          </m:sub>
        </m:sSub>
      </m:oMath>
      <w:r>
        <w:t>:</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6912"/>
        <w:gridCol w:w="1584"/>
      </w:tblGrid>
      <w:tr>
        <w:tc>
          <w:tcPr>
            <w:tcW w:type="dxa" w:w="3120"/>
          </w:tcPr>
          <w:p>
            <w:pPr>
              <w:spacing w:before="80" w:after="80"/>
            </w:pPr>
          </w:p>
        </w:tc>
        <w:tc>
          <w:tcPr>
            <w:tcW w:type="dxa" w:w="3120"/>
          </w:tcPr>
          <w:p>
            <w:pPr>
              <w:spacing w:before="80" w:after="80"/>
              <w:jc w:val="center"/>
            </w:pPr>
            <m:oMath xmlns:mml="http://www.w3.org/1998/Math/MathML">
              <m:r>
                <m:t>∇·𝐄=</m:t>
              </m:r>
              <m:f>
                <m:fPr>
                  <m:type m:val="bar"/>
                </m:fPr>
                <m:num>
                  <m:r>
                    <m:t>ρ</m:t>
                  </m:r>
                </m:num>
                <m:den>
                  <m:sSub>
                    <m:e>
                      <m:r>
                        <m:t>ε</m:t>
                      </m:r>
                    </m:e>
                    <m:sub>
                      <m:r>
                        <m:t>0</m:t>
                      </m:r>
                    </m:sub>
                  </m:sSub>
                </m:den>
              </m:f>
            </m:oMath>
          </w:p>
        </w:tc>
        <w:tc>
          <w:tcPr>
            <w:tcW w:type="dxa" w:w="3120"/>
          </w:tcPr>
          <w:p>
            <w:pPr>
              <w:spacing w:before="80" w:after="80"/>
              <w:jc w:val="right"/>
            </w:pPr>
            <w:r>
              <w:rPr>
                <w:rFonts w:ascii="Cambria Math" w:hAnsi="Cambria Math"/>
                <w:sz w:val="24"/>
              </w:rPr>
              <w:t>(7)</w:t>
            </w:r>
          </w:p>
        </w:tc>
      </w:tr>
    </w:tbl>
    <w:p>
      <w:pPr>
        <w:pStyle w:val="Heading3"/>
        <w:spacing w:before="160" w:after="40"/>
      </w:pPr>
      <w:r>
        <w:rPr>
          <w:rFonts w:ascii="Times New Roman" w:hAnsi="Times New Roman"/>
          <w:b/>
          <w:i/>
          <w:color w:val="323232"/>
          <w:sz w:val="24"/>
        </w:rPr>
        <w:t>Equation 8: Time-Dependent Schrödinger Equation</w:t>
      </w:r>
    </w:p>
    <w:p>
      <w:pPr>
        <w:spacing w:line="276" w:lineRule="auto" w:after="120"/>
      </w:pPr>
      <w:r>
        <w:t xml:space="preserve">The fundamental evolution equation for a non-relativistic quantum state </w:t>
      </w:r>
      <m:oMath xmlns:mml="http://www.w3.org/1998/Math/MathML">
        <m:r>
          <m:t>|Ψ(t)⟩</m:t>
        </m:r>
      </m:oMath>
      <w:r>
        <w:t>:</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6912"/>
        <w:gridCol w:w="1584"/>
      </w:tblGrid>
      <w:tr>
        <w:tc>
          <w:tcPr>
            <w:tcW w:type="dxa" w:w="3120"/>
          </w:tcPr>
          <w:p>
            <w:pPr>
              <w:spacing w:before="80" w:after="80"/>
            </w:pPr>
          </w:p>
        </w:tc>
        <w:tc>
          <w:tcPr>
            <w:tcW w:type="dxa" w:w="3120"/>
          </w:tcPr>
          <w:p>
            <w:pPr>
              <w:spacing w:before="80" w:after="80"/>
              <w:jc w:val="center"/>
            </w:pPr>
            <m:oMath xmlns:mml="http://www.w3.org/1998/Math/MathML">
              <m:r>
                <m:t>iℏ</m:t>
              </m:r>
              <m:f>
                <m:fPr>
                  <m:type m:val="bar"/>
                </m:fPr>
                <m:num>
                  <m:r>
                    <m:t>∂</m:t>
                  </m:r>
                </m:num>
                <m:den>
                  <m:r>
                    <m:t>∂t</m:t>
                  </m:r>
                </m:den>
              </m:f>
              <m:r>
                <m:t>Ψ(𝐫,t)=</m:t>
              </m:r>
              <m:r>
                <m:t>[−</m:t>
              </m:r>
              <m:f>
                <m:fPr>
                  <m:type m:val="bar"/>
                </m:fPr>
                <m:num>
                  <m:sSup>
                    <m:e>
                      <m:r>
                        <m:t>ℏ</m:t>
                      </m:r>
                    </m:e>
                    <m:sup>
                      <m:r>
                        <m:t>2</m:t>
                      </m:r>
                    </m:sup>
                  </m:sSup>
                </m:num>
                <m:den>
                  <m:r>
                    <m:t>2m</m:t>
                  </m:r>
                </m:den>
              </m:f>
              <m:sSup>
                <m:e>
                  <m:r>
                    <m:t>∇</m:t>
                  </m:r>
                </m:e>
                <m:sup>
                  <m:r>
                    <m:t>2</m:t>
                  </m:r>
                </m:sup>
              </m:sSup>
              <m:r>
                <m:t>+V(𝐫,t)]</m:t>
              </m:r>
              <m:r>
                <m:t>Ψ(𝐫,t)</m:t>
              </m:r>
            </m:oMath>
          </w:p>
        </w:tc>
        <w:tc>
          <w:tcPr>
            <w:tcW w:type="dxa" w:w="3120"/>
          </w:tcPr>
          <w:p>
            <w:pPr>
              <w:spacing w:before="80" w:after="80"/>
              <w:jc w:val="right"/>
            </w:pPr>
            <w:r>
              <w:rPr>
                <w:rFonts w:ascii="Cambria Math" w:hAnsi="Cambria Math"/>
                <w:sz w:val="24"/>
              </w:rPr>
              <w:t>(8)</w:t>
            </w:r>
          </w:p>
        </w:tc>
      </w:tr>
    </w:tbl>
    <w:p>
      <w:pPr>
        <w:pStyle w:val="Heading3"/>
        <w:spacing w:before="160" w:after="40"/>
      </w:pPr>
      <w:r>
        <w:rPr>
          <w:rFonts w:ascii="Times New Roman" w:hAnsi="Times New Roman"/>
          <w:b/>
          <w:i/>
          <w:color w:val="323232"/>
          <w:sz w:val="24"/>
        </w:rPr>
        <w:t>Equation 9: Multi-Order Taylor Series Expansion</w:t>
      </w:r>
    </w:p>
    <w:p>
      <w:pPr>
        <w:spacing w:line="276" w:lineRule="auto" w:after="120"/>
      </w:pPr>
      <w:r>
        <w:t xml:space="preserve">The infinite series expansion of an infinitely differentiable function </w:t>
      </w:r>
      <m:oMath xmlns:mml="http://www.w3.org/1998/Math/MathML">
        <m:r>
          <m:t>f(x)</m:t>
        </m:r>
      </m:oMath>
      <w:r>
        <w:t xml:space="preserve"> centered around point </w:t>
      </w:r>
      <m:oMath xmlns:mml="http://www.w3.org/1998/Math/MathML">
        <m:sSub>
          <m:e>
            <m:r>
              <m:t>x</m:t>
            </m:r>
          </m:e>
          <m:sub>
            <m:r>
              <m:t>0</m:t>
            </m:r>
          </m:sub>
        </m:sSub>
      </m:oMath>
      <w:r>
        <w:t>:</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6912"/>
        <w:gridCol w:w="1584"/>
      </w:tblGrid>
      <w:tr>
        <w:tc>
          <w:tcPr>
            <w:tcW w:type="dxa" w:w="3120"/>
          </w:tcPr>
          <w:p>
            <w:pPr>
              <w:spacing w:before="80" w:after="80"/>
            </w:pPr>
          </w:p>
        </w:tc>
        <w:tc>
          <w:tcPr>
            <w:tcW w:type="dxa" w:w="3120"/>
          </w:tcPr>
          <w:p>
            <w:pPr>
              <w:spacing w:before="80" w:after="80"/>
              <w:jc w:val="center"/>
            </w:pPr>
            <m:oMath xmlns:mml="http://www.w3.org/1998/Math/MathML">
              <m:r>
                <m:t>f(x)=</m:t>
              </m:r>
              <m:nary>
                <m:naryPr>
                  <m:chr m:val="∑"/>
                  <m:limLoc m:val="subSup"/>
                  <m:grow m:val="1"/>
                  <m:subHide m:val="off"/>
                  <m:supHide m:val="off"/>
                </m:naryPr>
                <m:sub>
                  <m:r>
                    <m:t>k=0</m:t>
                  </m:r>
                </m:sub>
                <m:sup>
                  <m:r>
                    <m:t>∞</m:t>
                  </m:r>
                </m:sup>
                <m:e/>
              </m:nary>
              <m:f>
                <m:fPr>
                  <m:type m:val="bar"/>
                </m:fPr>
                <m:num>
                  <m:sSup>
                    <m:e>
                      <m:r>
                        <m:t>f</m:t>
                      </m:r>
                    </m:e>
                    <m:sup>
                      <m:r>
                        <m:t>(k)</m:t>
                      </m:r>
                    </m:sup>
                  </m:sSup>
                  <m:r>
                    <m:t>(</m:t>
                  </m:r>
                  <m:sSub>
                    <m:e>
                      <m:r>
                        <m:t>x</m:t>
                      </m:r>
                    </m:e>
                    <m:sub>
                      <m:r>
                        <m:t>0</m:t>
                      </m:r>
                    </m:sub>
                  </m:sSub>
                  <m:r>
                    <m:t>)</m:t>
                  </m:r>
                </m:num>
                <m:den>
                  <m:r>
                    <m:t>k!</m:t>
                  </m:r>
                </m:den>
              </m:f>
              <m:r>
                <m:t>(x−</m:t>
              </m:r>
              <m:sSub>
                <m:e>
                  <m:r>
                    <m:t>x</m:t>
                  </m:r>
                </m:e>
                <m:sub>
                  <m:r>
                    <m:t>0</m:t>
                  </m:r>
                </m:sub>
              </m:sSub>
              <m:sSup>
                <m:e>
                  <m:r>
                    <m:t>)</m:t>
                  </m:r>
                </m:e>
                <m:sup>
                  <m:r>
                    <m:t>k</m:t>
                  </m:r>
                </m:sup>
              </m:sSup>
            </m:oMath>
          </w:p>
        </w:tc>
        <w:tc>
          <w:tcPr>
            <w:tcW w:type="dxa" w:w="3120"/>
          </w:tcPr>
          <w:p>
            <w:pPr>
              <w:spacing w:before="80" w:after="80"/>
              <w:jc w:val="right"/>
            </w:pPr>
            <w:r>
              <w:rPr>
                <w:rFonts w:ascii="Cambria Math" w:hAnsi="Cambria Math"/>
                <w:sz w:val="24"/>
              </w:rPr>
              <w:t>(9)</w:t>
            </w:r>
          </w:p>
        </w:tc>
      </w:tr>
    </w:tbl>
    <w:p>
      <w:pPr>
        <w:pStyle w:val="Heading3"/>
        <w:spacing w:before="160" w:after="40"/>
      </w:pPr>
      <w:r>
        <w:rPr>
          <w:rFonts w:ascii="Times New Roman" w:hAnsi="Times New Roman"/>
          <w:b/>
          <w:i/>
          <w:color w:val="323232"/>
          <w:sz w:val="24"/>
        </w:rPr>
        <w:t>Equation 10: Matrix Eigenvalue System</w:t>
      </w:r>
    </w:p>
    <w:p>
      <w:pPr>
        <w:spacing w:line="276" w:lineRule="auto" w:after="120"/>
      </w:pPr>
      <w:r>
        <w:t xml:space="preserve">The characteristic system for computing eigenvalues </w:t>
      </w:r>
      <m:oMath xmlns:mml="http://www.w3.org/1998/Math/MathML">
        <m:r>
          <m:t>λ</m:t>
        </m:r>
      </m:oMath>
      <w:r>
        <w:t xml:space="preserve"> and corresponding eigenvectors </w:t>
      </w:r>
      <m:oMath xmlns:mml="http://www.w3.org/1998/Math/MathML">
        <m:r>
          <m:t>𝐯</m:t>
        </m:r>
      </m:oMath>
      <w:r>
        <w:t>:</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6912"/>
        <w:gridCol w:w="1584"/>
      </w:tblGrid>
      <w:tr>
        <w:tc>
          <w:tcPr>
            <w:tcW w:type="dxa" w:w="3120"/>
          </w:tcPr>
          <w:p>
            <w:pPr>
              <w:spacing w:before="80" w:after="80"/>
            </w:pPr>
          </w:p>
        </w:tc>
        <w:tc>
          <w:tcPr>
            <w:tcW w:type="dxa" w:w="3120"/>
          </w:tcPr>
          <w:p>
            <w:pPr>
              <w:spacing w:before="80" w:after="80"/>
              <w:jc w:val="center"/>
            </w:pPr>
            <m:oMath xmlns:mml="http://www.w3.org/1998/Math/MathML">
              <m:r>
                <m:t>(</m:t>
              </m:r>
              <m:m>
                <m:mPr>
                  <m:baseJc m:val="center"/>
                  <m:plcHide m:val="on"/>
                  <m:mcs>
                    <m:mc>
                      <m:mcPr>
                        <m:count m:val="2"/>
                        <m:mcJc m:val="center"/>
                      </m:mcPr>
                    </m:mc>
                  </m:mcs>
                </m:mPr>
                <m:mr>
                  <m:e>
                    <m:sSub>
                      <m:e>
                        <m:r>
                          <m:t>a</m:t>
                        </m:r>
                      </m:e>
                      <m:sub>
                        <m:r>
                          <m:t>11</m:t>
                        </m:r>
                      </m:sub>
                    </m:sSub>
                    <m:r>
                      <m:t>−λ</m:t>
                    </m:r>
                  </m:e>
                  <m:e>
                    <m:sSub>
                      <m:e>
                        <m:r>
                          <m:t>a</m:t>
                        </m:r>
                      </m:e>
                      <m:sub>
                        <m:r>
                          <m:t>12</m:t>
                        </m:r>
                      </m:sub>
                    </m:sSub>
                  </m:e>
                </m:mr>
                <m:mr>
                  <m:e>
                    <m:sSub>
                      <m:e>
                        <m:r>
                          <m:t>a</m:t>
                        </m:r>
                      </m:e>
                      <m:sub>
                        <m:r>
                          <m:t>21</m:t>
                        </m:r>
                      </m:sub>
                    </m:sSub>
                  </m:e>
                  <m:e>
                    <m:sSub>
                      <m:e>
                        <m:r>
                          <m:t>a</m:t>
                        </m:r>
                      </m:e>
                      <m:sub>
                        <m:r>
                          <m:t>22</m:t>
                        </m:r>
                      </m:sub>
                    </m:sSub>
                    <m:r>
                      <m:t>−λ</m:t>
                    </m:r>
                  </m:e>
                </m:mr>
              </m:m>
              <m:r>
                <m:t>)(</m:t>
              </m:r>
              <m:eqArr>
                <m:e>
                  <m:sSub>
                    <m:e>
                      <m:r>
                        <m:t>v</m:t>
                      </m:r>
                    </m:e>
                    <m:sub>
                      <m:r>
                        <m:t>1</m:t>
                      </m:r>
                    </m:sub>
                  </m:sSub>
                </m:e>
                <m:e>
                  <m:sSub>
                    <m:e>
                      <m:r>
                        <m:t>v</m:t>
                      </m:r>
                    </m:e>
                    <m:sub>
                      <m:r>
                        <m:t>2</m:t>
                      </m:r>
                    </m:sub>
                  </m:sSub>
                </m:e>
              </m:eqArr>
              <m:r>
                <m:t>)=(</m:t>
              </m:r>
              <m:eqArr>
                <m:e>
                  <m:r>
                    <m:t>0</m:t>
                  </m:r>
                </m:e>
                <m:e>
                  <m:r>
                    <m:t>0</m:t>
                  </m:r>
                </m:e>
              </m:eqArr>
              <m:r>
                <m:t>)</m:t>
              </m:r>
            </m:oMath>
          </w:p>
        </w:tc>
        <w:tc>
          <w:tcPr>
            <w:tcW w:type="dxa" w:w="3120"/>
          </w:tcPr>
          <w:p>
            <w:pPr>
              <w:spacing w:before="80" w:after="80"/>
              <w:jc w:val="right"/>
            </w:pPr>
            <w:r>
              <w:rPr>
                <w:rFonts w:ascii="Cambria Math" w:hAnsi="Cambria Math"/>
                <w:sz w:val="24"/>
              </w:rPr>
              <w:t>(10)</w:t>
            </w:r>
          </w:p>
        </w:tc>
      </w:tr>
    </w:tbl>
    <w:p>
      <w:pPr>
        <w:pStyle w:val="Heading2"/>
        <w:spacing w:before="240" w:after="80"/>
      </w:pPr>
      <w:r>
        <w:rPr>
          <w:rFonts w:ascii="Times New Roman" w:hAnsi="Times New Roman"/>
          <w:b/>
          <w:i w:val="0"/>
          <w:color w:val="1E1E1E"/>
          <w:sz w:val="28"/>
        </w:rPr>
        <w:t>3. Mathematical Reference Table</w:t>
      </w:r>
    </w:p>
    <w:p>
      <w:pPr>
        <w:spacing w:line="276" w:lineRule="auto" w:after="120"/>
      </w:pPr>
      <w:r>
        <w:t>The following table summarizes common physical quantities, symbols, and mathematical definitions: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2F2F2"/>
          </w:tcPr>
          <w:p>
            <w:pPr>
              <w:spacing w:after="40" w:before="40"/>
            </w:pPr>
            <w:r>
              <w:rPr>
                <w:sz w:val="21"/>
              </w:rPr>
            </w:r>
            <w:r>
              <w:rPr>
                <w:b/>
                <w:sz w:val="21"/>
              </w:rPr>
              <w:t>Quantity</w:t>
            </w:r>
          </w:p>
        </w:tc>
        <w:tc>
          <w:tcPr>
            <w:tcW w:type="dxa" w:w="2340"/>
            <w:shd w:fill="F2F2F2"/>
          </w:tcPr>
          <w:p>
            <w:pPr>
              <w:spacing w:after="40" w:before="40"/>
            </w:pPr>
            <w:r>
              <w:rPr>
                <w:sz w:val="21"/>
              </w:rPr>
            </w:r>
            <w:r>
              <w:rPr>
                <w:b/>
                <w:sz w:val="21"/>
              </w:rPr>
              <w:t>Symbol</w:t>
            </w:r>
          </w:p>
        </w:tc>
        <w:tc>
          <w:tcPr>
            <w:tcW w:type="dxa" w:w="2340"/>
            <w:shd w:fill="F2F2F2"/>
          </w:tcPr>
          <w:p>
            <w:pPr>
              <w:spacing w:after="40" w:before="40"/>
            </w:pPr>
            <w:r>
              <w:rPr>
                <w:sz w:val="21"/>
              </w:rPr>
            </w:r>
            <w:r>
              <w:rPr>
                <w:b/>
                <w:sz w:val="21"/>
              </w:rPr>
              <w:t>Defining Formula</w:t>
            </w:r>
          </w:p>
        </w:tc>
        <w:tc>
          <w:tcPr>
            <w:tcW w:type="dxa" w:w="2340"/>
            <w:shd w:fill="F2F2F2"/>
          </w:tcPr>
          <w:p>
            <w:pPr>
              <w:spacing w:after="40" w:before="40"/>
            </w:pPr>
            <w:r>
              <w:rPr>
                <w:sz w:val="21"/>
              </w:rPr>
            </w:r>
            <w:r>
              <w:rPr>
                <w:b/>
                <w:sz w:val="21"/>
              </w:rPr>
              <w:t>Dimensions / Units</w:t>
            </w:r>
          </w:p>
        </w:tc>
      </w:tr>
      <w:tr>
        <w:tc>
          <w:tcPr>
            <w:tcW w:type="dxa" w:w="2340"/>
          </w:tcPr>
          <w:p>
            <w:pPr>
              <w:spacing w:after="40" w:before="40"/>
            </w:pPr>
            <w:r>
              <w:rPr>
                <w:sz w:val="20"/>
              </w:rPr>
            </w:r>
            <w:r>
              <w:rPr>
                <w:sz w:val="20"/>
              </w:rPr>
              <w:t>Angular Frequency</w:t>
            </w:r>
          </w:p>
        </w:tc>
        <w:tc>
          <w:tcPr>
            <w:tcW w:type="dxa" w:w="2340"/>
          </w:tcPr>
          <w:p>
            <w:pPr>
              <w:spacing w:after="40" w:before="40"/>
            </w:pPr>
            <w:r>
              <w:rPr>
                <w:sz w:val="20"/>
              </w:rPr>
            </w:r>
            <m:oMath xmlns:mml="http://www.w3.org/1998/Math/MathML">
              <m:r>
                <m:t>ω</m:t>
              </m:r>
            </m:oMath>
          </w:p>
        </w:tc>
        <w:tc>
          <w:tcPr>
            <w:tcW w:type="dxa" w:w="2340"/>
          </w:tcPr>
          <w:p>
            <w:pPr>
              <w:spacing w:after="40" w:before="40"/>
            </w:pPr>
            <w:r>
              <w:rPr>
                <w:sz w:val="20"/>
              </w:rPr>
            </w:r>
            <m:oMath xmlns:mml="http://www.w3.org/1998/Math/MathML">
              <m:r>
                <m:t>ω=2πf=</m:t>
              </m:r>
              <m:f>
                <m:fPr>
                  <m:type m:val="bar"/>
                </m:fPr>
                <m:num>
                  <m:r>
                    <m:t>2π</m:t>
                  </m:r>
                </m:num>
                <m:den>
                  <m:r>
                    <m:t>T</m:t>
                  </m:r>
                </m:den>
              </m:f>
            </m:oMath>
          </w:p>
        </w:tc>
        <w:tc>
          <w:tcPr>
            <w:tcW w:type="dxa" w:w="2340"/>
          </w:tcPr>
          <w:p>
            <w:pPr>
              <w:spacing w:after="40" w:before="40"/>
            </w:pPr>
            <w:r>
              <w:rPr>
                <w:sz w:val="20"/>
              </w:rPr>
            </w:r>
            <m:oMath xmlns:mml="http://www.w3.org/1998/Math/MathML">
              <m:r>
                <m:rPr>
                  <m:sty m:val="p"/>
                </m:rPr>
                <m:t>rad</m:t>
              </m:r>
              <m:r>
                <m:t>·</m:t>
              </m:r>
              <m:sSup>
                <m:e>
                  <m:r>
                    <m:t>s</m:t>
                  </m:r>
                </m:e>
                <m:sup>
                  <m:r>
                    <m:t>−1</m:t>
                  </m:r>
                </m:sup>
              </m:sSup>
            </m:oMath>
          </w:p>
        </w:tc>
      </w:tr>
      <w:tr>
        <w:tc>
          <w:tcPr>
            <w:tcW w:type="dxa" w:w="2340"/>
          </w:tcPr>
          <w:p>
            <w:pPr>
              <w:spacing w:after="40" w:before="40"/>
            </w:pPr>
            <w:r>
              <w:rPr>
                <w:sz w:val="20"/>
              </w:rPr>
            </w:r>
            <w:r>
              <w:rPr>
                <w:sz w:val="20"/>
              </w:rPr>
              <w:t>Momentum Operator</w:t>
            </w:r>
          </w:p>
        </w:tc>
        <w:tc>
          <w:tcPr>
            <w:tcW w:type="dxa" w:w="2340"/>
          </w:tcPr>
          <w:p>
            <w:pPr>
              <w:spacing w:after="40" w:before="40"/>
            </w:pPr>
            <w:r>
              <w:rPr>
                <w:sz w:val="20"/>
              </w:rPr>
            </w:r>
            <m:oMath xmlns:mml="http://www.w3.org/1998/Math/MathML">
              <m:sSub>
                <m:e>
                  <m:limUpp>
                    <m:e>
                      <m:r>
                        <m:t>p</m:t>
                      </m:r>
                    </m:e>
                    <m:lim>
                      <m:r>
                        <m:t>^</m:t>
                      </m:r>
                    </m:lim>
                  </m:limUpp>
                </m:e>
                <m:sub>
                  <m:r>
                    <m:t>x</m:t>
                  </m:r>
                </m:sub>
              </m:sSub>
            </m:oMath>
          </w:p>
        </w:tc>
        <w:tc>
          <w:tcPr>
            <w:tcW w:type="dxa" w:w="2340"/>
          </w:tcPr>
          <w:p>
            <w:pPr>
              <w:spacing w:after="40" w:before="40"/>
            </w:pPr>
            <w:r>
              <w:rPr>
                <w:sz w:val="20"/>
              </w:rPr>
            </w:r>
            <m:oMath xmlns:mml="http://www.w3.org/1998/Math/MathML">
              <m:sSub>
                <m:e>
                  <m:limUpp>
                    <m:e>
                      <m:r>
                        <m:t>p</m:t>
                      </m:r>
                    </m:e>
                    <m:lim>
                      <m:r>
                        <m:t>^</m:t>
                      </m:r>
                    </m:lim>
                  </m:limUpp>
                </m:e>
                <m:sub>
                  <m:r>
                    <m:t>x</m:t>
                  </m:r>
                </m:sub>
              </m:sSub>
              <m:r>
                <m:t>=−iℏ</m:t>
              </m:r>
              <m:f>
                <m:fPr>
                  <m:type m:val="bar"/>
                </m:fPr>
                <m:num>
                  <m:r>
                    <m:t>∂</m:t>
                  </m:r>
                </m:num>
                <m:den>
                  <m:r>
                    <m:t>∂x</m:t>
                  </m:r>
                </m:den>
              </m:f>
            </m:oMath>
          </w:p>
        </w:tc>
        <w:tc>
          <w:tcPr>
            <w:tcW w:type="dxa" w:w="2340"/>
          </w:tcPr>
          <w:p>
            <w:pPr>
              <w:spacing w:after="40" w:before="40"/>
            </w:pPr>
            <w:r>
              <w:rPr>
                <w:sz w:val="20"/>
              </w:rPr>
            </w:r>
            <m:oMath xmlns:mml="http://www.w3.org/1998/Math/MathML">
              <m:r>
                <m:rPr>
                  <m:sty m:val="p"/>
                </m:rPr>
                <m:t>kg</m:t>
              </m:r>
              <m:r>
                <m:t>·m·</m:t>
              </m:r>
              <m:sSup>
                <m:e>
                  <m:r>
                    <m:t>s</m:t>
                  </m:r>
                </m:e>
                <m:sup>
                  <m:r>
                    <m:t>−1</m:t>
                  </m:r>
                </m:sup>
              </m:sSup>
            </m:oMath>
          </w:p>
        </w:tc>
      </w:tr>
      <w:tr>
        <w:tc>
          <w:tcPr>
            <w:tcW w:type="dxa" w:w="2340"/>
          </w:tcPr>
          <w:p>
            <w:pPr>
              <w:spacing w:after="40" w:before="40"/>
            </w:pPr>
            <w:r>
              <w:rPr>
                <w:sz w:val="20"/>
              </w:rPr>
            </w:r>
            <w:r>
              <w:rPr>
                <w:sz w:val="20"/>
              </w:rPr>
              <w:t>Capacitance</w:t>
            </w:r>
          </w:p>
        </w:tc>
        <w:tc>
          <w:tcPr>
            <w:tcW w:type="dxa" w:w="2340"/>
          </w:tcPr>
          <w:p>
            <w:pPr>
              <w:spacing w:after="40" w:before="40"/>
            </w:pPr>
            <w:r>
              <w:rPr>
                <w:sz w:val="20"/>
              </w:rPr>
            </w:r>
            <m:oMath xmlns:mml="http://www.w3.org/1998/Math/MathML">
              <m:r>
                <m:t>C</m:t>
              </m:r>
            </m:oMath>
          </w:p>
        </w:tc>
        <w:tc>
          <w:tcPr>
            <w:tcW w:type="dxa" w:w="2340"/>
          </w:tcPr>
          <w:p>
            <w:pPr>
              <w:spacing w:after="40" w:before="40"/>
            </w:pPr>
            <w:r>
              <w:rPr>
                <w:sz w:val="20"/>
              </w:rPr>
            </w:r>
            <m:oMath xmlns:mml="http://www.w3.org/1998/Math/MathML">
              <m:r>
                <m:t>C=</m:t>
              </m:r>
              <m:f>
                <m:fPr>
                  <m:type m:val="bar"/>
                </m:fPr>
                <m:num>
                  <m:r>
                    <m:t>Q</m:t>
                  </m:r>
                </m:num>
                <m:den>
                  <m:r>
                    <m:t>V</m:t>
                  </m:r>
                </m:den>
              </m:f>
              <m:r>
                <m:t>=ε</m:t>
              </m:r>
              <m:f>
                <m:fPr>
                  <m:type m:val="bar"/>
                </m:fPr>
                <m:num>
                  <m:r>
                    <m:t>A</m:t>
                  </m:r>
                </m:num>
                <m:den>
                  <m:r>
                    <m:t>d</m:t>
                  </m:r>
                </m:den>
              </m:f>
            </m:oMath>
          </w:p>
        </w:tc>
        <w:tc>
          <w:tcPr>
            <w:tcW w:type="dxa" w:w="2340"/>
          </w:tcPr>
          <w:p>
            <w:pPr>
              <w:spacing w:after="40" w:before="40"/>
            </w:pPr>
            <w:r>
              <w:rPr>
                <w:sz w:val="20"/>
              </w:rPr>
            </w:r>
            <m:oMath xmlns:mml="http://www.w3.org/1998/Math/MathML">
              <m:r>
                <m:rPr>
                  <m:sty m:val="p"/>
                </m:rPr>
                <m:t>Farad</m:t>
              </m:r>
              <m:r>
                <m:t>(</m:t>
              </m:r>
              <m:r>
                <m:rPr>
                  <m:sty m:val="p"/>
                </m:rPr>
                <m:t>F</m:t>
              </m:r>
              <m:r>
                <m:t>)</m:t>
              </m:r>
            </m:oMath>
          </w:p>
        </w:tc>
      </w:tr>
      <w:tr>
        <w:tc>
          <w:tcPr>
            <w:tcW w:type="dxa" w:w="2340"/>
          </w:tcPr>
          <w:p>
            <w:pPr>
              <w:spacing w:after="40" w:before="40"/>
            </w:pPr>
            <w:r>
              <w:rPr>
                <w:sz w:val="20"/>
              </w:rPr>
            </w:r>
            <w:r>
              <w:rPr>
                <w:sz w:val="20"/>
              </w:rPr>
              <w:t>Magnetic Flux</w:t>
            </w:r>
          </w:p>
        </w:tc>
        <w:tc>
          <w:tcPr>
            <w:tcW w:type="dxa" w:w="2340"/>
          </w:tcPr>
          <w:p>
            <w:pPr>
              <w:spacing w:after="40" w:before="40"/>
            </w:pPr>
            <w:r>
              <w:rPr>
                <w:sz w:val="20"/>
              </w:rPr>
            </w:r>
            <m:oMath xmlns:mml="http://www.w3.org/1998/Math/MathML">
              <m:sSub>
                <m:e>
                  <m:r>
                    <m:t>Φ</m:t>
                  </m:r>
                </m:e>
                <m:sub>
                  <m:r>
                    <m:t>B</m:t>
                  </m:r>
                </m:sub>
              </m:sSub>
            </m:oMath>
          </w:p>
        </w:tc>
        <w:tc>
          <w:tcPr>
            <w:tcW w:type="dxa" w:w="2340"/>
          </w:tcPr>
          <w:p>
            <w:pPr>
              <w:spacing w:after="40" w:before="40"/>
            </w:pPr>
            <w:r>
              <w:rPr>
                <w:sz w:val="20"/>
              </w:rPr>
            </w:r>
            <m:oMath xmlns:mml="http://www.w3.org/1998/Math/MathML">
              <m:sSub>
                <m:e>
                  <m:r>
                    <m:t>Φ</m:t>
                  </m:r>
                </m:e>
                <m:sub>
                  <m:r>
                    <m:t>B</m:t>
                  </m:r>
                </m:sub>
              </m:sSub>
              <m:r>
                <m:t>=</m:t>
              </m:r>
              <m:nary>
                <m:naryPr>
                  <m:chr m:val="∬"/>
                  <m:limLoc m:val="subSup"/>
                  <m:grow m:val="0"/>
                  <m:subHide m:val="off"/>
                  <m:supHide m:val="on"/>
                </m:naryPr>
                <m:sub>
                  <m:r>
                    <m:t>S</m:t>
                  </m:r>
                </m:sub>
                <m:sup/>
                <m:e/>
              </m:nary>
              <m:r>
                <m:t>𝐁·d𝐀</m:t>
              </m:r>
            </m:oMath>
          </w:p>
        </w:tc>
        <w:tc>
          <w:tcPr>
            <w:tcW w:type="dxa" w:w="2340"/>
          </w:tcPr>
          <w:p>
            <w:pPr>
              <w:spacing w:after="40" w:before="40"/>
            </w:pPr>
            <w:r>
              <w:rPr>
                <w:sz w:val="20"/>
              </w:rPr>
            </w:r>
            <m:oMath xmlns:mml="http://www.w3.org/1998/Math/MathML">
              <m:r>
                <m:rPr>
                  <m:sty m:val="p"/>
                </m:rPr>
                <m:t>Weber</m:t>
              </m:r>
              <m:r>
                <m:t>(</m:t>
              </m:r>
              <m:r>
                <m:rPr>
                  <m:sty m:val="p"/>
                </m:rPr>
                <m:t>Wb</m:t>
              </m:r>
              <m:r>
                <m:t>)</m:t>
              </m:r>
            </m:oMath>
          </w:p>
        </w:tc>
      </w:tr>
      <w:tr>
        <w:tc>
          <w:tcPr>
            <w:tcW w:type="dxa" w:w="2340"/>
          </w:tcPr>
          <w:p>
            <w:pPr>
              <w:spacing w:after="40" w:before="40"/>
            </w:pPr>
            <w:r>
              <w:rPr>
                <w:sz w:val="20"/>
              </w:rPr>
            </w:r>
            <w:r>
              <w:rPr>
                <w:sz w:val="20"/>
              </w:rPr>
              <w:t>Thermal Efficiency</w:t>
            </w:r>
          </w:p>
        </w:tc>
        <w:tc>
          <w:tcPr>
            <w:tcW w:type="dxa" w:w="2340"/>
          </w:tcPr>
          <w:p>
            <w:pPr>
              <w:spacing w:after="40" w:before="40"/>
            </w:pPr>
            <w:r>
              <w:rPr>
                <w:sz w:val="20"/>
              </w:rPr>
            </w:r>
            <m:oMath xmlns:mml="http://www.w3.org/1998/Math/MathML">
              <m:r>
                <m:t>η</m:t>
              </m:r>
            </m:oMath>
          </w:p>
        </w:tc>
        <w:tc>
          <w:tcPr>
            <w:tcW w:type="dxa" w:w="2340"/>
          </w:tcPr>
          <w:p>
            <w:pPr>
              <w:spacing w:after="40" w:before="40"/>
            </w:pPr>
            <w:r>
              <w:rPr>
                <w:sz w:val="20"/>
              </w:rPr>
            </w:r>
            <m:oMath xmlns:mml="http://www.w3.org/1998/Math/MathML">
              <m:r>
                <m:t>η=1−</m:t>
              </m:r>
              <m:f>
                <m:fPr>
                  <m:type m:val="bar"/>
                </m:fPr>
                <m:num>
                  <m:sSub>
                    <m:e>
                      <m:r>
                        <m:t>T</m:t>
                      </m:r>
                    </m:e>
                    <m:sub>
                      <m:r>
                        <m:t>C</m:t>
                      </m:r>
                    </m:sub>
                  </m:sSub>
                </m:num>
                <m:den>
                  <m:sSub>
                    <m:e>
                      <m:r>
                        <m:t>T</m:t>
                      </m:r>
                    </m:e>
                    <m:sub>
                      <m:r>
                        <m:t>H</m:t>
                      </m:r>
                    </m:sub>
                  </m:sSub>
                </m:den>
              </m:f>
              <m:r>
                <m:t>=</m:t>
              </m:r>
              <m:f>
                <m:fPr>
                  <m:type m:val="bar"/>
                </m:fPr>
                <m:num>
                  <m:r>
                    <m:t>W</m:t>
                  </m:r>
                </m:num>
                <m:den>
                  <m:sSub>
                    <m:e>
                      <m:r>
                        <m:t>Q</m:t>
                      </m:r>
                    </m:e>
                    <m:sub>
                      <m:r>
                        <m:t>H</m:t>
                      </m:r>
                    </m:sub>
                  </m:sSub>
                </m:den>
              </m:f>
            </m:oMath>
          </w:p>
        </w:tc>
        <w:tc>
          <w:tcPr>
            <w:tcW w:type="dxa" w:w="2340"/>
          </w:tcPr>
          <w:p>
            <w:pPr>
              <w:spacing w:after="40" w:before="40"/>
            </w:pPr>
            <w:r>
              <w:rPr>
                <w:sz w:val="20"/>
              </w:rPr>
            </w:r>
            <w:r>
              <w:rPr>
                <w:sz w:val="20"/>
              </w:rPr>
              <w:t>Dimensionless</w:t>
            </w:r>
          </w:p>
        </w:tc>
      </w:tr>
      <w:tr>
        <w:tc>
          <w:tcPr>
            <w:tcW w:type="dxa" w:w="2340"/>
          </w:tcPr>
          <w:p>
            <w:pPr>
              <w:spacing w:after="40" w:before="40"/>
            </w:pPr>
            <w:r>
              <w:rPr>
                <w:sz w:val="20"/>
              </w:rPr>
            </w:r>
            <w:r>
              <w:rPr>
                <w:sz w:val="20"/>
              </w:rPr>
              <w:t>Entropy Change</w:t>
            </w:r>
          </w:p>
        </w:tc>
        <w:tc>
          <w:tcPr>
            <w:tcW w:type="dxa" w:w="2340"/>
          </w:tcPr>
          <w:p>
            <w:pPr>
              <w:spacing w:after="40" w:before="40"/>
            </w:pPr>
            <w:r>
              <w:rPr>
                <w:sz w:val="20"/>
              </w:rPr>
            </w:r>
            <m:oMath xmlns:mml="http://www.w3.org/1998/Math/MathML">
              <m:r>
                <m:t>ΔS</m:t>
              </m:r>
            </m:oMath>
          </w:p>
        </w:tc>
        <w:tc>
          <w:tcPr>
            <w:tcW w:type="dxa" w:w="2340"/>
          </w:tcPr>
          <w:p>
            <w:pPr>
              <w:spacing w:after="40" w:before="40"/>
            </w:pPr>
            <w:r>
              <w:rPr>
                <w:sz w:val="20"/>
              </w:rPr>
            </w:r>
            <m:oMath xmlns:mml="http://www.w3.org/1998/Math/MathML">
              <m:r>
                <m:t>ΔS=∫</m:t>
              </m:r>
              <m:f>
                <m:fPr>
                  <m:type m:val="bar"/>
                </m:fPr>
                <m:num>
                  <m:r>
                    <m:t>δ</m:t>
                  </m:r>
                  <m:sSub>
                    <m:e>
                      <m:r>
                        <m:t>Q</m:t>
                      </m:r>
                    </m:e>
                    <m:sub>
                      <m:r>
                        <m:rPr>
                          <m:sty m:val="p"/>
                        </m:rPr>
                        <m:t>rev</m:t>
                      </m:r>
                    </m:sub>
                  </m:sSub>
                </m:num>
                <m:den>
                  <m:r>
                    <m:t>T</m:t>
                  </m:r>
                </m:den>
              </m:f>
            </m:oMath>
          </w:p>
        </w:tc>
        <w:tc>
          <w:tcPr>
            <w:tcW w:type="dxa" w:w="2340"/>
          </w:tcPr>
          <w:p>
            <w:pPr>
              <w:spacing w:after="40" w:before="40"/>
            </w:pPr>
            <w:r>
              <w:rPr>
                <w:sz w:val="20"/>
              </w:rPr>
            </w:r>
            <m:oMath xmlns:mml="http://www.w3.org/1998/Math/MathML">
              <m:r>
                <m:t>J·</m:t>
              </m:r>
              <m:sSup>
                <m:e>
                  <m:r>
                    <m:t>K</m:t>
                  </m:r>
                </m:e>
                <m:sup>
                  <m:r>
                    <m:t>−1</m:t>
                  </m:r>
                </m:sup>
              </m:sSup>
            </m:oMath>
          </w:p>
        </w:tc>
      </w:tr>
    </w:tbl>
    <w:p>
      <w:pPr>
        <w:spacing w:before="0" w:after="80"/>
      </w:pPr>
    </w:p>
    <w:p>
      <w:pPr>
        <w:pStyle w:val="Heading2"/>
        <w:spacing w:before="240" w:after="80"/>
      </w:pPr>
      <w:r>
        <w:rPr>
          <w:rFonts w:ascii="Times New Roman" w:hAnsi="Times New Roman"/>
          <w:b/>
          <w:i w:val="0"/>
          <w:color w:val="1E1E1E"/>
          <w:sz w:val="28"/>
        </w:rPr>
        <w:t>4. Subscript and Superscript Combinations</w:t>
      </w:r>
    </w:p>
    <w:p>
      <w:pPr>
        <w:spacing w:line="276" w:lineRule="auto" w:after="120"/>
      </w:pPr>
      <w:r>
        <w:t>Complex index notation frequently appears in tensor calculus and differential geometry:</w:t>
      </w:r>
    </w:p>
    <w:p>
      <w:pPr>
        <w:pStyle w:val="ListBullet"/>
      </w:pPr>
      <w:r/>
      <w:r>
        <w:t xml:space="preserve">Covariant metric tensor: </w:t>
      </w:r>
      <m:oMath xmlns:mml="http://www.w3.org/1998/Math/MathML">
        <m:sSub>
          <m:e>
            <m:r>
              <m:t>g</m:t>
            </m:r>
          </m:e>
          <m:sub>
            <m:r>
              <m:t>μν</m:t>
            </m:r>
          </m:sub>
        </m:sSub>
      </m:oMath>
    </w:p>
    <w:p>
      <w:pPr>
        <w:pStyle w:val="ListBullet"/>
      </w:pPr>
      <w:r/>
      <w:r>
        <w:t xml:space="preserve">Contravariant metric tensor: </w:t>
      </w:r>
      <m:oMath xmlns:mml="http://www.w3.org/1998/Math/MathML">
        <m:sSup>
          <m:e>
            <m:r>
              <m:t>g</m:t>
            </m:r>
          </m:e>
          <m:sup>
            <m:r>
              <m:t>μν</m:t>
            </m:r>
          </m:sup>
        </m:sSup>
      </m:oMath>
    </w:p>
    <w:p>
      <w:pPr>
        <w:pStyle w:val="ListBullet"/>
      </w:pPr>
      <w:r/>
      <w:r>
        <w:t xml:space="preserve">Christoffel symbols of the second kind: </w:t>
      </w:r>
      <m:oMath xmlns:mml="http://www.w3.org/1998/Math/MathML">
        <m:sSubSup>
          <m:e>
            <m:r>
              <m:t>Γ</m:t>
            </m:r>
          </m:e>
          <m:sub>
            <m:r>
              <m:t>μν</m:t>
            </m:r>
          </m:sub>
          <m:sup>
            <m:r>
              <m:t>λ</m:t>
            </m:r>
          </m:sup>
        </m:sSubSup>
        <m:r>
          <m:t>=</m:t>
        </m:r>
        <m:f>
          <m:fPr>
            <m:type m:val="bar"/>
          </m:fPr>
          <m:num>
            <m:r>
              <m:t>1</m:t>
            </m:r>
          </m:num>
          <m:den>
            <m:r>
              <m:t>2</m:t>
            </m:r>
          </m:den>
        </m:f>
        <m:sSup>
          <m:e>
            <m:r>
              <m:t>g</m:t>
            </m:r>
          </m:e>
          <m:sup>
            <m:r>
              <m:t>λσ</m:t>
            </m:r>
          </m:sup>
        </m:sSup>
        <m:r>
          <m:t>(</m:t>
        </m:r>
        <m:sSub>
          <m:e>
            <m:r>
              <m:t>∂</m:t>
            </m:r>
          </m:e>
          <m:sub>
            <m:r>
              <m:t>μ</m:t>
            </m:r>
          </m:sub>
        </m:sSub>
        <m:sSub>
          <m:e>
            <m:r>
              <m:t>g</m:t>
            </m:r>
          </m:e>
          <m:sub>
            <m:r>
              <m:t>νσ</m:t>
            </m:r>
          </m:sub>
        </m:sSub>
        <m:r>
          <m:t>+</m:t>
        </m:r>
        <m:sSub>
          <m:e>
            <m:r>
              <m:t>∂</m:t>
            </m:r>
          </m:e>
          <m:sub>
            <m:r>
              <m:t>ν</m:t>
            </m:r>
          </m:sub>
        </m:sSub>
        <m:sSub>
          <m:e>
            <m:r>
              <m:t>g</m:t>
            </m:r>
          </m:e>
          <m:sub>
            <m:r>
              <m:t>μσ</m:t>
            </m:r>
          </m:sub>
        </m:sSub>
        <m:r>
          <m:t>−</m:t>
        </m:r>
        <m:sSub>
          <m:e>
            <m:r>
              <m:t>∂</m:t>
            </m:r>
          </m:e>
          <m:sub>
            <m:r>
              <m:t>σ</m:t>
            </m:r>
          </m:sub>
        </m:sSub>
        <m:sSub>
          <m:e>
            <m:r>
              <m:t>g</m:t>
            </m:r>
          </m:e>
          <m:sub>
            <m:r>
              <m:t>μν</m:t>
            </m:r>
          </m:sub>
        </m:sSub>
        <m:r>
          <m:t>)</m:t>
        </m:r>
      </m:oMath>
    </w:p>
    <w:p>
      <w:pPr>
        <w:pStyle w:val="ListBullet"/>
      </w:pPr>
      <w:r/>
      <w:r>
        <w:t xml:space="preserve">Riemann curvature tensor: </w:t>
      </w:r>
      <m:oMath xmlns:mml="http://www.w3.org/1998/Math/MathML">
        <m:sSubSup>
          <m:e>
            <m:r>
              <m:t>R</m:t>
            </m:r>
          </m:e>
          <m:sub>
            <m:r>
              <m:rPr>
                <m:nor/>
              </m:rPr>
              <m:t> </m:t>
            </m:r>
            <m:r>
              <m:t>σμν</m:t>
            </m:r>
          </m:sub>
          <m:sup>
            <m:r>
              <m:t>ρ</m:t>
            </m:r>
          </m:sup>
        </m:sSubSup>
        <m:r>
          <m:t>=</m:t>
        </m:r>
        <m:sSub>
          <m:e>
            <m:r>
              <m:t>∂</m:t>
            </m:r>
          </m:e>
          <m:sub>
            <m:r>
              <m:t>μ</m:t>
            </m:r>
          </m:sub>
        </m:sSub>
        <m:sSubSup>
          <m:e>
            <m:r>
              <m:t>Γ</m:t>
            </m:r>
          </m:e>
          <m:sub>
            <m:r>
              <m:t>νσ</m:t>
            </m:r>
          </m:sub>
          <m:sup>
            <m:r>
              <m:t>ρ</m:t>
            </m:r>
          </m:sup>
        </m:sSubSup>
        <m:r>
          <m:t>−</m:t>
        </m:r>
        <m:sSub>
          <m:e>
            <m:r>
              <m:t>∂</m:t>
            </m:r>
          </m:e>
          <m:sub>
            <m:r>
              <m:t>ν</m:t>
            </m:r>
          </m:sub>
        </m:sSub>
        <m:sSubSup>
          <m:e>
            <m:r>
              <m:t>Γ</m:t>
            </m:r>
          </m:e>
          <m:sub>
            <m:r>
              <m:t>μσ</m:t>
            </m:r>
          </m:sub>
          <m:sup>
            <m:r>
              <m:t>ρ</m:t>
            </m:r>
          </m:sup>
        </m:sSubSup>
        <m:r>
          <m:t>+</m:t>
        </m:r>
        <m:sSubSup>
          <m:e>
            <m:r>
              <m:t>Γ</m:t>
            </m:r>
          </m:e>
          <m:sub>
            <m:r>
              <m:t>μλ</m:t>
            </m:r>
          </m:sub>
          <m:sup>
            <m:r>
              <m:t>ρ</m:t>
            </m:r>
          </m:sup>
        </m:sSubSup>
        <m:sSubSup>
          <m:e>
            <m:r>
              <m:t>Γ</m:t>
            </m:r>
          </m:e>
          <m:sub>
            <m:r>
              <m:t>νσ</m:t>
            </m:r>
          </m:sub>
          <m:sup>
            <m:r>
              <m:t>λ</m:t>
            </m:r>
          </m:sup>
        </m:sSubSup>
        <m:r>
          <m:t>−</m:t>
        </m:r>
        <m:sSubSup>
          <m:e>
            <m:r>
              <m:t>Γ</m:t>
            </m:r>
          </m:e>
          <m:sub>
            <m:r>
              <m:t>νλ</m:t>
            </m:r>
          </m:sub>
          <m:sup>
            <m:r>
              <m:t>ρ</m:t>
            </m:r>
          </m:sup>
        </m:sSubSup>
        <m:sSubSup>
          <m:e>
            <m:r>
              <m:t>Γ</m:t>
            </m:r>
          </m:e>
          <m:sub>
            <m:r>
              <m:t>μσ</m:t>
            </m:r>
          </m:sub>
          <m:sup>
            <m:r>
              <m:t>λ</m:t>
            </m:r>
          </m:sup>
        </m:sSubSup>
      </m:oMath>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pPr>
    <w:rPr>
      <w:rFonts w:ascii="Times New Roman" w:hAnsi="Times New Roman"/>
      <w:color w:val="212121"/>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