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7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107.jpg" ContentType="image/jpeg"/>
  <Override PartName="/word/media/rId30.jpg" ContentType="image/jpeg"/>
  <Override PartName="/word/media/rId110.jpg" ContentType="image/jpeg"/>
  <Override PartName="/word/media/rId113.jpg" ContentType="image/jpeg"/>
  <Override PartName="/word/media/rId116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работе”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Тииур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откладки при помощи GDB.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</w:pPr>
      <w:r>
        <w:t xml:space="preserve">Выполнение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 и файла</w:t>
      </w:r>
      <w:r>
        <w:t xml:space="preserve"> </w:t>
      </w:r>
      <w:r>
        <w:t xml:space="preserve">Был создан каталог</w:t>
      </w:r>
      <w:r>
        <w:t xml:space="preserve"> </w:t>
      </w:r>
      <w:r>
        <w:rPr>
          <w:iCs/>
          <w:i/>
        </w:rPr>
        <w:t xml:space="preserve">lab9</w:t>
      </w:r>
      <w:r>
        <w:t xml:space="preserve"> </w:t>
      </w:r>
      <w:r>
        <w:t xml:space="preserve">и файл</w:t>
      </w:r>
      <w:r>
        <w:t xml:space="preserve"> </w:t>
      </w:r>
      <w:r>
        <w:rPr>
          <w:iCs/>
          <w:i/>
        </w:rPr>
        <w:t xml:space="preserve">lab9-1.asm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084006"/>
            <wp:effectExtent b="0" l="0" r="0" t="0"/>
            <wp:docPr descr="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3"/>
        </w:numPr>
        <w:pStyle w:val="Compact"/>
      </w:pPr>
      <w:r>
        <w:t xml:space="preserve">Ввод текста программы и запуск</w:t>
      </w:r>
      <w:r>
        <w:t xml:space="preserve"> </w:t>
      </w:r>
      <w:r>
        <w:t xml:space="preserve">В файл был введен код программы</w:t>
      </w:r>
      <w:r>
        <w:t xml:space="preserve"> </w:t>
      </w:r>
      <w:r>
        <w:rPr>
          <w:iCs/>
          <w:i/>
        </w:rPr>
        <w:t xml:space="preserve">Листинг 9.1</w:t>
      </w:r>
      <w:r>
        <w:t xml:space="preserve"> </w:t>
      </w:r>
      <w:r>
        <w:t xml:space="preserve">(рис. 2), после чего он была запущен (рис. 3).</w:t>
      </w:r>
    </w:p>
    <w:p>
      <w:pPr>
        <w:pStyle w:val="CaptionedFigure"/>
      </w:pPr>
      <w:r>
        <w:drawing>
          <wp:inline>
            <wp:extent cx="3733800" cy="2287528"/>
            <wp:effectExtent b="0" l="0" r="0" t="0"/>
            <wp:docPr descr="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r>
        <w:drawing>
          <wp:inline>
            <wp:extent cx="3733800" cy="863831"/>
            <wp:effectExtent b="0" l="0" r="0" t="0"/>
            <wp:docPr descr="Работа программ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Изменение программы</w:t>
      </w:r>
      <w:r>
        <w:t xml:space="preserve"> </w:t>
      </w:r>
      <w:r>
        <w:t xml:space="preserve">Текст программы был изменен для решения выражения</w:t>
      </w:r>
      <w:r>
        <w:t xml:space="preserve"> </w:t>
      </w:r>
      <w:r>
        <w:rPr>
          <w:iCs/>
          <w:i/>
        </w:rPr>
        <w:t xml:space="preserve">f(g(x))</w:t>
      </w:r>
      <w:r>
        <w:t xml:space="preserve"> </w:t>
      </w:r>
      <w:r>
        <w:t xml:space="preserve">(рис. 4). После внесения изменений программа была снова запущена (рис. 5).</w:t>
      </w:r>
    </w:p>
    <w:p>
      <w:pPr>
        <w:pStyle w:val="CaptionedFigure"/>
      </w:pPr>
      <w:r>
        <w:drawing>
          <wp:inline>
            <wp:extent cx="3733800" cy="2337731"/>
            <wp:effectExtent b="0" l="0" r="0" t="0"/>
            <wp:docPr descr="Создание каталога и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 и файла</w:t>
      </w:r>
    </w:p>
    <w:p>
      <w:pPr>
        <w:pStyle w:val="CaptionedFigure"/>
      </w:pPr>
      <w:r>
        <w:drawing>
          <wp:inline>
            <wp:extent cx="3733800" cy="766469"/>
            <wp:effectExtent b="0" l="0" r="0" t="0"/>
            <wp:docPr descr="Создание каталога и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 и файла</w:t>
      </w:r>
    </w:p>
    <w:p>
      <w:pPr>
        <w:numPr>
          <w:ilvl w:val="0"/>
          <w:numId w:val="1005"/>
        </w:numPr>
        <w:pStyle w:val="Compact"/>
      </w:pPr>
      <w:r>
        <w:t xml:space="preserve">Создание второго файла</w:t>
      </w:r>
      <w:r>
        <w:t xml:space="preserve"> </w:t>
      </w:r>
      <w:r>
        <w:t xml:space="preserve">Создан файл lab10-2.asm, в который была вписана новая программа (рис. 6).</w:t>
      </w:r>
    </w:p>
    <w:p>
      <w:pPr>
        <w:pStyle w:val="CaptionedFigure"/>
      </w:pPr>
      <w:r>
        <w:drawing>
          <wp:inline>
            <wp:extent cx="3733800" cy="2167479"/>
            <wp:effectExtent b="0" l="0" r="0" t="0"/>
            <wp:docPr descr="Текст второй программы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второй программы</w:t>
      </w:r>
    </w:p>
    <w:p>
      <w:pPr>
        <w:numPr>
          <w:ilvl w:val="0"/>
          <w:numId w:val="1006"/>
        </w:numPr>
        <w:pStyle w:val="Compact"/>
      </w:pPr>
      <w:r>
        <w:t xml:space="preserve">Загрузка и отладка второй программы</w:t>
      </w:r>
      <w:r>
        <w:t xml:space="preserve"> </w:t>
      </w:r>
      <w:r>
        <w:t xml:space="preserve">Файл второй программы был загружен и запущен в отладчике GDB (рис. 7).</w:t>
      </w:r>
    </w:p>
    <w:p>
      <w:pPr>
        <w:pStyle w:val="CaptionedFigure"/>
      </w:pPr>
      <w:r>
        <w:drawing>
          <wp:inline>
            <wp:extent cx="3733800" cy="2693537"/>
            <wp:effectExtent b="0" l="0" r="0" t="0"/>
            <wp:docPr descr="Откладка второго файл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Откладка второго файла</w:t>
      </w:r>
    </w:p>
    <w:p>
      <w:pPr>
        <w:pStyle w:val="BodyText"/>
      </w:pPr>
      <w:r>
        <w:t xml:space="preserve">Установлен брекпоинт на метку _start, после чего программа была запущена (рис. 8).</w:t>
      </w:r>
    </w:p>
    <w:p>
      <w:pPr>
        <w:pStyle w:val="CaptionedFigure"/>
      </w:pPr>
      <w:r>
        <w:drawing>
          <wp:inline>
            <wp:extent cx="3733800" cy="676780"/>
            <wp:effectExtent b="0" l="0" r="0" t="0"/>
            <wp:docPr descr="Брекпоинт на метку _start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Брекпоинт на метку _start</w:t>
      </w:r>
    </w:p>
    <w:p>
      <w:pPr>
        <w:numPr>
          <w:ilvl w:val="0"/>
          <w:numId w:val="1007"/>
        </w:numPr>
        <w:pStyle w:val="Compact"/>
      </w:pPr>
      <w:r>
        <w:t xml:space="preserve">Дисассемблирование кода</w:t>
      </w:r>
      <w:r>
        <w:t xml:space="preserve"> </w:t>
      </w:r>
      <w:r>
        <w:t xml:space="preserve">Просмотрен дисассемблированный код программы, начиная с метки _start (рис. 9).</w:t>
      </w:r>
    </w:p>
    <w:p>
      <w:pPr>
        <w:pStyle w:val="CaptionedFigure"/>
      </w:pPr>
      <w:r>
        <w:drawing>
          <wp:inline>
            <wp:extent cx="3733800" cy="1457206"/>
            <wp:effectExtent b="0" l="0" r="0" t="0"/>
            <wp:docPr descr="Дисассиплированный код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Дисассиплированный код</w:t>
      </w:r>
    </w:p>
    <w:p>
      <w:pPr>
        <w:numPr>
          <w:ilvl w:val="0"/>
          <w:numId w:val="1008"/>
        </w:numPr>
        <w:pStyle w:val="Compact"/>
      </w:pPr>
      <w:r>
        <w:t xml:space="preserve">Смена синтаксиса на</w:t>
      </w:r>
      <w:r>
        <w:t xml:space="preserve"> </w:t>
      </w:r>
      <w:r>
        <w:rPr>
          <w:iCs/>
          <w:i/>
        </w:rPr>
        <w:t xml:space="preserve">Intel</w:t>
      </w:r>
      <w:r>
        <w:t xml:space="preserve"> </w:t>
      </w:r>
      <w:r>
        <w:t xml:space="preserve">С помощью команды был переключен синтаксис на Intel. Отличие заключается в отсутствии символов</w:t>
      </w:r>
      <w:r>
        <w:t xml:space="preserve"> </w:t>
      </w:r>
      <w:r>
        <w:rPr>
          <w:iCs/>
          <w:i/>
        </w:rPr>
        <w:t xml:space="preserve">%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в командах, что делает отображение более удобным (рис. 10).</w:t>
      </w:r>
    </w:p>
    <w:p>
      <w:pPr>
        <w:pStyle w:val="CaptionedFigure"/>
      </w:pPr>
      <w:r>
        <w:drawing>
          <wp:inline>
            <wp:extent cx="3733800" cy="2695202"/>
            <wp:effectExtent b="0" l="0" r="0" t="0"/>
            <wp:docPr descr="Отображение Intel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Intel</w:t>
      </w:r>
    </w:p>
    <w:p>
      <w:pPr>
        <w:numPr>
          <w:ilvl w:val="0"/>
          <w:numId w:val="1009"/>
        </w:numPr>
        <w:pStyle w:val="Compact"/>
      </w:pPr>
      <w:r>
        <w:t xml:space="preserve">Включение режима псевдографики</w:t>
      </w:r>
      <w:r>
        <w:t xml:space="preserve"> </w:t>
      </w:r>
      <w:r>
        <w:t xml:space="preserve">Для удобства работы был включен режим псевдографики (рис. 11).</w:t>
      </w:r>
    </w:p>
    <w:p>
      <w:pPr>
        <w:pStyle w:val="CaptionedFigure"/>
      </w:pPr>
      <w:r>
        <w:drawing>
          <wp:inline>
            <wp:extent cx="3733800" cy="2717953"/>
            <wp:effectExtent b="0" l="0" r="0" t="0"/>
            <wp:docPr descr="Псевдографика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Псевдографика</w:t>
      </w:r>
    </w:p>
    <w:p>
      <w:pPr>
        <w:numPr>
          <w:ilvl w:val="0"/>
          <w:numId w:val="1010"/>
        </w:numPr>
        <w:pStyle w:val="Compact"/>
      </w:pPr>
      <w:r>
        <w:t xml:space="preserve">Проверка наличия меток</w:t>
      </w:r>
      <w:r>
        <w:t xml:space="preserve"> </w:t>
      </w:r>
      <w:r>
        <w:t xml:space="preserve">Проверено наличие меток в коде, добавлена еще одна метка на предпоследнюю инструкцию (рис. 12).</w:t>
      </w:r>
    </w:p>
    <w:p>
      <w:pPr>
        <w:pStyle w:val="CaptionedFigure"/>
      </w:pPr>
      <w:r>
        <w:drawing>
          <wp:inline>
            <wp:extent cx="3733800" cy="1178853"/>
            <wp:effectExtent b="0" l="0" r="0" t="0"/>
            <wp:docPr descr="Наличие меток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Наличие меток</w:t>
      </w:r>
    </w:p>
    <w:p>
      <w:pPr>
        <w:numPr>
          <w:ilvl w:val="0"/>
          <w:numId w:val="1011"/>
        </w:numPr>
        <w:pStyle w:val="Compact"/>
      </w:pPr>
      <w:r>
        <w:t xml:space="preserve">Просмотр и изменение регистров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si</w:t>
      </w:r>
      <w:r>
        <w:t xml:space="preserve"> </w:t>
      </w:r>
      <w:r>
        <w:t xml:space="preserve">были просмотрены значения регистров (рис. 13) и выполнены их изменения (рис. 14).</w:t>
      </w:r>
    </w:p>
    <w:p>
      <w:pPr>
        <w:pStyle w:val="CaptionedFigure"/>
      </w:pPr>
      <w:r>
        <w:drawing>
          <wp:inline>
            <wp:extent cx="3733800" cy="720557"/>
            <wp:effectExtent b="0" l="0" r="0" t="0"/>
            <wp:docPr descr="Прсмотр регистров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Прсмотр регистров</w:t>
      </w:r>
    </w:p>
    <w:p>
      <w:pPr>
        <w:pStyle w:val="CaptionedFigure"/>
      </w:pPr>
      <w:r>
        <w:drawing>
          <wp:inline>
            <wp:extent cx="3733800" cy="1457092"/>
            <wp:effectExtent b="0" l="0" r="0" t="0"/>
            <wp:docPr descr="Измененные регистры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Измененные регистры</w:t>
      </w:r>
    </w:p>
    <w:p>
      <w:pPr>
        <w:numPr>
          <w:ilvl w:val="0"/>
          <w:numId w:val="1012"/>
        </w:numPr>
        <w:pStyle w:val="Compact"/>
      </w:pPr>
      <w:r>
        <w:t xml:space="preserve">Проверка значений переменных</w:t>
      </w:r>
      <w:r>
        <w:t xml:space="preserve"> </w:t>
      </w:r>
      <w:r>
        <w:t xml:space="preserve">Проверены значения переменных</w:t>
      </w:r>
      <w:r>
        <w:t xml:space="preserve"> </w:t>
      </w:r>
      <w:r>
        <w:rPr>
          <w:iCs/>
          <w:i/>
        </w:rPr>
        <w:t xml:space="preserve">msg1</w:t>
      </w:r>
      <w:r>
        <w:t xml:space="preserve"> </w:t>
      </w:r>
      <w:r>
        <w:t xml:space="preserve">(рис. 15) и</w:t>
      </w:r>
      <w:r>
        <w:t xml:space="preserve"> </w:t>
      </w:r>
      <w:r>
        <w:rPr>
          <w:iCs/>
          <w:i/>
        </w:rPr>
        <w:t xml:space="preserve">msg2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720557"/>
            <wp:effectExtent b="0" l="0" r="0" t="0"/>
            <wp:docPr descr="Просмотр значения переменной msg1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значения переменной msg1</w:t>
      </w:r>
    </w:p>
    <w:p>
      <w:pPr>
        <w:pStyle w:val="CaptionedFigure"/>
      </w:pPr>
      <w:r>
        <w:drawing>
          <wp:inline>
            <wp:extent cx="3733800" cy="519761"/>
            <wp:effectExtent b="0" l="0" r="0" t="0"/>
            <wp:docPr descr="Просмотр значения переменной msg2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значения переменной msg2</w:t>
      </w:r>
    </w:p>
    <w:p>
      <w:pPr>
        <w:numPr>
          <w:ilvl w:val="0"/>
          <w:numId w:val="1013"/>
        </w:numPr>
        <w:pStyle w:val="Compact"/>
      </w:pPr>
      <w:r>
        <w:t xml:space="preserve">Изменение значений переменных</w:t>
      </w:r>
      <w:r>
        <w:t xml:space="preserve"> </w:t>
      </w:r>
      <w:r>
        <w:t xml:space="preserve">С помощью команды set были изменены значения переменных</w:t>
      </w:r>
      <w:r>
        <w:t xml:space="preserve"> </w:t>
      </w:r>
      <w:r>
        <w:rPr>
          <w:iCs/>
          <w:i/>
        </w:rPr>
        <w:t xml:space="preserve">msg1</w:t>
      </w:r>
      <w:r>
        <w:t xml:space="preserve"> </w:t>
      </w:r>
      <w:r>
        <w:t xml:space="preserve">(рис. 17) и</w:t>
      </w:r>
      <w:r>
        <w:t xml:space="preserve"> </w:t>
      </w:r>
      <w:r>
        <w:rPr>
          <w:iCs/>
          <w:i/>
        </w:rPr>
        <w:t xml:space="preserve">msg2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1557469"/>
            <wp:effectExtent b="0" l="0" r="0" t="0"/>
            <wp:docPr descr="Измененние значения переменной msg1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Измененние значения переменной msg1</w:t>
      </w:r>
    </w:p>
    <w:p>
      <w:pPr>
        <w:pStyle w:val="CaptionedFigure"/>
      </w:pPr>
      <w:r>
        <w:drawing>
          <wp:inline>
            <wp:extent cx="3733800" cy="954426"/>
            <wp:effectExtent b="0" l="0" r="0" t="0"/>
            <wp:docPr descr="Измененние значения переменной msg2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Измененние значения переменной msg2</w:t>
      </w:r>
    </w:p>
    <w:p>
      <w:pPr>
        <w:numPr>
          <w:ilvl w:val="0"/>
          <w:numId w:val="1014"/>
        </w:numPr>
        <w:pStyle w:val="Compact"/>
      </w:pPr>
      <w:r>
        <w:t xml:space="preserve">Вывод значений регистров</w:t>
      </w:r>
      <w:r>
        <w:t xml:space="preserve"> </w:t>
      </w:r>
      <w:r>
        <w:t xml:space="preserve">Выведены значения регистров ecx и eax (рис. 19).</w:t>
      </w:r>
    </w:p>
    <w:p>
      <w:pPr>
        <w:pStyle w:val="CaptionedFigure"/>
      </w:pPr>
      <w:r>
        <w:drawing>
          <wp:inline>
            <wp:extent cx="3733800" cy="1909089"/>
            <wp:effectExtent b="0" l="0" r="0" t="0"/>
            <wp:docPr descr="значения регистров ecx и eax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значения регистров ecx и eax</w:t>
      </w:r>
    </w:p>
    <w:p>
      <w:pPr>
        <w:numPr>
          <w:ilvl w:val="0"/>
          <w:numId w:val="1015"/>
        </w:numPr>
        <w:pStyle w:val="Compact"/>
      </w:pPr>
      <w:r>
        <w:t xml:space="preserve">Изменение значения регистра</w:t>
      </w:r>
      <w:r>
        <w:t xml:space="preserve"> </w:t>
      </w:r>
      <w:r>
        <w:t xml:space="preserve">Значение регистра ebx было изменено, при этом выводились два разных значения, так как в первый раз было внесено значение 2, а во второй раз регистр уже имел это значение (рис. 20).</w:t>
      </w:r>
    </w:p>
    <w:p>
      <w:pPr>
        <w:pStyle w:val="CaptionedFigure"/>
      </w:pPr>
      <w:r>
        <w:drawing>
          <wp:inline>
            <wp:extent cx="3733800" cy="1443317"/>
            <wp:effectExtent b="0" l="0" r="0" t="0"/>
            <wp:docPr descr="Значения регистров ebx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Значения регистров ebx</w:t>
      </w:r>
    </w:p>
    <w:p>
      <w:pPr>
        <w:numPr>
          <w:ilvl w:val="0"/>
          <w:numId w:val="1016"/>
        </w:numPr>
        <w:pStyle w:val="Compact"/>
      </w:pPr>
      <w:r>
        <w:t xml:space="preserve">Завершение работы с файлами</w:t>
      </w:r>
      <w:r>
        <w:t xml:space="preserve"> </w:t>
      </w:r>
      <w:r>
        <w:t xml:space="preserve">Работа с файлами была завершена, после чего выполнен выход (рис. 21).</w:t>
      </w:r>
    </w:p>
    <w:p>
      <w:pPr>
        <w:pStyle w:val="CaptionedFigure"/>
      </w:pPr>
      <w:r>
        <w:drawing>
          <wp:inline>
            <wp:extent cx="3733800" cy="300305"/>
            <wp:effectExtent b="0" l="0" r="0" t="0"/>
            <wp:docPr descr="Завершение работы с файлом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Завершение работы с файлом</w:t>
      </w:r>
    </w:p>
    <w:p>
      <w:pPr>
        <w:numPr>
          <w:ilvl w:val="0"/>
          <w:numId w:val="1017"/>
        </w:numPr>
        <w:pStyle w:val="Compact"/>
      </w:pPr>
      <w:r>
        <w:t xml:space="preserve">Копирование и переименование файла</w:t>
      </w:r>
      <w:r>
        <w:t xml:space="preserve"> </w:t>
      </w:r>
      <w:r>
        <w:t xml:space="preserve">Файл lab8-2.asm был скопирован и переименован. Запущен в отладчике с указанием аргументов (рис. 22).</w:t>
      </w:r>
    </w:p>
    <w:p>
      <w:pPr>
        <w:pStyle w:val="CaptionedFigure"/>
      </w:pPr>
      <w:r>
        <w:drawing>
          <wp:inline>
            <wp:extent cx="3733800" cy="1629721"/>
            <wp:effectExtent b="0" l="0" r="0" t="0"/>
            <wp:docPr descr="Запуск файла в откладчике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файла в откладчике</w:t>
      </w:r>
    </w:p>
    <w:p>
      <w:pPr>
        <w:numPr>
          <w:ilvl w:val="0"/>
          <w:numId w:val="1018"/>
        </w:numPr>
        <w:pStyle w:val="Compact"/>
      </w:pPr>
      <w:r>
        <w:t xml:space="preserve">Запуск нового файла через метку</w:t>
      </w:r>
      <w:r>
        <w:t xml:space="preserve"> </w:t>
      </w:r>
      <w:r>
        <w:t xml:space="preserve">Запущен файл lab10-3 через метку _start (рис. 23).</w:t>
      </w:r>
    </w:p>
    <w:p>
      <w:pPr>
        <w:pStyle w:val="CaptionedFigure"/>
      </w:pPr>
      <w:r>
        <w:drawing>
          <wp:inline>
            <wp:extent cx="3733800" cy="1629721"/>
            <wp:effectExtent b="0" l="0" r="0" t="0"/>
            <wp:docPr descr="Запуск файла lab9-3.asm через метку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файла lab9-3.asm через метку</w:t>
      </w:r>
    </w:p>
    <w:p>
      <w:pPr>
        <w:numPr>
          <w:ilvl w:val="0"/>
          <w:numId w:val="1019"/>
        </w:numPr>
        <w:pStyle w:val="Compact"/>
      </w:pPr>
      <w:r>
        <w:t xml:space="preserve">Проверка адреса вершины стека</w:t>
      </w:r>
      <w:r>
        <w:t xml:space="preserve"> </w:t>
      </w:r>
      <w:r>
        <w:t xml:space="preserve">Проверен адрес вершины стека, подтверждено хранение 5 элементов (рис. 24).</w:t>
      </w:r>
    </w:p>
    <w:p>
      <w:pPr>
        <w:pStyle w:val="CaptionedFigure"/>
      </w:pPr>
      <w:r>
        <w:drawing>
          <wp:inline>
            <wp:extent cx="3733800" cy="409353"/>
            <wp:effectExtent b="0" l="0" r="0" t="0"/>
            <wp:docPr descr="Адрес вершины стека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Адрес вершины стека</w:t>
      </w:r>
    </w:p>
    <w:p>
      <w:pPr>
        <w:numPr>
          <w:ilvl w:val="0"/>
          <w:numId w:val="1020"/>
        </w:numPr>
        <w:pStyle w:val="Compact"/>
      </w:pPr>
      <w:r>
        <w:t xml:space="preserve">Просмотр всех позиций стека</w:t>
      </w:r>
      <w:r>
        <w:t xml:space="preserve"> </w:t>
      </w:r>
      <w:r>
        <w:t xml:space="preserve">Просмотрены все позиции стека, где по первому адресу хранится адрес возврата, а остальные адреса содержат элементы, расположенные с интервалом в 4 байта для корректного хранения данных (рис. 25).</w:t>
      </w:r>
    </w:p>
    <w:p>
      <w:pPr>
        <w:pStyle w:val="CaptionedFigure"/>
      </w:pPr>
      <w:r>
        <w:drawing>
          <wp:inline>
            <wp:extent cx="3733800" cy="1984632"/>
            <wp:effectExtent b="0" l="0" r="0" t="0"/>
            <wp:docPr descr="Все позиции стека" title="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Все позиции стека</w:t>
      </w:r>
    </w:p>
    <w:p>
      <w:pPr>
        <w:pStyle w:val="BodyText"/>
      </w:pPr>
      <w:r>
        <w:t xml:space="preserve">#Самостоятельная работа</w:t>
      </w:r>
    </w:p>
    <w:p>
      <w:pPr>
        <w:numPr>
          <w:ilvl w:val="0"/>
          <w:numId w:val="1021"/>
        </w:numPr>
        <w:pStyle w:val="Compact"/>
      </w:pPr>
      <w:r>
        <w:t xml:space="preserve">Преобразование программы из лабораторной работы №8 в виде подпрограммы (рис. 26).</w:t>
      </w:r>
    </w:p>
    <w:p>
      <w:pPr>
        <w:pStyle w:val="CaptionedFigure"/>
      </w:pPr>
      <w:r>
        <w:drawing>
          <wp:inline>
            <wp:extent cx="3733800" cy="2492323"/>
            <wp:effectExtent b="0" l="0" r="0" t="0"/>
            <wp:docPr descr="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Текст программы</w:t>
      </w:r>
    </w:p>
    <w:p>
      <w:pPr>
        <w:numPr>
          <w:ilvl w:val="0"/>
          <w:numId w:val="1022"/>
        </w:numPr>
        <w:pStyle w:val="Compact"/>
      </w:pPr>
      <w:r>
        <w:t xml:space="preserve">Попытка запуска программы для проверки на наличие ошибок (рис. 26).</w:t>
      </w:r>
    </w:p>
    <w:p>
      <w:pPr>
        <w:pStyle w:val="CaptionedFigure"/>
      </w:pPr>
      <w:r>
        <w:drawing>
          <wp:inline>
            <wp:extent cx="3733800" cy="871220"/>
            <wp:effectExtent b="0" l="0" r="0" t="0"/>
            <wp:docPr descr="Запуск программы" title="" id="102" name="Picture"/>
            <a:graphic>
              <a:graphicData uri="http://schemas.openxmlformats.org/drawingml/2006/picture">
                <pic:pic>
                  <pic:nvPicPr>
                    <pic:cNvPr descr="image/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</w:t>
      </w:r>
    </w:p>
    <w:p>
      <w:pPr>
        <w:numPr>
          <w:ilvl w:val="0"/>
          <w:numId w:val="1023"/>
        </w:numPr>
        <w:pStyle w:val="Compact"/>
      </w:pPr>
      <w:r>
        <w:t xml:space="preserve">Возникновение арифметической ошибки: ожидаемый результат 25, фактический — 10 (рис. 28).</w:t>
      </w:r>
    </w:p>
    <w:p>
      <w:pPr>
        <w:pStyle w:val="CaptionedFigure"/>
      </w:pPr>
      <w:r>
        <w:drawing>
          <wp:inline>
            <wp:extent cx="3175000" cy="5829300"/>
            <wp:effectExtent b="0" l="0" r="0" t="0"/>
            <wp:docPr descr="Текст программы" title="" id="105" name="Picture"/>
            <a:graphic>
              <a:graphicData uri="http://schemas.openxmlformats.org/drawingml/2006/picture">
                <pic:pic>
                  <pic:nvPicPr>
                    <pic:cNvPr descr="image/2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Текст программы</w:t>
      </w:r>
    </w:p>
    <w:p>
      <w:pPr>
        <w:numPr>
          <w:ilvl w:val="0"/>
          <w:numId w:val="1024"/>
        </w:numPr>
        <w:pStyle w:val="Compact"/>
      </w:pPr>
      <w:r>
        <w:t xml:space="preserve">Использование отладчика GDB для анализа проблемы (рис. 29).</w:t>
      </w:r>
    </w:p>
    <w:p>
      <w:pPr>
        <w:pStyle w:val="CaptionedFigure"/>
      </w:pPr>
      <w:r>
        <w:drawing>
          <wp:inline>
            <wp:extent cx="3733800" cy="466084"/>
            <wp:effectExtent b="0" l="0" r="0" t="0"/>
            <wp:docPr descr="Запуск программы" title="" id="108" name="Picture"/>
            <a:graphic>
              <a:graphicData uri="http://schemas.openxmlformats.org/drawingml/2006/picture">
                <pic:pic>
                  <pic:nvPicPr>
                    <pic:cNvPr descr="image/29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Запуск программы</w:t>
      </w:r>
    </w:p>
    <w:p>
      <w:pPr>
        <w:numPr>
          <w:ilvl w:val="0"/>
          <w:numId w:val="1025"/>
        </w:numPr>
        <w:pStyle w:val="Compact"/>
      </w:pPr>
      <w:r>
        <w:t xml:space="preserve">Запуск программы в отладчике (рис. 30).</w:t>
      </w:r>
    </w:p>
    <w:p>
      <w:pPr>
        <w:pStyle w:val="CaptionedFigure"/>
      </w:pPr>
      <w:r>
        <w:drawing>
          <wp:inline>
            <wp:extent cx="3733800" cy="2927213"/>
            <wp:effectExtent b="0" l="0" r="0" t="0"/>
            <wp:docPr descr="Запуск программы в откладчике" title="" id="111" name="Picture"/>
            <a:graphic>
              <a:graphicData uri="http://schemas.openxmlformats.org/drawingml/2006/picture">
                <pic:pic>
                  <pic:nvPicPr>
                    <pic:cNvPr descr="image/30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Запуск программы в откладчике</w:t>
      </w:r>
    </w:p>
    <w:p>
      <w:pPr>
        <w:numPr>
          <w:ilvl w:val="0"/>
          <w:numId w:val="1026"/>
        </w:numPr>
        <w:pStyle w:val="Compact"/>
      </w:pPr>
      <w:r>
        <w:t xml:space="preserve">Открытие и анализ состояния регистров (рис. 31).Были обнаружены некорректные значения в регистрах, влияющих на вычисления. Были внесены исправлений в их значениях.</w:t>
      </w:r>
    </w:p>
    <w:p>
      <w:pPr>
        <w:pStyle w:val="CaptionedFigure"/>
      </w:pPr>
      <w:r>
        <w:drawing>
          <wp:inline>
            <wp:extent cx="3733800" cy="2595016"/>
            <wp:effectExtent b="0" l="0" r="0" t="0"/>
            <wp:docPr descr="Анализ регистров" title="" id="114" name="Picture"/>
            <a:graphic>
              <a:graphicData uri="http://schemas.openxmlformats.org/drawingml/2006/picture">
                <pic:pic>
                  <pic:nvPicPr>
                    <pic:cNvPr descr="image/31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Анализ регистров</w:t>
      </w:r>
    </w:p>
    <w:p>
      <w:pPr>
        <w:numPr>
          <w:ilvl w:val="0"/>
          <w:numId w:val="1027"/>
        </w:numPr>
        <w:pStyle w:val="Compact"/>
      </w:pPr>
      <w:r>
        <w:t xml:space="preserve">Повторный запуск программы с получением правильного ответа — 25 (рис. 32).</w:t>
      </w:r>
    </w:p>
    <w:p>
      <w:pPr>
        <w:pStyle w:val="CaptionedFigure"/>
      </w:pPr>
      <w:r>
        <w:drawing>
          <wp:inline>
            <wp:extent cx="3733800" cy="2927213"/>
            <wp:effectExtent b="0" l="0" r="0" t="0"/>
            <wp:docPr descr="Работа программы" title="" id="117" name="Picture"/>
            <a:graphic>
              <a:graphicData uri="http://schemas.openxmlformats.org/drawingml/2006/picture">
                <pic:pic>
                  <pic:nvPicPr>
                    <pic:cNvPr descr="image/32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Работа программы</w:t>
      </w:r>
    </w:p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успешно освоены основные принципы работы с ассемблерными программами и отладчиком GDB.</w:t>
      </w:r>
    </w:p>
    <w:bookmarkEnd w:id="120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bookmarkStart w:id="12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21"/>
    <w:bookmarkStart w:id="12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22"/>
    <w:bookmarkStart w:id="12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23"/>
    <w:bookmarkStart w:id="12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2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7" Target="media/rId2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107" Target="media/rId107.jpg" /><Relationship Type="http://schemas.openxmlformats.org/officeDocument/2006/relationships/image" Id="rId30" Target="media/rId30.jpg" /><Relationship Type="http://schemas.openxmlformats.org/officeDocument/2006/relationships/image" Id="rId110" Target="media/rId110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12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работе”</dc:title>
  <dc:creator>Тииур Ринатович Каримов</dc:creator>
  <dc:language>ru-RU</dc:language>
  <cp:keywords/>
  <dcterms:created xsi:type="dcterms:W3CDTF">2024-12-08T00:19:16Z</dcterms:created>
  <dcterms:modified xsi:type="dcterms:W3CDTF">2024-12-08T00:19:16Z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