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0" w:rightFromText="0" w:topFromText="0" w:bottomFromText="0" w:vertAnchor="page" w:horzAnchor="page" w:tblpXSpec="center" w:tblpY="455"/>
        <w:tblW w:w="9526.0" w:type="dxa"/>
        <w:jc w:val="left"/>
        <w:tblLayout w:type="fixed"/>
        <w:tblLook w:val="0400"/>
      </w:tblPr>
      <w:tblGrid>
        <w:gridCol w:w="9526"/>
        <w:tblGridChange w:id="0">
          <w:tblGrid>
            <w:gridCol w:w="9526"/>
          </w:tblGrid>
        </w:tblGridChange>
      </w:tblGrid>
      <w:tr>
        <w:trPr>
          <w:cantSplit w:val="1"/>
          <w:trHeight w:val="1928" w:hRule="atLeast"/>
          <w:tblHeader w:val="0"/>
        </w:trPr>
        <w:tc>
          <w:tcPr>
            <w:tcMar>
              <w:top w:w="0.0" w:type="dxa"/>
              <w:left w:w="0.0" w:type="dxa"/>
              <w:bottom w:w="567.0" w:type="dxa"/>
              <w:right w:w="0.0" w:type="dxa"/>
            </w:tcMa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780" w:lineRule="auto"/>
              <w:ind w:left="0" w:right="0" w:firstLine="0"/>
              <w:jc w:val="center"/>
              <w:rPr>
                <w:rFonts w:ascii="Open Sans" w:cs="Open Sans" w:eastAsia="Open Sans" w:hAnsi="Open Sans"/>
                <w:b w:val="0"/>
                <w:bCs w:val="0"/>
                <w:i w:val="0"/>
                <w:iCs w:val="0"/>
                <w:smallCaps w:val="0"/>
                <w:strike w:val="0"/>
                <w:color w:val="ffffff"/>
                <w:sz w:val="72"/>
                <w:szCs w:val="7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ffffff"/>
                <w:sz w:val="72"/>
                <w:szCs w:val="72"/>
                <w:u w:val="none"/>
                <w:shd w:fill="auto" w:val="clear"/>
                <w:vertAlign w:val="baseline"/>
                <w:rtl w:val="0"/>
              </w:rPr>
              <w:t xml:space="preserve">Final Report ILO 3</w:t>
            </w:r>
          </w:p>
        </w:tc>
      </w:tr>
      <w:tr>
        <w:trPr>
          <w:cantSplit w:val="1"/>
          <w:trHeight w:val="1077" w:hRule="atLeast"/>
          <w:tblHeader w:val="0"/>
        </w:trPr>
        <w:tc>
          <w:tcPr>
            <w:tcMar>
              <w:top w:w="0.0" w:type="dxa"/>
              <w:left w:w="0.0" w:type="dxa"/>
              <w:bottom w:w="0.0" w:type="dxa"/>
              <w:right w:w="0.0" w:type="dxa"/>
            </w:tcM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Open Sans" w:cs="Open Sans" w:eastAsia="Open Sans" w:hAnsi="Open Sans"/>
                <w:b w:val="0"/>
                <w:bCs w:val="0"/>
                <w:i w:val="0"/>
                <w:iCs w:val="0"/>
                <w:smallCaps w:val="0"/>
                <w:strike w:val="0"/>
                <w:color w:val="0e3e67"/>
                <w:sz w:val="44"/>
                <w:szCs w:val="4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e3e67"/>
                <w:sz w:val="44"/>
                <w:szCs w:val="44"/>
                <w:u w:val="none"/>
                <w:shd w:fill="auto" w:val="clear"/>
                <w:vertAlign w:val="baseline"/>
                <w:rtl w:val="0"/>
              </w:rPr>
              <w:t xml:space="preserve">Legal Assessment</w:t>
            </w:r>
          </w:p>
        </w:tc>
      </w:tr>
    </w:tbl>
    <w:p w:rsidR="00000000" w:rsidDel="00000000" w:rsidP="00000000" w:rsidRDefault="00000000" w:rsidRPr="00000000" w14:paraId="00000004">
      <w:pPr>
        <w:rPr/>
        <w:sectPr>
          <w:headerReference r:id="rId6" w:type="first"/>
          <w:footerReference r:id="rId7" w:type="default"/>
          <w:pgSz w:h="16838" w:w="11906" w:orient="portrait"/>
          <w:pgMar w:bottom="1985" w:top="1134" w:left="1418" w:right="1134" w:header="709" w:footer="454"/>
          <w:pgNumType w:start="1"/>
          <w:titlePg w:val="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-307314</wp:posOffset>
                </wp:positionH>
                <wp:positionV relativeFrom="paragraph">
                  <wp:posOffset>2668100</wp:posOffset>
                </wp:positionV>
                <wp:extent cx="6381525" cy="6237525"/>
                <wp:effectExtent b="0" l="0" r="0" t="0"/>
                <wp:wrapNone/>
                <wp:docPr id="1" name=""/>
                <a:graphic>
                  <a:graphicData uri="http://schemas.microsoft.com/office/word/2010/wordprocessingShape">
                    <wps:wsp>
                      <wps:cNvSpPr/>
                      <wps:cNvPr id="2" name="Shape 2"/>
                      <wps:spPr>
                        <a:xfrm>
                          <a:off x="2160000" y="666000"/>
                          <a:ext cx="6372000" cy="6228000"/>
                        </a:xfrm>
                        <a:prstGeom prst="rect">
                          <a:avLst/>
                        </a:prstGeom>
                        <a:blipFill rotWithShape="1">
                          <a:blip r:embed="rId8">
                            <a:alphaModFix/>
                          </a:blip>
                          <a:stretch>
                            <a:fillRect b="133" l="0" r="0" t="-141"/>
                          </a:stretch>
                        </a:blipFill>
                        <a:ln>
                          <a:noFill/>
                        </a:ln>
                      </wps:spPr>
                      <wps:txbx>
                        <w:txbxContent>
                          <w:p w:rsidR="00000000" w:rsidDel="00000000" w:rsidP="00000000" w:rsidRDefault="00000000" w:rsidRPr="00000000">
                            <w:pPr>
                              <w:spacing w:after="0" w:before="0" w:line="275.9999942779541"/>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-307314</wp:posOffset>
                </wp:positionH>
                <wp:positionV relativeFrom="paragraph">
                  <wp:posOffset>2668100</wp:posOffset>
                </wp:positionV>
                <wp:extent cx="6381525" cy="62375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381525" cy="6237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-411161</wp:posOffset>
                </wp:positionH>
                <wp:positionV relativeFrom="paragraph">
                  <wp:posOffset>9158972</wp:posOffset>
                </wp:positionV>
                <wp:extent cx="2569845" cy="565785"/>
                <wp:effectExtent b="0" l="0" r="0" t="0"/>
                <wp:wrapNone/>
                <wp:docPr id="3" name=""/>
                <a:graphic>
                  <a:graphicData uri="http://schemas.microsoft.com/office/word/2010/wordprocessingShape">
                    <wps:wsp>
                      <wps:cNvSpPr/>
                      <wps:cNvPr id="4" name="Shape 4"/>
                      <wps:spPr>
                        <a:xfrm>
                          <a:off x="4065840" y="3501870"/>
                          <a:ext cx="2560320" cy="556260"/>
                        </a:xfrm>
                        <a:prstGeom prst="rect">
                          <a:avLst/>
                        </a:prstGeom>
                        <a:no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0"/>
                                <w:vertAlign w:val="baseline"/>
                              </w:rPr>
                              <w:t xml:space="preserve">Applied Data Science &amp; AI</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0"/>
                                <w:vertAlign w:val="baseline"/>
                              </w:rPr>
                            </w:r>
                            <w:r w:rsidDel="00000000" w:rsidR="00000000" w:rsidRPr="00000000">
                              <w:rPr>
                                <w:rFonts w:ascii="Arial" w:cs="Arial" w:eastAsia="Arial" w:hAnsi="Arial"/>
                                <w:b w:val="0"/>
                                <w:i w:val="0"/>
                                <w:smallCaps w:val="0"/>
                                <w:strike w:val="0"/>
                                <w:color w:val="ffffff"/>
                                <w:sz w:val="20"/>
                                <w:vertAlign w:val="baseline"/>
                              </w:rPr>
                              <w:t xml:space="preserve">Date</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0"/>
                                <w:vertAlign w:val="baseline"/>
                              </w:rPr>
                            </w:r>
                            <w:r w:rsidDel="00000000" w:rsidR="00000000" w:rsidRPr="00000000">
                              <w:rPr>
                                <w:rFonts w:ascii="Arial" w:cs="Arial" w:eastAsia="Arial" w:hAnsi="Arial"/>
                                <w:b w:val="0"/>
                                <w:i w:val="0"/>
                                <w:smallCaps w:val="0"/>
                                <w:strike w:val="0"/>
                                <w:color w:val="ffffff"/>
                                <w:sz w:val="20"/>
                                <w:vertAlign w:val="baseline"/>
                              </w:rPr>
                              <w:t xml:space="preserve">Name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-411161</wp:posOffset>
                </wp:positionH>
                <wp:positionV relativeFrom="paragraph">
                  <wp:posOffset>9158972</wp:posOffset>
                </wp:positionV>
                <wp:extent cx="2569845" cy="565785"/>
                <wp:effectExtent b="0" l="0" r="0" t="0"/>
                <wp:wrapNone/>
                <wp:docPr id="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569845" cy="565785"/>
                        </a:xfrm>
                        <a:prstGeom prst="rect"/>
                        <a:ln/>
                      </pic:spPr>
                    </pic:pic>
                  </a:graphicData>
                </a:graphic>
              </wp:anchor>
            </w:drawing>
          </mc:Fallback>
        </mc:AlternateContent>
      </w:r>
    </w:p>
    <w:p w:rsidR="00000000" w:rsidDel="00000000" w:rsidP="00000000" w:rsidRDefault="00000000" w:rsidRPr="00000000" w14:paraId="00000005">
      <w:pPr>
        <w:pageBreakBefore w:val="1"/>
        <w:rPr/>
      </w:pPr>
      <w:r w:rsidDel="00000000" w:rsidR="00000000" w:rsidRPr="00000000">
        <w:rPr>
          <w:rtl w:val="0"/>
        </w:rPr>
      </w:r>
    </w:p>
    <w:p w:rsidR="00000000" w:rsidDel="00000000" w:rsidP="00000000" w:rsidRDefault="00000000" w:rsidRPr="00000000" w14:paraId="00000006">
      <w:pPr>
        <w:rPr>
          <w:color w:val="ed7d31"/>
          <w:sz w:val="38"/>
          <w:szCs w:val="38"/>
        </w:rPr>
      </w:pPr>
      <w:bookmarkStart w:colFirst="0" w:colLast="0" w:name="_5tmujpitprsv" w:id="0"/>
      <w:bookmarkEnd w:id="0"/>
      <w:r w:rsidDel="00000000" w:rsidR="00000000" w:rsidRPr="00000000">
        <w:rPr>
          <w:color w:val="ed7d31"/>
          <w:sz w:val="38"/>
          <w:szCs w:val="38"/>
          <w:rtl w:val="0"/>
        </w:rPr>
        <w:t xml:space="preserve">Index</w:t>
      </w:r>
    </w:p>
    <w:p w:rsidR="00000000" w:rsidDel="00000000" w:rsidP="00000000" w:rsidRDefault="00000000" w:rsidRPr="00000000" w14:paraId="00000007">
      <w:pPr>
        <w:rPr>
          <w:color w:val="ed7d31"/>
          <w:sz w:val="38"/>
          <w:szCs w:val="38"/>
        </w:rPr>
      </w:pPr>
      <w:r w:rsidDel="00000000" w:rsidR="00000000" w:rsidRPr="00000000">
        <w:rPr>
          <w:rtl w:val="0"/>
        </w:rPr>
      </w:r>
    </w:p>
    <w:sdt>
      <w:sdtPr>
        <w:id w:val="-662774695"/>
        <w:docPartObj>
          <w:docPartGallery w:val="Table of Contents"/>
          <w:docPartUnique w:val="1"/>
        </w:docPartObj>
      </w:sdtPr>
      <w:sdtContent>
        <w:p w:rsidR="00000000" w:rsidDel="00000000" w:rsidP="00000000" w:rsidRDefault="00000000" w:rsidRPr="00000000" w14:paraId="00000008">
          <w:pPr>
            <w:keepNext w:val="0"/>
            <w:keepLines w:val="0"/>
            <w:pageBreakBefore w:val="0"/>
            <w:widowControl w:val="1"/>
            <w:pBdr>
              <w:top w:color="3cb4e5" w:space="1" w:sz="4" w:val="single"/>
              <w:left w:space="0" w:sz="0" w:val="nil"/>
              <w:bottom w:color="3cb4e5" w:space="1" w:sz="4" w:val="single"/>
              <w:right w:space="0" w:sz="0" w:val="nil"/>
              <w:between w:space="0" w:sz="0" w:val="nil"/>
            </w:pBdr>
            <w:shd w:fill="auto" w:val="clear"/>
            <w:tabs>
              <w:tab w:val="left" w:leader="none" w:pos="567"/>
              <w:tab w:val="right" w:leader="none" w:pos="9344"/>
              <w:tab w:val="right" w:leader="none" w:pos="9330"/>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sgro1sbsy9ov" w:id="1"/>
          <w:bookmarkEnd w:id="1"/>
          <w:r w:rsidDel="00000000" w:rsidR="00000000" w:rsidRPr="00000000">
            <w:fldChar w:fldCharType="begin"/>
            <w:instrText xml:space="preserve"> TOC \h \u \z \t "Heading 1,1,Heading 2,2,Heading 3,3,"</w:instrText>
            <w:fldChar w:fldCharType="separate"/>
          </w:r>
          <w:hyperlink w:anchor="_8d5pot35za0w">
            <w:r w:rsidDel="00000000" w:rsidR="00000000" w:rsidRPr="00000000">
              <w:rPr>
                <w:rFonts w:ascii="Open Sans" w:cs="Open Sans" w:eastAsia="Open Sans" w:hAnsi="Open Sans"/>
                <w:b w:val="1"/>
                <w:bCs w:val="1"/>
                <w:i w:val="0"/>
                <w:iCs w:val="0"/>
                <w:smallCaps w:val="0"/>
                <w:strike w:val="0"/>
                <w:color w:val="00416b"/>
                <w:sz w:val="18"/>
                <w:szCs w:val="18"/>
                <w:u w:val="none"/>
                <w:shd w:fill="auto" w:val="clear"/>
                <w:vertAlign w:val="baseline"/>
                <w:rtl w:val="0"/>
              </w:rPr>
              <w:t xml:space="preserve">Task 4.1: Identification of Legal obligations and requirements. (Individual Task)</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color="3cb4e5" w:space="1" w:sz="4" w:val="single"/>
              <w:left w:space="0" w:sz="0" w:val="nil"/>
              <w:bottom w:color="3cb4e5" w:space="1" w:sz="4" w:val="single"/>
              <w:right w:space="0" w:sz="0" w:val="nil"/>
              <w:between w:space="0" w:sz="0" w:val="nil"/>
            </w:pBdr>
            <w:shd w:fill="auto" w:val="clear"/>
            <w:tabs>
              <w:tab w:val="left" w:leader="none" w:pos="567"/>
              <w:tab w:val="right" w:leader="none" w:pos="9344"/>
              <w:tab w:val="right" w:leader="none" w:pos="9330"/>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c89moq1jilm">
            <w:r w:rsidDel="00000000" w:rsidR="00000000" w:rsidRPr="00000000">
              <w:rPr>
                <w:rFonts w:ascii="Open Sans" w:cs="Open Sans" w:eastAsia="Open Sans" w:hAnsi="Open Sans"/>
                <w:b w:val="1"/>
                <w:bCs w:val="1"/>
                <w:i w:val="0"/>
                <w:iCs w:val="0"/>
                <w:smallCaps w:val="0"/>
                <w:strike w:val="0"/>
                <w:color w:val="00416b"/>
                <w:sz w:val="18"/>
                <w:szCs w:val="18"/>
                <w:u w:val="none"/>
                <w:shd w:fill="auto" w:val="clear"/>
                <w:vertAlign w:val="baseline"/>
                <w:rtl w:val="0"/>
              </w:rPr>
              <w:t xml:space="preserve">Task 4.2: AI System Development: Legal Risk Assessment. (Group Task)</w:t>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color="3cb4e5" w:space="1" w:sz="4" w:val="single"/>
              <w:left w:space="0" w:sz="0" w:val="nil"/>
              <w:bottom w:color="3cb4e5" w:space="1" w:sz="4" w:val="single"/>
              <w:right w:space="0" w:sz="0" w:val="nil"/>
              <w:between w:space="0" w:sz="0" w:val="nil"/>
            </w:pBdr>
            <w:shd w:fill="auto" w:val="clear"/>
            <w:tabs>
              <w:tab w:val="left" w:leader="none" w:pos="567"/>
              <w:tab w:val="right" w:leader="none" w:pos="9344"/>
              <w:tab w:val="right" w:leader="none" w:pos="9330"/>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odvzl136qvm">
            <w:r w:rsidDel="00000000" w:rsidR="00000000" w:rsidRPr="00000000">
              <w:rPr>
                <w:rFonts w:ascii="Open Sans" w:cs="Open Sans" w:eastAsia="Open Sans" w:hAnsi="Open Sans"/>
                <w:b w:val="1"/>
                <w:bCs w:val="1"/>
                <w:i w:val="0"/>
                <w:iCs w:val="0"/>
                <w:smallCaps w:val="0"/>
                <w:strike w:val="0"/>
                <w:color w:val="00416b"/>
                <w:sz w:val="18"/>
                <w:szCs w:val="18"/>
                <w:u w:val="none"/>
                <w:shd w:fill="auto" w:val="clear"/>
                <w:vertAlign w:val="baseline"/>
                <w:rtl w:val="0"/>
              </w:rPr>
              <w:t xml:space="preserve">References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Heading1"/>
        <w:ind w:left="360" w:firstLine="0"/>
        <w:rPr/>
      </w:pPr>
      <w:r w:rsidDel="00000000" w:rsidR="00000000" w:rsidRPr="00000000">
        <w:rPr>
          <w:rtl w:val="0"/>
        </w:rPr>
      </w:r>
    </w:p>
    <w:p w:rsidR="00000000" w:rsidDel="00000000" w:rsidP="00000000" w:rsidRDefault="00000000" w:rsidRPr="00000000" w14:paraId="0000000C">
      <w:pPr>
        <w:spacing w:after="200" w:line="276" w:lineRule="auto"/>
        <w:rPr>
          <w:color w:val="ed7623"/>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8d5pot35za0w" w:id="2"/>
      <w:bookmarkEnd w:id="2"/>
      <w:r w:rsidDel="00000000" w:rsidR="00000000" w:rsidRPr="00000000">
        <w:rPr>
          <w:rtl w:val="0"/>
        </w:rPr>
        <w:t xml:space="preserve">Task 4.1: Identification of Legal obligations and requirements. (Individual Task)</w:t>
      </w:r>
    </w:p>
    <w:p w:rsidR="00000000" w:rsidDel="00000000" w:rsidP="00000000" w:rsidRDefault="00000000" w:rsidRPr="00000000" w14:paraId="0000000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Open Sans" w:cs="Open Sans" w:eastAsia="Open Sans" w:hAnsi="Open Sans"/>
          <w:b w:val="1"/>
          <w:bCs w:val="1"/>
          <w:i w:val="0"/>
          <w:iCs w:val="0"/>
          <w:smallCaps w:val="0"/>
          <w:strike w:val="0"/>
          <w:color w:val="3cb4e5"/>
          <w:sz w:val="20"/>
          <w:szCs w:val="20"/>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3cb4e5"/>
          <w:sz w:val="20"/>
          <w:szCs w:val="20"/>
          <w:u w:val="none"/>
          <w:shd w:fill="auto" w:val="clear"/>
          <w:vertAlign w:val="baseline"/>
          <w:rtl w:val="0"/>
        </w:rPr>
        <w:t xml:space="preserve">Proposed AI system</w:t>
      </w:r>
    </w:p>
    <w:p w:rsidR="00000000" w:rsidDel="00000000" w:rsidP="00000000" w:rsidRDefault="00000000" w:rsidRPr="00000000" w14:paraId="0000000F">
      <w:pPr>
        <w:rPr>
          <w:b w:val="1"/>
          <w:bCs w:val="1"/>
          <w:color w:val="3cb4e5"/>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Define what the AI system does, its purpose, and its intended use case.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Specify the sector it operates in (e.g., healthcare, finance, education, transportation).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Identify the key functionalities and how the system interacts with users or processes data.</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Open Sans" w:cs="Open Sans" w:eastAsia="Open Sans" w:hAnsi="Open Sans"/>
          <w:b w:val="1"/>
          <w:bCs w:val="1"/>
          <w:i w:val="0"/>
          <w:iCs w:val="0"/>
          <w:smallCaps w:val="0"/>
          <w:strike w:val="0"/>
          <w:color w:val="3cb4e5"/>
          <w:sz w:val="20"/>
          <w:szCs w:val="20"/>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3cb4e5"/>
          <w:sz w:val="20"/>
          <w:szCs w:val="20"/>
          <w:u w:val="none"/>
          <w:shd w:fill="auto" w:val="clear"/>
          <w:vertAlign w:val="baseline"/>
          <w:rtl w:val="0"/>
        </w:rPr>
        <w:t xml:space="preserve">The level of risk</w:t>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Based on The EU Artificial Intelligence Act, identify the level of risk associated with the AI system you intend to propose.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Combining the literature and characteristics/ functionalities of your AI system, explain why your system falls under this risk category.</w:t>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b w:val="1"/>
          <w:bCs w:val="1"/>
          <w:color w:val="3cb4e5"/>
          <w:sz w:val="20"/>
          <w:szCs w:val="20"/>
        </w:rPr>
      </w:pPr>
      <w:r w:rsidDel="00000000" w:rsidR="00000000" w:rsidRPr="00000000">
        <w:rPr>
          <w:b w:val="1"/>
          <w:bCs w:val="1"/>
          <w:color w:val="3cb4e5"/>
          <w:sz w:val="20"/>
          <w:szCs w:val="20"/>
          <w:rtl w:val="0"/>
        </w:rPr>
        <w:t xml:space="preserve">1.3 Legal obligations and requirements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Open Sans" w:cs="Open Sans" w:eastAsia="Open Sans" w:hAnsi="Open Sans"/>
          <w:b w:val="0"/>
          <w:bCs w:val="0"/>
          <w:i w:val="0"/>
          <w:iCs w:val="0"/>
          <w:smallCaps w:val="0"/>
          <w:strike w:val="0"/>
          <w:color w:val="3cb4e5"/>
          <w:sz w:val="18"/>
          <w:szCs w:val="18"/>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3cb4e5"/>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Lists the legal obligations that apply based on the risk level.</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Explain the reasoning behind including and excluding certain legal requirements and obligations.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Provide a rationale based on important facts, details, examples, and explanations from multiple authoritative sources.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
        <w:ind w:left="397" w:hanging="397"/>
        <w:rPr/>
      </w:pPr>
      <w:bookmarkStart w:colFirst="0" w:colLast="0" w:name="_7c89moq1jilm" w:id="3"/>
      <w:bookmarkEnd w:id="3"/>
      <w:r w:rsidDel="00000000" w:rsidR="00000000" w:rsidRPr="00000000">
        <w:rPr>
          <w:rtl w:val="0"/>
        </w:rPr>
        <w:t xml:space="preserve">Task 4.2: AI System Development: Legal Risk Assessment. (Group Task)</w:t>
      </w:r>
    </w:p>
    <w:p w:rsidR="00000000" w:rsidDel="00000000" w:rsidP="00000000" w:rsidRDefault="00000000" w:rsidRPr="00000000" w14:paraId="0000002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1"/>
          <w:bCs w:val="1"/>
          <w:i w:val="0"/>
          <w:iCs w:val="0"/>
          <w:smallCaps w:val="0"/>
          <w:strike w:val="0"/>
          <w:color w:val="3cb4e5"/>
          <w:sz w:val="20"/>
          <w:szCs w:val="20"/>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3cb4e5"/>
          <w:sz w:val="20"/>
          <w:szCs w:val="20"/>
          <w:u w:val="none"/>
          <w:shd w:fill="auto" w:val="clear"/>
          <w:vertAlign w:val="baseline"/>
          <w:rtl w:val="0"/>
        </w:rPr>
        <w:t xml:space="preserve">Developed AI system</w:t>
      </w:r>
    </w:p>
    <w:p w:rsidR="00000000" w:rsidDel="00000000" w:rsidP="00000000" w:rsidRDefault="00000000" w:rsidRPr="00000000" w14:paraId="00000021">
      <w:pPr>
        <w:rPr>
          <w:b w:val="1"/>
          <w:bCs w:val="1"/>
          <w:color w:val="3cb4e5"/>
          <w:sz w:val="20"/>
          <w:szCs w:val="20"/>
        </w:rPr>
      </w:pPr>
      <w:r w:rsidDel="00000000" w:rsidR="00000000" w:rsidRPr="00000000">
        <w:rPr>
          <w:rtl w:val="0"/>
        </w:rPr>
      </w:r>
    </w:p>
    <w:p w:rsidR="00000000" w:rsidDel="00000000" w:rsidP="00000000" w:rsidRDefault="00000000" w:rsidRPr="00000000" w14:paraId="00000022">
      <w:pPr>
        <w:spacing w:after="240" w:lineRule="auto"/>
        <w:rPr/>
      </w:pPr>
      <w:r w:rsidDel="00000000" w:rsidR="00000000" w:rsidRPr="00000000">
        <w:rPr>
          <w:rtl w:val="0"/>
        </w:rPr>
        <w:t xml:space="preserve">The developed AI system, </w:t>
      </w:r>
      <w:r w:rsidDel="00000000" w:rsidR="00000000" w:rsidRPr="00000000">
        <w:rPr>
          <w:i w:val="1"/>
          <w:iCs w:val="1"/>
          <w:rtl w:val="0"/>
        </w:rPr>
        <w:t xml:space="preserve">Day-to-Day Stock Price Predictor</w:t>
      </w:r>
      <w:r w:rsidDel="00000000" w:rsidR="00000000" w:rsidRPr="00000000">
        <w:rPr>
          <w:rtl w:val="0"/>
        </w:rPr>
        <w:t xml:space="preserve">, is a binary classification machine learning tool that predicts whether the next-day closing price of Microsoft Corporation (MSFT) will go up or down. The system combines at least 5 years (at least January 2019 and onward) of MSFT daily OHLCV data with three exogenous market signals — gold closing price, crude oil closing price, and the VIX volatility index — engineered into lag features, rolling statistics, daily returns, and price ranges. Models are developed iteratively: Logistic Regression (baseline), Random Forest, XGBoost, and an LSTM neural network, combined in a final stacking ensemble with a linear meta-learner trained on out-of-fold predictions. A time-based 80/20 train/test split prevents lookahead bias, and the F1 score is the primary evaluation metric.</w:t>
      </w:r>
    </w:p>
    <w:p w:rsidR="00000000" w:rsidDel="00000000" w:rsidP="00000000" w:rsidRDefault="00000000" w:rsidRPr="00000000" w14:paraId="00000023">
      <w:pPr>
        <w:spacing w:after="240" w:lineRule="auto"/>
        <w:rPr/>
      </w:pPr>
      <w:r w:rsidDel="00000000" w:rsidR="00000000" w:rsidRPr="00000000">
        <w:rPr>
          <w:rtl w:val="0"/>
        </w:rPr>
        <w:t xml:space="preserve">The system operates in the </w:t>
      </w:r>
      <w:r w:rsidDel="00000000" w:rsidR="00000000" w:rsidRPr="00000000">
        <w:rPr>
          <w:b w:val="1"/>
          <w:bCs w:val="1"/>
          <w:rtl w:val="0"/>
        </w:rPr>
        <w:t xml:space="preserve">financial services sector</w:t>
      </w:r>
      <w:r w:rsidDel="00000000" w:rsidR="00000000" w:rsidRPr="00000000">
        <w:rPr>
          <w:rtl w:val="0"/>
        </w:rPr>
        <w:t xml:space="preserve"> as a decision-support tool for retail investors. It is delivered as a Streamlit web dashboard backed by a SQLite database, containerized with Docker and Docker Compose, and reproducible through Poetry. The dashboard reads predictions directly from the SQLite predictions table, displays them alongside accuracy metrics and confusion matrix visualizations, and is accessible without registration. </w:t>
      </w:r>
      <w:r w:rsidDel="00000000" w:rsidR="00000000" w:rsidRPr="00000000">
        <w:rPr>
          <w:b w:val="1"/>
          <w:bCs w:val="1"/>
          <w:rtl w:val="0"/>
        </w:rPr>
        <w:t xml:space="preserve">No user accounts, authentication, billing, or tracking is implemented; the system processes only publicly available market data and stores no personal data.</w:t>
      </w:r>
      <w:r w:rsidDel="00000000" w:rsidR="00000000" w:rsidRPr="00000000">
        <w:rPr>
          <w:rtl w:val="0"/>
        </w:rPr>
        <w:t xml:space="preserve"> It does not execute trades or provide personalized investment advice — end users interpret the directional signal and make their own decisions.</w:t>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1"/>
          <w:bCs w:val="1"/>
          <w:i w:val="0"/>
          <w:iCs w:val="0"/>
          <w:smallCaps w:val="0"/>
          <w:strike w:val="0"/>
          <w:color w:val="3cb4e5"/>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Open Sans" w:cs="Open Sans" w:eastAsia="Open Sans" w:hAnsi="Open Sans"/>
          <w:b w:val="1"/>
          <w:bCs w:val="1"/>
          <w:i w:val="0"/>
          <w:iCs w:val="0"/>
          <w:smallCaps w:val="0"/>
          <w:strike w:val="0"/>
          <w:color w:val="3cb4e5"/>
          <w:sz w:val="20"/>
          <w:szCs w:val="20"/>
          <w:u w:val="none"/>
          <w:shd w:fill="auto" w:val="clear"/>
          <w:vertAlign w:val="baseline"/>
          <w:rtl w:val="0"/>
        </w:rPr>
        <w:t xml:space="preserve">The level of risk</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before="240" w:line="240" w:lineRule="auto"/>
        <w:rPr/>
      </w:pPr>
      <w:r w:rsidDel="00000000" w:rsidR="00000000" w:rsidRPr="00000000">
        <w:rPr>
          <w:rtl w:val="0"/>
        </w:rPr>
        <w:t xml:space="preserve">Under the EU AI Act (Regulation (EU) 2024/1689), the system is classified as </w:t>
      </w:r>
      <w:r w:rsidDel="00000000" w:rsidR="00000000" w:rsidRPr="00000000">
        <w:rPr>
          <w:b w:val="1"/>
          <w:bCs w:val="1"/>
          <w:rtl w:val="0"/>
        </w:rPr>
        <w:t xml:space="preserve">limited risk</w:t>
      </w:r>
      <w:r w:rsidDel="00000000" w:rsidR="00000000" w:rsidRPr="00000000">
        <w:rPr>
          <w:rtl w:val="0"/>
        </w:rPr>
        <w:t xml:space="preserve">.</w:t>
      </w:r>
    </w:p>
    <w:p w:rsidR="00000000" w:rsidDel="00000000" w:rsidP="00000000" w:rsidRDefault="00000000" w:rsidRPr="00000000" w14:paraId="00000028">
      <w:pPr>
        <w:spacing w:before="240" w:line="240" w:lineRule="auto"/>
        <w:rPr/>
      </w:pPr>
      <w:r w:rsidDel="00000000" w:rsidR="00000000" w:rsidRPr="00000000">
        <w:rPr>
          <w:rtl w:val="0"/>
        </w:rPr>
        <w:t xml:space="preserve">It is not unacceptable risk: it implements no practice prohibited under Article 5 (social scoring, subliminal manipulation, exploitation of vulnerabilities, real-time biometric identification).</w:t>
      </w:r>
    </w:p>
    <w:p w:rsidR="00000000" w:rsidDel="00000000" w:rsidP="00000000" w:rsidRDefault="00000000" w:rsidRPr="00000000" w14:paraId="00000029">
      <w:pPr>
        <w:spacing w:before="240" w:line="240" w:lineRule="auto"/>
        <w:rPr/>
      </w:pPr>
      <w:r w:rsidDel="00000000" w:rsidR="00000000" w:rsidRPr="00000000">
        <w:rPr>
          <w:rtl w:val="0"/>
        </w:rPr>
        <w:t xml:space="preserve">It is not high-risk under Annex III. The closest provision, point 5(b), covers AI used to evaluate the creditworthiness of natural persons. Recital 58 confirms this targets systems determining individuals' access to essential financial services such as loans or mortgages. The developed system forecasts an aggregate UP/DOWN direction for a single publicly traded equity, not creditworthiness of any user. It is also not a safety component under Article 6(1) or Annex I, and is not a general-purpose AI model under Articles 51–56 — it is a narrow task-specific binary classifier.</w:t>
      </w:r>
    </w:p>
    <w:p w:rsidR="00000000" w:rsidDel="00000000" w:rsidP="00000000" w:rsidRDefault="00000000" w:rsidRPr="00000000" w14:paraId="0000002A">
      <w:pPr>
        <w:spacing w:before="240" w:line="240" w:lineRule="auto"/>
        <w:rPr/>
      </w:pPr>
      <w:r w:rsidDel="00000000" w:rsidR="00000000" w:rsidRPr="00000000">
        <w:rPr>
          <w:rtl w:val="0"/>
        </w:rPr>
        <w:t xml:space="preserve">It qualifies as </w:t>
      </w:r>
      <w:r w:rsidDel="00000000" w:rsidR="00000000" w:rsidRPr="00000000">
        <w:rPr>
          <w:b w:val="1"/>
          <w:bCs w:val="1"/>
          <w:rtl w:val="0"/>
        </w:rPr>
        <w:t xml:space="preserve">limited risk</w:t>
      </w:r>
      <w:r w:rsidDel="00000000" w:rsidR="00000000" w:rsidRPr="00000000">
        <w:rPr>
          <w:rtl w:val="0"/>
        </w:rPr>
        <w:t xml:space="preserve"> because it interacts directly with natural persons through a dashboard and produces outputs that inform their financial decisions — the scenario Article 50 transparency obligations address.</w:t>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b w:val="1"/>
          <w:bCs w:val="1"/>
          <w:color w:val="3cb4e5"/>
          <w:sz w:val="20"/>
          <w:szCs w:val="20"/>
        </w:rPr>
      </w:pPr>
      <w:r w:rsidDel="00000000" w:rsidR="00000000" w:rsidRPr="00000000">
        <w:rPr>
          <w:b w:val="1"/>
          <w:bCs w:val="1"/>
          <w:color w:val="3cb4e5"/>
          <w:sz w:val="20"/>
          <w:szCs w:val="20"/>
          <w:rtl w:val="0"/>
        </w:rPr>
        <w:t xml:space="preserve">      2.3   Legal obligations and requirements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Open Sans" w:cs="Open Sans" w:eastAsia="Open Sans" w:hAnsi="Open Sans"/>
          <w:b w:val="0"/>
          <w:bCs w:val="0"/>
          <w:i w:val="0"/>
          <w:iCs w:val="0"/>
          <w:smallCaps w:val="0"/>
          <w:strike w:val="0"/>
          <w:color w:val="3cb4e5"/>
          <w:sz w:val="18"/>
          <w:szCs w:val="18"/>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3cb4e5"/>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E">
      <w:pPr>
        <w:spacing w:after="240" w:line="240" w:lineRule="auto"/>
        <w:rPr/>
      </w:pPr>
      <w:r w:rsidDel="00000000" w:rsidR="00000000" w:rsidRPr="00000000">
        <w:rPr>
          <w:b w:val="1"/>
          <w:bCs w:val="1"/>
          <w:rtl w:val="0"/>
        </w:rPr>
        <w:t xml:space="preserve">AI Act — Transparency (Article 50).</w:t>
      </w:r>
      <w:r w:rsidDel="00000000" w:rsidR="00000000" w:rsidRPr="00000000">
        <w:rPr>
          <w:rtl w:val="0"/>
        </w:rPr>
        <w:t xml:space="preserve"> As a limited-risk system that interacts with natural persons and produces outputs informing their decisions, the system must clearly inform users that they are interacting with an AI system, and AI-generated content must be marked as such (Article 50(2)).</w:t>
      </w:r>
    </w:p>
    <w:p w:rsidR="00000000" w:rsidDel="00000000" w:rsidP="00000000" w:rsidRDefault="00000000" w:rsidRPr="00000000" w14:paraId="0000002F">
      <w:pPr>
        <w:spacing w:after="240" w:line="240" w:lineRule="auto"/>
        <w:rPr/>
      </w:pPr>
      <w:r w:rsidDel="00000000" w:rsidR="00000000" w:rsidRPr="00000000">
        <w:rPr>
          <w:b w:val="1"/>
          <w:bCs w:val="1"/>
          <w:rtl w:val="0"/>
        </w:rPr>
        <w:t xml:space="preserve">AI Act — Voluntary Alignment (Article 95).</w:t>
      </w:r>
      <w:r w:rsidDel="00000000" w:rsidR="00000000" w:rsidRPr="00000000">
        <w:rPr>
          <w:rtl w:val="0"/>
        </w:rPr>
        <w:t xml:space="preserve"> Article 95 encourages providers of non-high-risk AI to voluntarily apply parts of the high-risk regime through codes of conduct. The team adopts three measures from this regime: technical documentation (Article 11), logging (Article 12), and documented evaluation of accuracy and robustness (Article 15).</w:t>
      </w:r>
    </w:p>
    <w:p w:rsidR="00000000" w:rsidDel="00000000" w:rsidP="00000000" w:rsidRDefault="00000000" w:rsidRPr="00000000" w14:paraId="00000030">
      <w:pPr>
        <w:spacing w:after="240" w:line="240" w:lineRule="auto"/>
        <w:rPr/>
      </w:pPr>
      <w:r w:rsidDel="00000000" w:rsidR="00000000" w:rsidRPr="00000000">
        <w:rPr>
          <w:b w:val="1"/>
          <w:bCs w:val="1"/>
          <w:rtl w:val="0"/>
        </w:rPr>
        <w:t xml:space="preserve">AI Act — Excluded obligations.</w:t>
      </w:r>
      <w:r w:rsidDel="00000000" w:rsidR="00000000" w:rsidRPr="00000000">
        <w:rPr>
          <w:rtl w:val="0"/>
        </w:rPr>
        <w:t xml:space="preserve"> Conformity assessment (Article 43), EU database registration (Article 49), post-market monitoring (Article 72), and CE marking (Article 48) do not apply: the system is not listed in Annex III and is not a safety component under Annex I. GPAI obligations (Articles 51–56) do not apply, as the system is a narrow task-specific classifier and the team has not developed or substantially modified a general-purpose AI model. Article 5 prohibited practices are not engaged: the system processes market data only and performs no biometric categorization, emotion inference, or predictive policing.</w:t>
      </w:r>
    </w:p>
    <w:p w:rsidR="00000000" w:rsidDel="00000000" w:rsidP="00000000" w:rsidRDefault="00000000" w:rsidRPr="00000000" w14:paraId="00000031">
      <w:pPr>
        <w:spacing w:after="240" w:before="240" w:line="240" w:lineRule="auto"/>
        <w:rPr/>
      </w:pPr>
      <w:r w:rsidDel="00000000" w:rsidR="00000000" w:rsidRPr="00000000">
        <w:rPr>
          <w:b w:val="1"/>
          <w:bCs w:val="1"/>
          <w:rtl w:val="0"/>
        </w:rPr>
        <w:t xml:space="preserve">GDPR (Regulation (EU) 2016/679) — Chapters 2, 3, and 4.</w:t>
      </w:r>
      <w:r w:rsidDel="00000000" w:rsidR="00000000" w:rsidRPr="00000000">
        <w:rPr>
          <w:rtl w:val="0"/>
        </w:rPr>
        <w:t xml:space="preserve"> The GDPR's material scope under Article 2(1) is limited to the processing of personal data, defined in Article 4(1) as any information relating to an identified or identifiable natural person. Because the system is designed without user accounts, authentication, analytics, or any logging of identifying information, it processes no personal data and therefore falls outside the material scope of the GDPR. The Chapter 2 principles (Article 5), Chapter 3 data subject rights (Articles 12–22), and Chapter 4 controller and processor obligations (Articles 24–43) are accordingly not engaged.</w:t>
      </w:r>
    </w:p>
    <w:p w:rsidR="00000000" w:rsidDel="00000000" w:rsidP="00000000" w:rsidRDefault="00000000" w:rsidRPr="00000000" w14:paraId="00000032">
      <w:pPr>
        <w:spacing w:after="240" w:before="240" w:line="240" w:lineRule="auto"/>
        <w:rPr>
          <w:b w:val="1"/>
          <w:bCs w:val="1"/>
        </w:rPr>
      </w:pPr>
      <w:r w:rsidDel="00000000" w:rsidR="00000000" w:rsidRPr="00000000">
        <w:rPr>
          <w:rtl w:val="0"/>
        </w:rPr>
        <w:t xml:space="preserve">However, two potential GDPR risks are identified. First, if Docker or the hosting environment generates server-side access logs containing IP addresses, those would constitute personal data under Article 4(1), triggering the Chapter 2 data minimisation principle under Article 5(1)(c). Second, any future addition of user accounts would engage Chapter 3 rights including the right of access (Article 15) and the right to erasure (Article 17), as well as the Chapter 4 obligation to appoint a controller under Article 24. To mitigate the first risk, the team configures the application to disable or immediately anonymise access logs. No user accounts are implemented, keeping the system outside the GDPR's material scope in its current form.</w:t>
      </w:r>
      <w:r w:rsidDel="00000000" w:rsidR="00000000" w:rsidRPr="00000000">
        <w:rPr>
          <w:rtl w:val="0"/>
        </w:rPr>
      </w:r>
    </w:p>
    <w:p w:rsidR="00000000" w:rsidDel="00000000" w:rsidP="00000000" w:rsidRDefault="00000000" w:rsidRPr="00000000" w14:paraId="00000033">
      <w:pPr>
        <w:spacing w:after="240" w:line="240" w:lineRule="auto"/>
        <w:rPr/>
      </w:pPr>
      <w:r w:rsidDel="00000000" w:rsidR="00000000" w:rsidRPr="00000000">
        <w:rPr>
          <w:b w:val="1"/>
          <w:bCs w:val="1"/>
          <w:rtl w:val="0"/>
        </w:rPr>
        <w:t xml:space="preserve">Digital Services Act (Regulation (EU) 2022/2065).</w:t>
      </w:r>
      <w:r w:rsidDel="00000000" w:rsidR="00000000" w:rsidRPr="00000000">
        <w:rPr>
          <w:rtl w:val="0"/>
        </w:rPr>
        <w:t xml:space="preserve"> The DSA regulates "intermediary services" — mere conduit, caching, and hosting services that transmit or store third-party information at the request of recipients of the service (Article 3(g)). The developed system hosts no third-party content, provides no user-to-user communication, and operates no marketplace or content-sharing functionality. The substantive obligations on hosting services, online platforms, and very large online platforms in Articles 11–48 are therefore out of scope.</w:t>
      </w:r>
    </w:p>
    <w:p w:rsidR="00000000" w:rsidDel="00000000" w:rsidP="00000000" w:rsidRDefault="00000000" w:rsidRPr="00000000" w14:paraId="00000034">
      <w:pPr>
        <w:spacing w:after="240" w:line="240" w:lineRule="auto"/>
        <w:rPr/>
      </w:pPr>
      <w:r w:rsidDel="00000000" w:rsidR="00000000" w:rsidRPr="00000000">
        <w:rPr>
          <w:b w:val="1"/>
          <w:bCs w:val="1"/>
          <w:rtl w:val="0"/>
        </w:rPr>
        <w:t xml:space="preserve">Industry-specific regulations.</w:t>
      </w:r>
      <w:r w:rsidDel="00000000" w:rsidR="00000000" w:rsidRPr="00000000">
        <w:rPr>
          <w:rtl w:val="0"/>
        </w:rPr>
        <w:t xml:space="preserve"> Two frameworks are considered:</w:t>
      </w:r>
    </w:p>
    <w:p w:rsidR="00000000" w:rsidDel="00000000" w:rsidP="00000000" w:rsidRDefault="00000000" w:rsidRPr="00000000" w14:paraId="00000035">
      <w:pPr>
        <w:spacing w:after="240" w:line="240" w:lineRule="auto"/>
        <w:rPr/>
      </w:pPr>
      <w:r w:rsidDel="00000000" w:rsidR="00000000" w:rsidRPr="00000000">
        <w:rPr>
          <w:i w:val="1"/>
          <w:iCs w:val="1"/>
          <w:rtl w:val="0"/>
        </w:rPr>
        <w:t xml:space="preserve">MiFID II (Directive 2014/65/EU) and the Market Abuse Regulation (Regulation (EU) 596/2014).</w:t>
      </w:r>
      <w:r w:rsidDel="00000000" w:rsidR="00000000" w:rsidRPr="00000000">
        <w:rPr>
          <w:rtl w:val="0"/>
        </w:rPr>
        <w:t xml:space="preserve"> The system does not provide "investment advice" within MiFID II Article 4(1)(4), as no personal recommendations are issued. The output is also not an "investment recommendation" within MAR Article 3(1)(35) in the regulated sense, because the system is not distributed by an investment firm, journalist, or other person subject to MAR's recommendation regime, and is presented as an academic prototype. A clear non-advice disclaimer is required to align with the spirit of MiFID II's suitability and appropriateness regime.</w:t>
      </w:r>
    </w:p>
    <w:p w:rsidR="00000000" w:rsidDel="00000000" w:rsidP="00000000" w:rsidRDefault="00000000" w:rsidRPr="00000000" w14:paraId="00000036">
      <w:pPr>
        <w:spacing w:after="240" w:line="240" w:lineRule="auto"/>
        <w:rPr/>
      </w:pPr>
      <w:r w:rsidDel="00000000" w:rsidR="00000000" w:rsidRPr="00000000">
        <w:rPr>
          <w:i w:val="1"/>
          <w:iCs w:val="1"/>
          <w:rtl w:val="0"/>
        </w:rPr>
        <w:t xml:space="preserve">Unfair Commercial Practices Directive (2005/29/EC).</w:t>
      </w:r>
      <w:r w:rsidDel="00000000" w:rsidR="00000000" w:rsidRPr="00000000">
        <w:rPr>
          <w:rtl w:val="0"/>
        </w:rPr>
        <w:t xml:space="preserve"> The directive prohibits misleading commercial communications. Reported performance metrics must not be misleading or overstated.</w:t>
      </w:r>
    </w:p>
    <w:p w:rsidR="00000000" w:rsidDel="00000000" w:rsidP="00000000" w:rsidRDefault="00000000" w:rsidRPr="00000000" w14:paraId="00000037">
      <w:pPr>
        <w:spacing w:after="240" w:line="240" w:lineRule="auto"/>
        <w:rPr/>
      </w:pPr>
      <w:r w:rsidDel="00000000" w:rsidR="00000000" w:rsidRPr="00000000">
        <w:rPr>
          <w:rtl w:val="0"/>
        </w:rPr>
        <w:t xml:space="preserve">The rationale for this scoping follows the proportionality principle running through all four frameworks: obligations escalate with the severity, scope, and nature of the activity. A non-commercial, anonymously accessible forecasting prototype for a single publicly traded equity, processing only public market data, sits within the limited-risk tier of the AI Act, outside the material scope of the GDPR, outside the substantive scope of the DSA, and outside the regulated investment advice regime.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w:cs="Open Sans" w:eastAsia="Open Sans" w:hAnsi="Open Sans"/>
          <w:b w:val="1"/>
          <w:bCs w:val="1"/>
          <w:i w:val="0"/>
          <w:iCs w:val="0"/>
          <w:smallCaps w:val="0"/>
          <w:strike w:val="0"/>
          <w:color w:val="3cb4e5"/>
          <w:sz w:val="20"/>
          <w:szCs w:val="20"/>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3cb4e5"/>
          <w:sz w:val="20"/>
          <w:szCs w:val="20"/>
          <w:u w:val="none"/>
          <w:shd w:fill="auto" w:val="clear"/>
          <w:vertAlign w:val="baseline"/>
          <w:rtl w:val="0"/>
        </w:rPr>
        <w:t xml:space="preserve">Compliance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Open Sans" w:cs="Open Sans" w:eastAsia="Open Sans" w:hAnsi="Open Sans"/>
          <w:b w:val="1"/>
          <w:bCs w:val="1"/>
          <w:i w:val="0"/>
          <w:iCs w:val="0"/>
          <w:smallCaps w:val="0"/>
          <w:strike w:val="0"/>
          <w:color w:val="3cb4e5"/>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spacing w:after="240" w:line="240" w:lineRule="auto"/>
        <w:rPr/>
      </w:pPr>
      <w:bookmarkStart w:colFirst="0" w:colLast="0" w:name="_1odvzl136qvm" w:id="4"/>
      <w:bookmarkEnd w:id="4"/>
      <w:r w:rsidDel="00000000" w:rsidR="00000000" w:rsidRPr="00000000">
        <w:rPr>
          <w:b w:val="1"/>
          <w:bCs w:val="1"/>
          <w:rtl w:val="0"/>
        </w:rPr>
        <w:t xml:space="preserve">AI Act — Article 50 transparency.</w:t>
      </w:r>
      <w:r w:rsidDel="00000000" w:rsidR="00000000" w:rsidRPr="00000000">
        <w:rPr>
          <w:rtl w:val="0"/>
        </w:rPr>
        <w:t xml:space="preserve"> To meet the transparency obligation, the dashboard includes a persistent banner stating the prediction is AI-generated, a "Model Information" panel disclosing the training period, feature set, ensemble architecture, and evaluation metrics (F1, Accuracy, Precision, Recall, confusion matrix), and an explicit non-advice disclaimer.</w:t>
      </w:r>
    </w:p>
    <w:p w:rsidR="00000000" w:rsidDel="00000000" w:rsidP="00000000" w:rsidRDefault="00000000" w:rsidRPr="00000000" w14:paraId="0000003C">
      <w:pPr>
        <w:spacing w:after="240" w:line="240" w:lineRule="auto"/>
        <w:rPr/>
      </w:pPr>
      <w:r w:rsidDel="00000000" w:rsidR="00000000" w:rsidRPr="00000000">
        <w:rPr>
          <w:b w:val="1"/>
          <w:bCs w:val="1"/>
          <w:rtl w:val="0"/>
        </w:rPr>
        <w:t xml:space="preserve">AI Act — Article 95 voluntary alignment.</w:t>
      </w:r>
      <w:r w:rsidDel="00000000" w:rsidR="00000000" w:rsidRPr="00000000">
        <w:rPr>
          <w:rtl w:val="0"/>
        </w:rPr>
        <w:t xml:space="preserve"> Beyond the strict limited-risk requirements, the team implements voluntary high-risk measures: technical documentation in the design report and README (Article 11), logging of predictions, inputs, and model version to the SQLite database (Article 12), and documented evaluation against the 50% random baseline on the held-out test set (Article 15).</w:t>
      </w:r>
    </w:p>
    <w:p w:rsidR="00000000" w:rsidDel="00000000" w:rsidP="00000000" w:rsidRDefault="00000000" w:rsidRPr="00000000" w14:paraId="0000003D">
      <w:pPr>
        <w:spacing w:after="240" w:line="240" w:lineRule="auto"/>
        <w:rPr/>
      </w:pPr>
      <w:r w:rsidDel="00000000" w:rsidR="00000000" w:rsidRPr="00000000">
        <w:rPr>
          <w:b w:val="1"/>
          <w:bCs w:val="1"/>
          <w:rtl w:val="0"/>
        </w:rPr>
        <w:t xml:space="preserve">Industry-specific — MiFID II / MAR.</w:t>
      </w:r>
      <w:r w:rsidDel="00000000" w:rsidR="00000000" w:rsidRPr="00000000">
        <w:rPr>
          <w:rtl w:val="0"/>
        </w:rPr>
        <w:t xml:space="preserve"> To address the boundary risk with MAR's investment recommendations regime, the dashboard includes a prominent disclaimer stating that outputs are algorithmic forecasts, not investment advice, do not consider the user's individual circumstances, and should not be used as the sole basis for trading decisions.</w:t>
      </w:r>
    </w:p>
    <w:p w:rsidR="00000000" w:rsidDel="00000000" w:rsidP="00000000" w:rsidRDefault="00000000" w:rsidRPr="00000000" w14:paraId="0000003E">
      <w:pPr>
        <w:pStyle w:val="Heading1"/>
        <w:rPr/>
      </w:pPr>
      <w:r w:rsidDel="00000000" w:rsidR="00000000" w:rsidRPr="00000000">
        <w:rPr>
          <w:rtl w:val="0"/>
        </w:rPr>
        <w:t xml:space="preserve">References</w:t>
      </w:r>
    </w:p>
    <w:p w:rsidR="00000000" w:rsidDel="00000000" w:rsidP="00000000" w:rsidRDefault="00000000" w:rsidRPr="00000000" w14:paraId="0000003F">
      <w:pPr>
        <w:rPr>
          <w:color w:val="ed7623"/>
        </w:rPr>
      </w:pPr>
      <w:r w:rsidDel="00000000" w:rsidR="00000000" w:rsidRPr="00000000">
        <w:rPr>
          <w:rtl w:val="0"/>
        </w:rPr>
      </w:r>
    </w:p>
    <w:p w:rsidR="00000000" w:rsidDel="00000000" w:rsidP="00000000" w:rsidRDefault="00000000" w:rsidRPr="00000000" w14:paraId="00000040">
      <w:pPr>
        <w:rPr>
          <w:color w:val="ed7623"/>
        </w:rPr>
      </w:pPr>
      <w:r w:rsidDel="00000000" w:rsidR="00000000" w:rsidRPr="00000000">
        <w:rPr>
          <w:rtl w:val="0"/>
        </w:rPr>
        <w:t xml:space="preserve">Council of the European Union &amp; European Parliament. (2014). Directive 2014/65/EU of the European Parliament and of the Council of 15 May 2014 on markets in financial instruments and amending Directive 2002/92/EC and Directive 2011/61/EU (MiFID II). Official Journal of the European Union, L 173, 349–496.</w:t>
      </w:r>
      <w:r w:rsidDel="00000000" w:rsidR="00000000" w:rsidRPr="00000000">
        <w:rPr>
          <w:color w:val="ed7623"/>
          <w:rtl w:val="0"/>
        </w:rPr>
        <w:t xml:space="preserve"> </w:t>
      </w:r>
      <w:hyperlink r:id="rId10">
        <w:r w:rsidDel="00000000" w:rsidR="00000000" w:rsidRPr="00000000">
          <w:rPr>
            <w:color w:val="0563c1"/>
            <w:u w:val="single"/>
            <w:rtl w:val="0"/>
          </w:rPr>
          <w:t xml:space="preserve">https://eur-lex.europa.eu/legal-content/EN/TXT/?uri=CELEX:32014L0065</w:t>
        </w:r>
      </w:hyperlink>
      <w:r w:rsidDel="00000000" w:rsidR="00000000" w:rsidRPr="00000000">
        <w:rPr>
          <w:rtl w:val="0"/>
        </w:rPr>
      </w:r>
    </w:p>
    <w:p w:rsidR="00000000" w:rsidDel="00000000" w:rsidP="00000000" w:rsidRDefault="00000000" w:rsidRPr="00000000" w14:paraId="00000041">
      <w:pPr>
        <w:rPr>
          <w:color w:val="ed7623"/>
        </w:rPr>
      </w:pPr>
      <w:r w:rsidDel="00000000" w:rsidR="00000000" w:rsidRPr="00000000">
        <w:rPr>
          <w:rtl w:val="0"/>
        </w:rPr>
        <w:t xml:space="preserve">European Parliament &amp; Council of the European Union. (2005). Directive 2005/29/EC of 11 May 2005 concerning unfair business-to-consumer commercial practices in the internal market (Unfair Commercial Practices Directive). Official Journal of the European Union, L 149, 22–39.</w:t>
      </w:r>
      <w:r w:rsidDel="00000000" w:rsidR="00000000" w:rsidRPr="00000000">
        <w:rPr>
          <w:color w:val="ed7623"/>
          <w:rtl w:val="0"/>
        </w:rPr>
        <w:t xml:space="preserve"> </w:t>
      </w:r>
      <w:hyperlink r:id="rId11">
        <w:r w:rsidDel="00000000" w:rsidR="00000000" w:rsidRPr="00000000">
          <w:rPr>
            <w:color w:val="0563c1"/>
            <w:u w:val="single"/>
            <w:rtl w:val="0"/>
          </w:rPr>
          <w:t xml:space="preserve">https://eur-lex.europa.eu/legal-content/EN/TXT/?uri=CELEX:32005L0029</w:t>
        </w:r>
      </w:hyperlink>
      <w:r w:rsidDel="00000000" w:rsidR="00000000" w:rsidRPr="00000000">
        <w:rPr>
          <w:rtl w:val="0"/>
        </w:rPr>
      </w:r>
    </w:p>
    <w:p w:rsidR="00000000" w:rsidDel="00000000" w:rsidP="00000000" w:rsidRDefault="00000000" w:rsidRPr="00000000" w14:paraId="00000042">
      <w:pPr>
        <w:rPr>
          <w:color w:val="ed7623"/>
        </w:rPr>
      </w:pPr>
      <w:r w:rsidDel="00000000" w:rsidR="00000000" w:rsidRPr="00000000">
        <w:rPr>
          <w:rtl w:val="0"/>
        </w:rPr>
        <w:t xml:space="preserve">European Parliament &amp; Council of the European Union. (2014). Regulation (EU) No 596/2014 of 16 April 2014 on market abuse (Market Abuse Regulation). Official Journal of the European Union, L 173, 1–61.</w:t>
      </w:r>
      <w:r w:rsidDel="00000000" w:rsidR="00000000" w:rsidRPr="00000000">
        <w:rPr>
          <w:color w:val="ed7623"/>
          <w:rtl w:val="0"/>
        </w:rPr>
        <w:t xml:space="preserve"> </w:t>
      </w:r>
      <w:hyperlink r:id="rId12">
        <w:r w:rsidDel="00000000" w:rsidR="00000000" w:rsidRPr="00000000">
          <w:rPr>
            <w:color w:val="0563c1"/>
            <w:u w:val="single"/>
            <w:rtl w:val="0"/>
          </w:rPr>
          <w:t xml:space="preserve">https://eur-lex.europa.eu/legal-content/EN/TXT/?uri=CELEX:32014R0596</w:t>
        </w:r>
      </w:hyperlink>
      <w:r w:rsidDel="00000000" w:rsidR="00000000" w:rsidRPr="00000000">
        <w:rPr>
          <w:rtl w:val="0"/>
        </w:rPr>
      </w:r>
    </w:p>
    <w:p w:rsidR="00000000" w:rsidDel="00000000" w:rsidP="00000000" w:rsidRDefault="00000000" w:rsidRPr="00000000" w14:paraId="00000043">
      <w:pPr>
        <w:rPr>
          <w:color w:val="ed7623"/>
        </w:rPr>
      </w:pPr>
      <w:r w:rsidDel="00000000" w:rsidR="00000000" w:rsidRPr="00000000">
        <w:rPr>
          <w:rtl w:val="0"/>
        </w:rPr>
        <w:t xml:space="preserve">European Parliament &amp; Council of the European Union. (2016). Regulation (EU) 2016/679 of 27 April 2016 on the protection of natural persons with regard to the processing of personal data and on the free movement of such data (General Data Protection Regulation). Official Journal of the European Union, L 119, 1–88.</w:t>
      </w:r>
      <w:r w:rsidDel="00000000" w:rsidR="00000000" w:rsidRPr="00000000">
        <w:rPr>
          <w:color w:val="ed7623"/>
          <w:rtl w:val="0"/>
        </w:rPr>
        <w:t xml:space="preserve"> </w:t>
      </w:r>
      <w:hyperlink r:id="rId13">
        <w:r w:rsidDel="00000000" w:rsidR="00000000" w:rsidRPr="00000000">
          <w:rPr>
            <w:color w:val="0563c1"/>
            <w:u w:val="single"/>
            <w:rtl w:val="0"/>
          </w:rPr>
          <w:t xml:space="preserve">https://eur-lex.europa.eu/legal-content/EN/TXT/?uri=CELEX:32016R0679</w:t>
        </w:r>
      </w:hyperlink>
      <w:r w:rsidDel="00000000" w:rsidR="00000000" w:rsidRPr="00000000">
        <w:rPr>
          <w:rtl w:val="0"/>
        </w:rPr>
      </w:r>
    </w:p>
    <w:p w:rsidR="00000000" w:rsidDel="00000000" w:rsidP="00000000" w:rsidRDefault="00000000" w:rsidRPr="00000000" w14:paraId="00000044">
      <w:pPr>
        <w:rPr>
          <w:color w:val="ed7623"/>
        </w:rPr>
      </w:pPr>
      <w:r w:rsidDel="00000000" w:rsidR="00000000" w:rsidRPr="00000000">
        <w:rPr>
          <w:rtl w:val="0"/>
        </w:rPr>
        <w:t xml:space="preserve">European Parliament &amp; Council of the European Union. (2022). Regulation (EU) 2022/2065 of 19 October 2022 on a Single Market For Digital Services (Digital Services Act). Official Journal of the European Union, L 277, 1–102.</w:t>
      </w:r>
      <w:r w:rsidDel="00000000" w:rsidR="00000000" w:rsidRPr="00000000">
        <w:rPr>
          <w:color w:val="ed7623"/>
          <w:rtl w:val="0"/>
        </w:rPr>
        <w:t xml:space="preserve"> </w:t>
      </w:r>
      <w:hyperlink r:id="rId14">
        <w:r w:rsidDel="00000000" w:rsidR="00000000" w:rsidRPr="00000000">
          <w:rPr>
            <w:color w:val="0563c1"/>
            <w:u w:val="single"/>
            <w:rtl w:val="0"/>
          </w:rPr>
          <w:t xml:space="preserve">https://eur-lex.europa.eu/legal-content/EN/TXT/?uri=CELEX:32022R2065</w:t>
        </w:r>
      </w:hyperlink>
      <w:r w:rsidDel="00000000" w:rsidR="00000000" w:rsidRPr="00000000">
        <w:rPr>
          <w:rtl w:val="0"/>
        </w:rPr>
      </w:r>
    </w:p>
    <w:p w:rsidR="00000000" w:rsidDel="00000000" w:rsidP="00000000" w:rsidRDefault="00000000" w:rsidRPr="00000000" w14:paraId="00000045">
      <w:pPr>
        <w:rPr>
          <w:color w:val="ed7623"/>
        </w:rPr>
        <w:sectPr>
          <w:footerReference r:id="rId15" w:type="default"/>
          <w:type w:val="nextPage"/>
          <w:pgSz w:h="16838" w:w="11906" w:orient="portrait"/>
          <w:pgMar w:bottom="1985" w:top="1134" w:left="1418" w:right="1134" w:header="709" w:footer="454"/>
          <w:pgNumType w:start="1"/>
        </w:sectPr>
      </w:pPr>
      <w:r w:rsidDel="00000000" w:rsidR="00000000" w:rsidRPr="00000000">
        <w:rPr>
          <w:rtl w:val="0"/>
        </w:rPr>
        <w:t xml:space="preserve">European Parliament &amp; Council of the European Union. (2024). Regulation (EU) 2024/1689 of 13 June 2024 laying down harmonised rules on artificial intelligence (Artificial Intelligence Act). Official Journal of the European Union, L series, 12 July 2024. </w:t>
      </w:r>
      <w:hyperlink r:id="rId16">
        <w:r w:rsidDel="00000000" w:rsidR="00000000" w:rsidRPr="00000000">
          <w:rPr>
            <w:color w:val="0563c1"/>
            <w:u w:val="single"/>
            <w:rtl w:val="0"/>
          </w:rPr>
          <w:t xml:space="preserve">https://eur-lex.europa.eu/legal-content/EN/TXT/?uri=CELEX:32024R1689</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headerReference r:id="rId17" w:type="default"/>
      <w:footerReference r:id="rId18" w:type="default"/>
      <w:type w:val="nextPage"/>
      <w:pgSz w:h="16838" w:w="11906" w:orient="portrait"/>
      <w:pgMar w:bottom="1985" w:top="1134" w:left="1418" w:right="1134" w:header="709"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ourier New"/>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3358163</wp:posOffset>
          </wp:positionH>
          <wp:positionV relativeFrom="paragraph">
            <wp:posOffset>0</wp:posOffset>
          </wp:positionV>
          <wp:extent cx="1681197" cy="590400"/>
          <wp:effectExtent b="0" l="0" r="0" t="0"/>
          <wp:wrapNone/>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1197" cy="590400"/>
                  </a:xfrm>
                  <a:prstGeom prst="rect"/>
                  <a:ln/>
                </pic:spPr>
              </pic:pic>
            </a:graphicData>
          </a:graphic>
        </wp:anchor>
      </w:drawing>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-905191</wp:posOffset>
              </wp:positionH>
              <wp:positionV relativeFrom="paragraph">
                <wp:posOffset>-4761</wp:posOffset>
              </wp:positionV>
              <wp:extent cx="10701018" cy="693423"/>
              <wp:effectExtent b="0" l="0" r="0" t="0"/>
              <wp:wrapNone/>
              <wp:docPr id="2" name=""/>
              <a:graphic>
                <a:graphicData uri="http://schemas.microsoft.com/office/word/2010/wordprocessingShape">
                  <wps:wsp>
                    <wps:cNvSpPr/>
                    <wps:cNvPr id="3" name="Shape 3"/>
                    <wps:spPr>
                      <a:xfrm>
                        <a:off x="254" y="3438051"/>
                        <a:ext cx="10691493" cy="683898"/>
                      </a:xfrm>
                      <a:prstGeom prst="rect">
                        <a:avLst/>
                      </a:prstGeom>
                      <a:solidFill>
                        <a:srgbClr val="ED762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-905191</wp:posOffset>
              </wp:positionH>
              <wp:positionV relativeFrom="paragraph">
                <wp:posOffset>-4761</wp:posOffset>
              </wp:positionV>
              <wp:extent cx="10701018" cy="693423"/>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0701018" cy="693423"/>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ffffff"/>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Open Sans" w:cs="Open Sans" w:eastAsia="Open Sans" w:hAnsi="Open Sans"/>
        <w:b w:val="0"/>
        <w:bCs w:val="0"/>
        <w:i w:val="0"/>
        <w:iCs w:val="0"/>
        <w:smallCaps w:val="0"/>
        <w:strike w:val="0"/>
        <w:color w:val="ffffff"/>
        <w:sz w:val="18"/>
        <w:szCs w:val="18"/>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0</wp:posOffset>
          </wp:positionV>
          <wp:extent cx="7560000" cy="662400"/>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60000" cy="662400"/>
                  </a:xfrm>
                  <a:prstGeom prst="rect"/>
                  <a:ln/>
                </pic:spPr>
              </pic:pic>
            </a:graphicData>
          </a:graphic>
        </wp:anchor>
      </w:drawing>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ffffff"/>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Open Sans" w:cs="Open Sans" w:eastAsia="Open Sans" w:hAnsi="Open Sans"/>
        <w:b w:val="0"/>
        <w:bCs w:val="0"/>
        <w:i w:val="0"/>
        <w:iCs w:val="0"/>
        <w:smallCaps w:val="0"/>
        <w:strike w:val="0"/>
        <w:color w:val="ffffff"/>
        <w:sz w:val="18"/>
        <w:szCs w:val="18"/>
        <w:u w:val="none"/>
        <w:shd w:fill="auto" w:val="clear"/>
        <w:vertAlign w:val="baseline"/>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Pr>
      <w:drawing>
        <wp:anchor allowOverlap="1" behindDoc="1" distB="0" distT="0" distL="0" distR="0" hidden="0" layoutInCell="1" locked="0" relativeHeight="0" simplePos="0">
          <wp:simplePos x="0" y="0"/>
          <wp:positionH relativeFrom="page">
            <wp:align>left</wp:align>
          </wp:positionH>
          <wp:positionV relativeFrom="page">
            <wp:align>top</wp:align>
          </wp:positionV>
          <wp:extent cx="7559399" cy="10684798"/>
          <wp:effectExtent b="0" l="0" r="0" t="0"/>
          <wp:wrapNone/>
          <wp:docPr id="6"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7559399" cy="1068479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Pr>
      <w:drawing>
        <wp:anchor allowOverlap="1" behindDoc="1" distB="0" distT="0" distL="0" distR="0" hidden="0" layoutInCell="1" locked="0" relativeHeight="0" simplePos="0">
          <wp:simplePos x="0" y="0"/>
          <wp:positionH relativeFrom="page">
            <wp:align>left</wp:align>
          </wp:positionH>
          <wp:positionV relativeFrom="page">
            <wp:align>top</wp:align>
          </wp:positionV>
          <wp:extent cx="7564492" cy="10691996"/>
          <wp:effectExtent b="0" l="0" r="0" t="0"/>
          <wp:wrapNone/>
          <wp:docPr id="5"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7564492" cy="10691996"/>
                  </a:xfrm>
                  <a:prstGeom prst="rect"/>
                  <a:ln/>
                </pic:spPr>
              </pic:pic>
            </a:graphicData>
          </a:graphic>
        </wp:anchor>
      </w:drawing>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Pr>
      <w:drawing>
        <wp:anchor allowOverlap="1" behindDoc="1" distB="0" distT="0" distL="0" distR="0" hidden="0" layoutInCell="1" locked="0" relativeHeight="0" simplePos="0">
          <wp:simplePos x="0" y="0"/>
          <wp:positionH relativeFrom="page">
            <wp:posOffset>10276</wp:posOffset>
          </wp:positionH>
          <wp:positionV relativeFrom="page">
            <wp:posOffset>320</wp:posOffset>
          </wp:positionV>
          <wp:extent cx="1727831" cy="6903720"/>
          <wp:effectExtent b="0" l="0" r="0" t="0"/>
          <wp:wrapNone/>
          <wp:docPr id="7"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1727831" cy="690372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2"/>
      <w:numFmt w:val="decimal"/>
      <w:lvlText w:val="%1"/>
      <w:lvlJc w:val="left"/>
      <w:pPr>
        <w:ind w:left="360" w:hanging="360"/>
      </w:pPr>
      <w:rPr/>
    </w:lvl>
    <w:lvl w:ilvl="1">
      <w:start w:val="4"/>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4">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5">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18"/>
        <w:szCs w:val="1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80" w:lineRule="auto"/>
      <w:ind w:left="397" w:hanging="397"/>
    </w:pPr>
    <w:rPr>
      <w:color w:val="ed7623"/>
      <w:sz w:val="38"/>
      <w:szCs w:val="38"/>
    </w:rPr>
  </w:style>
  <w:style w:type="paragraph" w:styleId="Heading2">
    <w:name w:val="heading 2"/>
    <w:basedOn w:val="Normal"/>
    <w:next w:val="Normal"/>
    <w:pPr>
      <w:keepNext w:val="1"/>
      <w:keepLines w:val="1"/>
      <w:spacing w:before="40" w:lineRule="auto"/>
      <w:ind w:left="567" w:hanging="567"/>
    </w:pPr>
    <w:rPr>
      <w:b w:val="1"/>
      <w:bCs w:val="1"/>
      <w:color w:val="3cb4e5"/>
      <w:sz w:val="20"/>
      <w:szCs w:val="20"/>
    </w:rPr>
  </w:style>
  <w:style w:type="paragraph" w:styleId="Heading3">
    <w:name w:val="heading 3"/>
    <w:basedOn w:val="Normal"/>
    <w:next w:val="Normal"/>
    <w:pPr>
      <w:keepNext w:val="1"/>
      <w:keepLines w:val="1"/>
      <w:ind w:left="567" w:hanging="567"/>
    </w:pPr>
    <w:rPr>
      <w:rFonts w:ascii="Open Sans SemiBold" w:cs="Open Sans SemiBold" w:eastAsia="Open Sans SemiBold" w:hAnsi="Open Sans SemiBold"/>
      <w:color w:val="00416b"/>
    </w:rPr>
  </w:style>
  <w:style w:type="paragraph" w:styleId="Heading4">
    <w:name w:val="heading 4"/>
    <w:basedOn w:val="Normal"/>
    <w:next w:val="Normal"/>
    <w:pPr>
      <w:keepNext w:val="1"/>
      <w:keepLines w:val="1"/>
      <w:spacing w:before="40" w:lineRule="auto"/>
    </w:pPr>
    <w:rPr>
      <w:i w:val="1"/>
      <w:iCs w:val="1"/>
      <w:color w:val="198eb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ur-lex.europa.eu/legal-content/EN/TXT/?uri=CELEX:32005L0029" TargetMode="External"/><Relationship Id="rId10" Type="http://schemas.openxmlformats.org/officeDocument/2006/relationships/hyperlink" Target="https://eur-lex.europa.eu/legal-content/EN/TXT/?uri=CELEX:32014L0065" TargetMode="External"/><Relationship Id="rId13" Type="http://schemas.openxmlformats.org/officeDocument/2006/relationships/hyperlink" Target="https://eur-lex.europa.eu/legal-content/EN/TXT/?uri=CELEX:32016R0679" TargetMode="External"/><Relationship Id="rId12" Type="http://schemas.openxmlformats.org/officeDocument/2006/relationships/hyperlink" Target="https://eur-lex.europa.eu/legal-content/EN/TXT/?uri=CELEX:32014R05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hyperlink" Target="https://eur-lex.europa.eu/legal-content/EN/TXT/?uri=CELEX:32022R2065" TargetMode="External"/><Relationship Id="rId17" Type="http://schemas.openxmlformats.org/officeDocument/2006/relationships/header" Target="header2.xml"/><Relationship Id="rId16" Type="http://schemas.openxmlformats.org/officeDocument/2006/relationships/hyperlink" Target="https://eur-lex.europa.eu/legal-content/EN/TXT/?uri=CELEX:32024R1689" TargetMode="External"/><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footer" Target="footer3.xml"/><Relationship Id="rId7" Type="http://schemas.openxmlformats.org/officeDocument/2006/relationships/footer" Target="footer1.xml"/><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0x0101008BCDBF9E9773C04E8F0704432EB77823</vt:lpwstr>
  </property>
</Properties>
</file>