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СИНОПСИС ИССЛЕДОВАНИЯ</w:t>
      </w:r>
    </w:p>
    <w:p/>
    <w:p>
      <w:r>
        <w:rPr>
          <w:b/>
        </w:rPr>
        <w:t xml:space="preserve">Спонсор: </w:t>
      </w:r>
      <w:r>
        <w:rPr>
          <w:color w:val="C00000"/>
        </w:rPr>
        <w:t>ВВЕДИТЕ СВОИ ДАННЫЕ</w:t>
      </w:r>
    </w:p>
    <w:p>
      <w:r>
        <w:rPr>
          <w:b/>
        </w:rPr>
        <w:t xml:space="preserve">Название исследуемого препарата: </w:t>
      </w:r>
      <w:r>
        <w:rPr>
          <w:color w:val="C00000"/>
        </w:rPr>
        <w:t>ВВЕДИТЕ СВОИ ДАННЫЕ</w:t>
      </w:r>
    </w:p>
    <w:p>
      <w:r>
        <w:rPr>
          <w:b/>
        </w:rPr>
        <w:t xml:space="preserve">Референтный препарат: </w:t>
      </w:r>
      <w:r>
        <w:rPr>
          <w:color w:val="C00000"/>
        </w:rPr>
        <w:t>ВВЕДИТЕ СВОИ ДАННЫЕ</w:t>
      </w:r>
    </w:p>
    <w:p>
      <w:r>
        <w:rPr>
          <w:b/>
        </w:rPr>
        <w:t xml:space="preserve">Действующее вещество: </w:t>
      </w:r>
      <w:r>
        <w:t>palbociclib</w:t>
      </w:r>
    </w:p>
    <w:p/>
    <w:p>
      <w:r>
        <w:rPr>
          <w:b/>
        </w:rPr>
        <w:t xml:space="preserve">Название исследования: </w:t>
      </w:r>
      <w:r>
        <w:t>Сравнительная фармакокинетика (биоэквивалентность) палбоциклиба у здоровых добровольцев после приёма высококалорийной пищи</w:t>
      </w:r>
    </w:p>
    <w:p>
      <w:r>
        <w:rPr>
          <w:b/>
        </w:rPr>
        <w:t xml:space="preserve">Номер исследования: </w:t>
      </w:r>
      <w:r>
        <w:rPr>
          <w:color w:val="C00000"/>
        </w:rPr>
        <w:t>ВВЕДИТЕ СВОИ ДАННЫЕ</w:t>
      </w:r>
    </w:p>
    <w:p>
      <w:r>
        <w:rPr>
          <w:b/>
        </w:rPr>
        <w:t xml:space="preserve">Фаза исследования: </w:t>
      </w:r>
      <w:r>
        <w:t>I</w:t>
      </w:r>
    </w:p>
    <w:p>
      <w:r>
        <w:rPr>
          <w:b/>
        </w:rPr>
        <w:t xml:space="preserve">Исследовательские центры: </w:t>
      </w:r>
      <w:r>
        <w:rPr>
          <w:color w:val="C00000"/>
        </w:rPr>
        <w:t>ВВЕДИТЕ СВОИ ДАННЫЕ</w:t>
      </w:r>
    </w:p>
    <w:p/>
    <w:p>
      <w:pPr>
        <w:pStyle w:val="Heading1"/>
      </w:pPr>
      <w:r>
        <w:t>Цели исследования</w:t>
      </w:r>
    </w:p>
    <w:p>
      <w:pPr>
        <w:pStyle w:val="Heading2"/>
      </w:pPr>
      <w:r>
        <w:t>Основная цель</w:t>
      </w:r>
    </w:p>
    <w:p>
      <w:r>
        <w:t>Оценка биоэквивалентности двух лекарственных форм палбоциклиба в условиях приёма пищи</w:t>
      </w:r>
    </w:p>
    <w:p>
      <w:pPr>
        <w:pStyle w:val="Heading2"/>
      </w:pPr>
      <w:r>
        <w:t>Дополнительная цель</w:t>
      </w:r>
    </w:p>
    <w:p>
      <w:r>
        <w:t>Изучение влияния пищи на фармакокинетику палбоциклиба, включая параметры AUC и Cmax</w:t>
      </w:r>
    </w:p>
    <w:p>
      <w:pPr>
        <w:pStyle w:val="Heading1"/>
      </w:pPr>
      <w:r>
        <w:t>Обоснование</w:t>
      </w:r>
    </w:p>
    <w:p>
      <w:r>
        <w:t>Палбоциклиб является селективным ингибитором циклин-зависимой киназы 4/6, широко используемым в онкологии. Его растворимость зависит от pH, и он обладает высокой проницаемостью. Изучение биоэквивалентности различных лекарственных форм и влияния пищи на его биодоступность имеет важное значение для оптимизации терапии. Исследования показали, что приём пищи может влиять на экспозицию палбоциклиба, увеличивая AUC и Cmax. Это подчёркивает необходимость тщательного изучения фармакокинетики препарата в различных условиях, особенно при приёме с пищей. Кроме того, понимание влияния пищи на биодоступность позволит разработать рекомендации по приёму препарата, что может улучшить его эффективность и безопасность. Учитывая, что палбоциклиб часто используется в комбинации с другими лекарственными средствами, важно также учитывать возможные взаимодействия и их влияние на фармакокинетику.</w:t>
      </w:r>
    </w:p>
    <w:p>
      <w:pPr>
        <w:pStyle w:val="Heading1"/>
      </w:pPr>
      <w:r>
        <w:t>Профиль препарата</w:t>
      </w:r>
    </w:p>
    <w:p>
      <w:r>
        <w:t>Палбоциклиб — это пероральный низкомолекулярный ингибитор циклин-зависимой киназы 4/6, применяемый для лечения распространённого рака молочной железы. Он характеризуется pH-зависимой растворимостью и высокой проницаемостью. Препарат метаболизируется в печени и выводится преимущественно через кишечник. Палбоциклиб имеет умеренное связывание с белками плазмы и низкий объём распределения, что указывает на его ограниченное распределение в тканях. Исследования показали, что приём пищи может увеличивать экспозицию палбоциклиба, что подчёркивает важность учёта условий приёма при разработке рекомендаций по применению. Кроме того, препарат может взаимодействовать с другими лекарственными средствами, влияя на их фармакокинетику, что также необходимо учитывать при комбинированной терапии. Безопасность и эффективность палбоциклиба подтверждены многочисленными клиническими исследованиями, что делает его важным компонентом лечения рака молочной железы.</w:t>
      </w:r>
    </w:p>
    <w:p>
      <w:pPr>
        <w:pStyle w:val="Heading1"/>
      </w:pPr>
      <w:r>
        <w:t>Дизайн исследования</w:t>
      </w:r>
    </w:p>
    <w:p>
      <w:r>
        <w:rPr>
          <w:b/>
        </w:rPr>
        <w:t xml:space="preserve">Тип/структура дизайна: </w:t>
      </w:r>
      <w:r>
        <w:t>рандомизированное, открытое, двухпериодное, с перекрестным дизайном</w:t>
      </w:r>
    </w:p>
    <w:p>
      <w:r>
        <w:rPr>
          <w:b/>
        </w:rPr>
        <w:t xml:space="preserve">Условия проведения: </w:t>
      </w:r>
      <w:r>
        <w:t>стационар</w:t>
      </w:r>
    </w:p>
    <w:p>
      <w:r>
        <w:rPr>
          <w:b/>
        </w:rPr>
        <w:t xml:space="preserve">Периоды: </w:t>
      </w:r>
      <w:r>
        <w:t>два периода</w:t>
      </w:r>
    </w:p>
    <w:p>
      <w:r>
        <w:rPr>
          <w:b/>
        </w:rPr>
        <w:t xml:space="preserve">Последовательности: </w:t>
      </w:r>
      <w:r>
        <w:t>T-R и R-T (T: тестовая формулировка; R: референсная формулировка)</w:t>
      </w:r>
    </w:p>
    <w:p>
      <w:r>
        <w:rPr>
          <w:b/>
        </w:rPr>
        <w:t xml:space="preserve">Отмывочный период: </w:t>
      </w:r>
      <w:r>
        <w:t>14 дней</w:t>
      </w:r>
    </w:p>
    <w:p>
      <w:r>
        <w:rPr>
          <w:b/>
        </w:rPr>
        <w:t xml:space="preserve">Рандомизация: </w:t>
      </w:r>
      <w:r>
        <w:t>стратифицированная по возрасту и полу</w:t>
      </w:r>
    </w:p>
    <w:p>
      <w:r>
        <w:rPr>
          <w:b/>
        </w:rPr>
        <w:t xml:space="preserve">Ослепление: </w:t>
      </w:r>
      <w:r>
        <w:t>открытое</w:t>
      </w:r>
    </w:p>
    <w:p>
      <w:r>
        <w:rPr>
          <w:b/>
        </w:rPr>
        <w:t xml:space="preserve">Условия питания: </w:t>
      </w:r>
      <w:r>
        <w:t>после высококалорийной пищи</w:t>
      </w:r>
    </w:p>
    <w:p>
      <w:r>
        <w:rPr>
          <w:b/>
        </w:rPr>
        <w:t xml:space="preserve">Дозирование/введение: </w:t>
      </w:r>
      <w:r>
        <w:t>однократный прием 125 мг перорально</w:t>
      </w:r>
    </w:p>
    <w:p>
      <w:r>
        <w:rPr>
          <w:b/>
        </w:rPr>
        <w:t xml:space="preserve">Конечные точки/параметры: </w:t>
      </w:r>
      <w:r>
        <w:t>AUC (площадь под кривой концентрация-время), Cmax (максимальная концентрация в плазме), время до достижения Cmax, безопасность</w:t>
      </w:r>
    </w:p>
    <w:p/>
    <w:p>
      <w:pPr>
        <w:pStyle w:val="Heading1"/>
      </w:pPr>
      <w:r>
        <w:t>Исследуемая популяция и критерии отбора</w:t>
      </w:r>
    </w:p>
    <w:p>
      <w:r>
        <w:t>здоровые добровольцы</w:t>
      </w:r>
    </w:p>
    <w:p>
      <w:pPr>
        <w:pStyle w:val="Heading2"/>
      </w:pPr>
      <w:r>
        <w:t>Критерии включения</w:t>
      </w:r>
    </w:p>
    <w:p>
      <w:pPr>
        <w:pStyle w:val="ListBullet"/>
      </w:pPr>
      <w:r>
        <w:t>возраст от 18 до 55 лет</w:t>
      </w:r>
    </w:p>
    <w:p>
      <w:pPr>
        <w:pStyle w:val="ListBullet"/>
      </w:pPr>
      <w:r>
        <w:t>индекс массы тела в пределах нормы</w:t>
      </w:r>
    </w:p>
    <w:p>
      <w:pPr>
        <w:pStyle w:val="ListBullet"/>
      </w:pPr>
      <w:r>
        <w:t>отсутствие значимых заболеваний в анамнезе</w:t>
      </w:r>
    </w:p>
    <w:p>
      <w:pPr>
        <w:pStyle w:val="ListBullet"/>
      </w:pPr>
      <w:r>
        <w:t>нормальные лабораторные показатели</w:t>
      </w:r>
    </w:p>
    <w:p>
      <w:pPr>
        <w:pStyle w:val="Heading2"/>
      </w:pPr>
      <w:r>
        <w:t>Критерии невключения</w:t>
      </w:r>
    </w:p>
    <w:p>
      <w:pPr>
        <w:pStyle w:val="ListBullet"/>
      </w:pPr>
      <w:r>
        <w:t>Несоответствие критериям включения</w:t>
      </w:r>
    </w:p>
    <w:p>
      <w:pPr>
        <w:pStyle w:val="ListBullet"/>
      </w:pPr>
      <w:r>
        <w:t>наличие хронических заболеваний</w:t>
      </w:r>
    </w:p>
    <w:p>
      <w:pPr>
        <w:pStyle w:val="ListBullet"/>
      </w:pPr>
      <w:r>
        <w:t>аллергические реакции на компоненты препарата</w:t>
      </w:r>
    </w:p>
    <w:p>
      <w:pPr>
        <w:pStyle w:val="ListBullet"/>
      </w:pPr>
      <w:r>
        <w:t>прием лекарственных средств в течение последних двух недель</w:t>
      </w:r>
    </w:p>
    <w:p>
      <w:pPr>
        <w:pStyle w:val="ListBullet"/>
      </w:pPr>
      <w:r>
        <w:t>несоответствие критериям включения</w:t>
      </w:r>
    </w:p>
    <w:p>
      <w:pPr>
        <w:pStyle w:val="Heading1"/>
      </w:pPr>
      <w:r>
        <w:t>Схема лечения / дозирование</w:t>
      </w:r>
    </w:p>
    <w:p>
      <w:r>
        <w:t>сравнительная фармакокинетика и биоэквивалентность палбоциклиба в условиях приема пищи с высоким содержанием калорий</w:t>
      </w:r>
    </w:p>
    <w:p>
      <w:pPr>
        <w:pStyle w:val="Heading2"/>
      </w:pPr>
      <w:r>
        <w:t>Краткий план процедур (резюме)</w:t>
      </w:r>
    </w:p>
    <w:p>
      <w:r>
        <w:t>участники получают однократную дозу палбоциклиба в тестовой или референсной формулировке, затем следует период вымывания, после чего участники получают другую формулировку. Кровь для анализа фармакокинетических параметров берется в заранее определенные временные точки.</w:t>
      </w:r>
    </w:p>
    <w:p>
      <w:pPr>
        <w:pStyle w:val="Heading1"/>
      </w:pPr>
      <w:r>
        <w:t>План процедур и график отбора проб</w:t>
      </w:r>
    </w:p>
    <w:p>
      <w:r>
        <w:t>Общая схема визитов/периодов и временные окна: исследование включает несколько визитов для оценки фармакокинетики и безопасности палбоциклиба в условиях приёма с пищей.</w:t>
      </w:r>
    </w:p>
    <w:p/>
    <w:p>
      <w:r>
        <w:t>Госпитализация/наблюдение/выписка: госпитализация не требуется, наблюдение проводится амбулаторно. Выписка не применима, так как нет госпитализации.</w:t>
      </w:r>
    </w:p>
    <w:p/>
    <w:p>
      <w:r>
        <w:t>Условия питания/вода/запреты/контроль сопутствующих: участники должны соблюдать режим питания, включающий высококалорийную пищу перед приёмом препарата. Запрещается употребление алкоголя и других веществ, которые могут повлиять на результаты исследования. Контроль сопутствующих заболеваний и лекарств обязателен.</w:t>
      </w:r>
    </w:p>
    <w:p/>
    <w:p>
      <w:r>
        <w:t>PK sampling: отбор проб начинается до приёма препарата и продолжается в течение достаточного времени для оценки полного профиля фармакокинетики. Точное время отбора проб не указано, но оно должно быть достаточным для оценки Cmax и AUC.</w:t>
      </w:r>
    </w:p>
    <w:p/>
    <w:p>
      <w:r>
        <w:t>Какие обследования когда:</w:t>
      </w:r>
    </w:p>
    <w:p>
      <w:pPr>
        <w:pStyle w:val="ListBullet"/>
      </w:pPr>
      <w:r>
        <w:t>ЭКГ: проводится в начале и в конце исследования.</w:t>
      </w:r>
    </w:p>
    <w:p>
      <w:pPr>
        <w:pStyle w:val="ListBullet"/>
      </w:pPr>
      <w:r>
        <w:t>Лаборатория: анализы крови на общий и биохимический состав проводятся в начале, середине и в конце исследования.</w:t>
      </w:r>
    </w:p>
    <w:p>
      <w:pPr>
        <w:pStyle w:val="ListBullet"/>
      </w:pPr>
      <w:r>
        <w:t>Витальные: измерение артериального давления, пульса и температуры тела проводится на каждом визите.</w:t>
      </w:r>
    </w:p>
    <w:p>
      <w:pPr>
        <w:pStyle w:val="ListBullet"/>
      </w:pPr>
      <w:r>
        <w:t>Осмотр: медицинский осмотр проводится на каждом визите.</w:t>
      </w:r>
    </w:p>
    <w:p>
      <w:pPr>
        <w:pStyle w:val="ListBullet"/>
      </w:pPr>
      <w:r>
        <w:t>Регистрация НЯ: нежелательные явления регистрируются на каждом визите и между визитами.</w:t>
      </w:r>
    </w:p>
    <w:p/>
    <w:p>
      <w:r>
        <w:t>Обращение с образцами:</w:t>
      </w:r>
    </w:p>
    <w:p>
      <w:pPr>
        <w:pStyle w:val="ListBullet"/>
      </w:pPr>
      <w:r>
        <w:t>Центрифугирование: образцы крови центрифугируются в течение определённого времени после взятия.</w:t>
      </w:r>
    </w:p>
    <w:p>
      <w:pPr>
        <w:pStyle w:val="ListBullet"/>
      </w:pPr>
      <w:r>
        <w:t>Заморозка: образцы плазмы замораживаются для последующего анализа.</w:t>
      </w:r>
    </w:p>
    <w:p>
      <w:pPr>
        <w:pStyle w:val="ListBullet"/>
      </w:pPr>
      <w:r>
        <w:t>Транспортировка: образцы транспортируются в лабораторию для анализа.</w:t>
      </w:r>
    </w:p>
    <w:p>
      <w:pPr>
        <w:pStyle w:val="ListBullet"/>
      </w:pPr>
      <w:r>
        <w:t>Цепочка поставок: обеспечивается сохранность и целостность образцов на всех этапах транспортировки и хранения.</w:t>
      </w:r>
    </w:p>
    <w:p>
      <w:pPr>
        <w:pStyle w:val="Heading1"/>
      </w:pPr>
      <w:r>
        <w:t>Фармакокинетика и конечные точки</w:t>
      </w:r>
    </w:p>
    <w:p>
      <w:r>
        <w:t>Первичные ФК-параметры:</w:t>
      </w:r>
    </w:p>
    <w:p>
      <w:pPr>
        <w:pStyle w:val="ListBullet"/>
      </w:pPr>
      <w:r>
        <w:t>AUC</w:t>
      </w:r>
    </w:p>
    <w:p>
      <w:pPr>
        <w:pStyle w:val="ListBullet"/>
      </w:pPr>
      <w:r>
        <w:t>Cmax</w:t>
      </w:r>
    </w:p>
    <w:p>
      <w:r>
        <w:t>Вторичные ФК-параметры:</w:t>
      </w:r>
    </w:p>
    <w:p>
      <w:pPr>
        <w:pStyle w:val="ListBullet"/>
      </w:pPr>
      <w:r>
        <w:t>V z /F</w:t>
      </w:r>
    </w:p>
    <w:p>
      <w:pPr>
        <w:pStyle w:val="ListBullet"/>
      </w:pPr>
      <w:r>
        <w:t>CL/F</w:t>
      </w:r>
    </w:p>
    <w:p>
      <w:pPr>
        <w:pStyle w:val="Heading1"/>
      </w:pPr>
      <w:r>
        <w:t>Биоаналитический раздел</w:t>
      </w:r>
    </w:p>
    <w:p>
      <w:r>
        <w:t>Для проведения сравнительной фармакокинетики и оценки биоэквивалентности палбоциклиба у здоровых добровольцев после приёма высококалорийной пищи используются методы жидкостной хроматографии в сочетании с масс-спектрометрией (ЖХ-МС). Определение концентраций палбоциклиба в плазме крови осуществляется с помощью валидированного метода ЖХ-МС, что позволяет точно измерять уровни активного вещества. Для анализа фармакокинетических параметров применяется некомпартаментный подход с использованием программного обеспечения Phoenix WinNonlin. Важным аспектом является оценка влияния пищи на биодоступность палбоциклиба, что включает измерение ключевых фармакокинетических параметров, таких как максимальная концентрация в плазме (Cmax) и площадь под кривой концентрация-время (AUC). Эти данные позволяют сделать выводы о биоэквивалентности тестируемого и референсного препаратов в условиях приёма пищи.</w:t>
      </w:r>
    </w:p>
    <w:p>
      <w:pPr>
        <w:pStyle w:val="Heading1"/>
      </w:pPr>
      <w:r>
        <w:t>Планируемые статистические методы</w:t>
      </w:r>
    </w:p>
    <w:p>
      <w:r>
        <w:t>Статистический анализ данных фармакокинетики палбоциклиба проводится с использованием модуля биоэквивалентности в программе WinNonLin. Основные фармакокинетические параметры, такие как Cmax, AUC от нуля до последнего измеряемого времени (AUC0-t) и AUC от нуля до бесконечности (AUC0-∞), анализируются для оценки биоэквивалентности между тестируемым и референсным препаратами. Для определения статистической значимости различий между группами используются соответствующие тесты, включая анализ дисперсии (ANOVA) и тесты на эквивалентность. Важным элементом является расчёт геометрических средних отношений (T/R) для ключевых параметров, что позволяет оценить степень соответствия между препаратами. Учёт вариабельности внутри субъектов и между субъектами, а также обеспечение достаточной мощности исследования являются ключевыми аспектами статистического анализа.</w:t>
      </w:r>
    </w:p>
    <w:p>
      <w:pPr>
        <w:pStyle w:val="Heading1"/>
      </w:pPr>
      <w:r>
        <w:t>Размер выборки</w:t>
      </w:r>
    </w:p>
    <w:p>
      <w:r>
        <w:t>Расчёт размера выборки для исследования биоэквивалентности палбоциклиба проводится с учётом дизайна 2×2 crossover, который является подходящим для оценки влияния пищи на фармакокинетику препарата. Основными параметрами для расчёта являются внутрисубъектная вариабельность (CVintra), мощность исследования, уровень значимости (α) и ожидаемое геометрическое среднее отношение (GMR) между тестируемым и референсным препаратами. Также учитывается вероятность выбывания участников из исследования (dropout). Для обеспечения надёжных результатов исследования необходимо, чтобы размер выборки был достаточным для достижения требуемой мощности при заданном уровне значимости.</w:t>
      </w:r>
    </w:p>
    <w:p/>
    <w:p>
      <w:r>
        <w:t>Численный расчет (2×2 перекрестный дизайн, TOST на лог-шкале):</w:t>
      </w:r>
    </w:p>
    <w:p>
      <w:pPr>
        <w:pStyle w:val="ListBullet"/>
      </w:pPr>
      <w:r>
        <w:t>CVintra = 30.00%</w:t>
      </w:r>
    </w:p>
    <w:p>
      <w:pPr>
        <w:pStyle w:val="ListBullet"/>
      </w:pPr>
      <w:r>
        <w:t>мощность = 80%</w:t>
      </w:r>
    </w:p>
    <w:p>
      <w:pPr>
        <w:pStyle w:val="ListBullet"/>
      </w:pPr>
      <w:r>
        <w:t>α = 0.05 (односторонний)</w:t>
      </w:r>
    </w:p>
    <w:p>
      <w:pPr>
        <w:pStyle w:val="ListBullet"/>
      </w:pPr>
      <w:r>
        <w:t>ожидаемое отношение геометрических средних (GMR, T/R) = 0.95</w:t>
      </w:r>
    </w:p>
    <w:p>
      <w:pPr>
        <w:pStyle w:val="ListBullet"/>
      </w:pPr>
      <w:r>
        <w:t>учет выбывания (dropout) = 10%</w:t>
      </w:r>
    </w:p>
    <w:p/>
    <w:p>
      <w:r>
        <w:t>Требуемый размер выборки:</w:t>
      </w:r>
    </w:p>
    <w:p>
      <w:pPr>
        <w:pStyle w:val="ListBullet"/>
      </w:pPr>
      <w:r>
        <w:t>расчетный минимум (без учета выбывания): 74 участников</w:t>
      </w:r>
    </w:p>
    <w:p>
      <w:pPr>
        <w:pStyle w:val="ListBullet"/>
      </w:pPr>
      <w:r>
        <w:t>планируемое число к рандомизации (с учетом выбывания): 84 участников</w:t>
      </w:r>
    </w:p>
    <w:p>
      <w:pPr>
        <w:pStyle w:val="Heading1"/>
      </w:pPr>
      <w:r>
        <w:t>Рандомизация</w:t>
      </w:r>
    </w:p>
    <w:p>
      <w:r>
        <w:t>Субъекты были рандомизированы в группы с приёмом препарата натощак или после приёма пищи, последовательности T-R и R-T (T: тестируемая форма; R: референсная форма).</w:t>
      </w:r>
    </w:p>
    <w:p>
      <w:pPr>
        <w:pStyle w:val="Heading1"/>
      </w:pPr>
      <w:r>
        <w:t>Безопасность</w:t>
      </w:r>
    </w:p>
    <w:p>
      <w:r>
        <w:t>Безопасность однократного и кратковременного дозирования палбоциклиба оценивалась на основании анализа побочных эффектов, серьёзных побочных эффектов, сопутствующих медикаментов, лабораторных тестов, клинических симптомов, показателей жизненно важных функций, результатов электрокардиограммы и физического осмотра. Все побочные эффекты кодировались с использованием MedDRA и суммировались по классам систем органов и предпочтительным терминам. Оценка тяжести побочных эффектов проводилась в соответствии с общими терминологическими критериями для побочных эффектов (CTCAE, версия 5.0).</w:t>
      </w:r>
    </w:p>
    <w:p>
      <w:pPr>
        <w:pStyle w:val="Heading1"/>
      </w:pPr>
      <w:r>
        <w:t>Этика и регуляторные аспекты</w:t>
      </w:r>
    </w:p>
    <w:p>
      <w:r>
        <w:t>Этические аспекты клинических исследований с участием здоровых добровольцев включают обеспечение их безопасности и благополучия, информированное согласие, а также соблюдение принципов справедливости и уважения к личности. Исследования должны проводиться в соответствии с этическими стандартами и принципами, изложенными в Хельсинкской декларации. Протоколы исследований должны быть одобрены независимыми этическими комитетами, а права участников должны быть защищены на всех этапах исследования.</w:t>
      </w:r>
    </w:p>
    <w:p>
      <w:pPr>
        <w:pStyle w:val="Heading1"/>
      </w:pPr>
      <w:r>
        <w:t>Управление данными и качество</w:t>
      </w:r>
    </w:p>
    <w:p>
      <w:r>
        <w:t>Качество данных в клинических исследованиях обеспечивается строгим соблюдением протоколов, валидацией аналитических методов, использованием стандартизированных форм сбора данных и процедур управления данными. Важным аспектом является также мониторинг данных и аудит для обеспечения их точности, полноты и целостности. Статистический анализ должен проводиться с использованием соответствующих методов и программного обеспечения, чтобы гарантировать надёжность результатов.</w:t>
      </w:r>
    </w:p>
    <w:p>
      <w:pPr>
        <w:pStyle w:val="Heading1"/>
      </w:pPr>
      <w:r>
        <w:t>Риски и ограничения</w:t>
      </w:r>
    </w:p>
    <w:p>
      <w:r>
        <w:t>Оценка рисков в клинических исследованиях включает идентификацию, анализ и управление потенциальными рисками для участников и качества данных. Лимиты рисков определяются на основе предварительных оценок и мониторинга безопасности в ходе исследования. Управление рисками включает разработку мер по минимизации и контролю рисков, а также планирование действий на случай возникновения непредвиденных ситуаций.</w:t>
      </w:r>
    </w:p>
    <w:p>
      <w:pPr>
        <w:pStyle w:val="Heading1"/>
      </w:pPr>
      <w:r>
        <w:t>Список литературы</w:t>
      </w:r>
    </w:p>
    <w:p>
      <w:r>
        <w:t>1. Source: https://www.ema.europa.eu/en/documents/assessment-report/ibrance-epar-public-assessment-report_en.pdf (). 68b41c3094 https://www.ema.europa.eu/en/documents/assessment-report/ibrance-epar-public-assessment-report_en.pdf</w:t>
      </w:r>
    </w:p>
    <w:p>
      <w:r>
        <w:t>2. In vivo Pharmacokinetic Interactions Between Palbociclib and Rivaroxaban or Apixaban: Implications for Increased Drug Exposure and Dose Adjustments. (2025). PMC12396240 https://pmc.ncbi.nlm.nih.gov/articles/PMC12396240/</w:t>
      </w:r>
    </w:p>
    <w:p>
      <w:r>
        <w:t>3. Bioequivalence of a single dose of two palbociclib formulations in healthy Chinese subjects under fasting conditions: a two-period crossover study with rabeprazole pre-treatment. (2025). PMC12683522 https://pmc.ncbi.nlm.nih.gov/articles/PMC12683522/</w:t>
      </w:r>
    </w:p>
    <w:p>
      <w:r>
        <w:t>4. Open-Label Study Assessing Relative and Absolute Bioavailability of Oral Camizestrant Formulations and Food Effects in Healthy Postmenopausal Women. (2026). PMC12820339 https://pmc.ncbi.nlm.nih.gov/articles/PMC12820339/</w:t>
      </w:r>
    </w:p>
    <w:p>
      <w:r>
        <w:t>5. Pharmacokinetics, safety and tolerability of ipatasertib in combination with palbociclib and fulvestrant in patients with advanced breast cancer in a phase Ib study. (2025). PMC12511766 https://pmc.ncbi.nlm.nih.gov/articles/PMC12511766/</w:t>
      </w:r>
    </w:p>
    <w:p>
      <w:r>
        <w:t>6. Pharmacokinetic interactions and clinical implications of PPIs and CDKIs in breast cancer: a systematic review and meta-analysis. (2025). PMC12859863 https://pmc.ncbi.nlm.nih.gov/articles/PMC12859863/</w:t>
      </w:r>
    </w:p>
    <w:p>
      <w:r>
        <w:t>7. Solidification of SNEDDS Using Mesoporous Carriers (2020-2025): A Review of Design, Biopharmaceutical Enhancement, and Therapeutic Impact. (2025). PMC12766025 https://pmc.ncbi.nlm.nih.gov/articles/PMC12766025/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