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Акт наработки катодного материала NMC811</w:t>
      </w:r>
    </w:p>
    <w:p>
      <w:pPr>
        <w:jc w:val="center"/>
      </w:pPr>
      <w:r>
        <w:rPr>
          <w:i/>
          <w:color w:val="780000"/>
        </w:rPr>
        <w:t>УЧЕБНЫЙ ПРИМЕР — значения не являются производственной инструкцией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Идентификатор</w:t>
            </w:r>
          </w:p>
        </w:tc>
        <w:tc>
          <w:tcPr>
            <w:tcW w:type="dxa" w:w="4986"/>
            <w:vAlign w:val="center"/>
          </w:tcPr>
          <w:p>
            <w:r>
              <w:t>MA-NMC-001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Тип документа</w:t>
            </w:r>
          </w:p>
        </w:tc>
        <w:tc>
          <w:tcPr>
            <w:tcW w:type="dxa" w:w="4986"/>
            <w:vAlign w:val="center"/>
          </w:tcPr>
          <w:p>
            <w:r>
              <w:t>manufacturing_act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Материал</w:t>
            </w:r>
          </w:p>
        </w:tc>
        <w:tc>
          <w:tcPr>
            <w:tcW w:type="dxa" w:w="4986"/>
            <w:vAlign w:val="center"/>
          </w:tcPr>
          <w:p>
            <w:r>
              <w:t>LiNi₀.₈Co₀.₁Mn₀.₁O₂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Партия</w:t>
            </w:r>
          </w:p>
        </w:tc>
        <w:tc>
          <w:tcPr>
            <w:tcW w:type="dxa" w:w="4986"/>
            <w:vAlign w:val="center"/>
          </w:tcPr>
          <w:p>
            <w:r>
              <w:t>NMC-811-D01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  <w:vAlign w:val="center"/>
          </w:tcPr>
          <w:p>
            <w:r>
              <w:t>15.05.2026</w:t>
            </w:r>
          </w:p>
        </w:tc>
      </w:tr>
    </w:tbl>
    <w:p>
      <w:pPr>
        <w:pStyle w:val="Heading1"/>
      </w:pPr>
      <w:r>
        <w:t>Цель наработки</w:t>
      </w:r>
    </w:p>
    <w:p>
      <w:r>
        <w:t>Получение демонстрационной партии катодного материала NMC811 для последующего физико-химического и электрохимического контроля.</w:t>
      </w:r>
    </w:p>
    <w:p>
      <w:pPr>
        <w:pStyle w:val="Heading1"/>
      </w:pPr>
      <w:r>
        <w:t>Получение прекурсора</w:t>
      </w:r>
    </w:p>
    <w:p>
      <w:r>
        <w:t>Раствор солей никеля, кобальта и марганца с мольным отношением 8:1:1 подавали в реактор осаждения.</w:t>
      </w:r>
    </w:p>
    <w:p>
      <w:r>
        <w:t>Осаждение проводили 12 ч при 50 °C и pH 11,2. После фильтрации осадок промывали до электропроводности фильтрата не более 50 мкСм/см.</w:t>
      </w:r>
    </w:p>
    <w:p>
      <w:pPr>
        <w:pStyle w:val="Heading1"/>
      </w:pPr>
      <w:r>
        <w:t>Сушка и смешение</w:t>
      </w:r>
    </w:p>
    <w:p>
      <w:r>
        <w:t>Промытый прекурсор сушили 12 ч при 120 °C. Высушенный материал смешали с LiOH·H₂O при избытке лития 3 мол. %.</w:t>
      </w:r>
    </w:p>
    <w:p>
      <w:pPr>
        <w:pStyle w:val="Heading1"/>
      </w:pPr>
      <w:r>
        <w:t>Термообработка</w:t>
      </w:r>
    </w:p>
    <w:p>
      <w:r>
        <w:t>Смесь нагревали до 480 °C с выдержкой 5 ч, затем до 750 °C с выдержкой 12 ч. Расход кислорода составлял 5 л/мин.</w:t>
      </w:r>
    </w:p>
    <w:p>
      <w:pPr>
        <w:pStyle w:val="Heading1"/>
      </w:pPr>
      <w:r>
        <w:t>Полученный продукт</w:t>
      </w:r>
    </w:p>
    <w:p>
      <w:r>
        <w:t>После охлаждения, дезагломерации и просева получена учебная партия NMC-811-D01 массой 2,4 кг.</w:t>
      </w:r>
    </w:p>
    <w:p>
      <w:pPr>
        <w:pStyle w:val="Heading1"/>
      </w:pPr>
      <w:r>
        <w:t>Заключение</w:t>
      </w:r>
    </w:p>
    <w:p>
      <w:r>
        <w:t>Учебная партия передана на рентгенофазовый анализ, определение гранулометрического состава и изготовление лабораторных ячеек.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Роль</w:t>
            </w:r>
          </w:p>
        </w:tc>
        <w:tc>
          <w:tcPr>
            <w:tcW w:type="dxa" w:w="3324"/>
            <w:shd w:fill="D9EAF7"/>
          </w:tcPr>
          <w:p>
            <w:r>
              <w:t>Ф.И.О.</w:t>
            </w:r>
          </w:p>
        </w:tc>
        <w:tc>
          <w:tcPr>
            <w:tcW w:type="dxa" w:w="3324"/>
            <w:shd w:fill="D9EAF7"/>
          </w:tcPr>
          <w:p>
            <w:r>
              <w:t>Подпись, дата</w:t>
            </w:r>
          </w:p>
        </w:tc>
      </w:tr>
      <w:tr>
        <w:tc>
          <w:tcPr>
            <w:tcW w:type="dxa" w:w="3324"/>
          </w:tcPr>
          <w:p>
            <w:r>
              <w:t>Ответственный исполнитель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  <w:tc>
          <w:tcPr>
            <w:tcW w:type="dxa" w:w="3324"/>
          </w:tcPr>
          <w:p>
            <w:r>
              <w:t>________________</w:t>
            </w:r>
          </w:p>
        </w:tc>
      </w:tr>
    </w:tbl>
    <w:sectPr w:rsidR="00FC693F" w:rsidRPr="0006063C" w:rsidSect="00034616">
      <w:type w:val="continuous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