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Акт сборки литий-ионных pouch-ячеек</w:t>
      </w:r>
    </w:p>
    <w:p>
      <w:pPr>
        <w:jc w:val="center"/>
      </w:pPr>
      <w:r>
        <w:rPr>
          <w:i/>
          <w:color w:val="780000"/>
        </w:rPr>
        <w:t>УЧЕБНЫЙ ПРИМЕР — значения не являются производственной инструкцией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Идентификатор</w:t>
            </w:r>
          </w:p>
        </w:tc>
        <w:tc>
          <w:tcPr>
            <w:tcW w:type="dxa" w:w="4986"/>
            <w:vAlign w:val="center"/>
          </w:tcPr>
          <w:p>
            <w:r>
              <w:t>MA-CELL-001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Тип документа</w:t>
            </w:r>
          </w:p>
        </w:tc>
        <w:tc>
          <w:tcPr>
            <w:tcW w:type="dxa" w:w="4986"/>
            <w:vAlign w:val="center"/>
          </w:tcPr>
          <w:p>
            <w:r>
              <w:t>manufacturing_act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Серия ячеек</w:t>
            </w:r>
          </w:p>
        </w:tc>
        <w:tc>
          <w:tcPr>
            <w:tcW w:type="dxa" w:w="4986"/>
            <w:vAlign w:val="center"/>
          </w:tcPr>
          <w:p>
            <w:r>
              <w:t>PA-01…PA-03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Форм-фактор</w:t>
            </w:r>
          </w:p>
        </w:tc>
        <w:tc>
          <w:tcPr>
            <w:tcW w:type="dxa" w:w="4986"/>
            <w:vAlign w:val="center"/>
          </w:tcPr>
          <w:p>
            <w:r>
              <w:t>pouch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  <w:vAlign w:val="center"/>
          </w:tcPr>
          <w:p>
            <w:r>
              <w:t>20.05.2026</w:t>
            </w:r>
          </w:p>
        </w:tc>
      </w:tr>
    </w:tbl>
    <w:p>
      <w:pPr>
        <w:pStyle w:val="Heading1"/>
      </w:pPr>
      <w:r>
        <w:t>Подготовка электродов</w:t>
      </w:r>
    </w:p>
    <w:p>
      <w:r>
        <w:t>Катодные листы на основе NMC и графитовые аноды вырублены по утверждённым размерам. Электроды сушили в вакууме 12 ч при 110 °C.</w:t>
      </w:r>
    </w:p>
    <w:p>
      <w:pPr>
        <w:pStyle w:val="Heading1"/>
      </w:pPr>
      <w:r>
        <w:t>Подготовка зоны сборки</w:t>
      </w:r>
    </w:p>
    <w:p>
      <w:r>
        <w:t>Сборку выполняли в перчаточном боксе в атмосфере аргона. Содержание H₂O и O₂ во время сборки не превышало 0,1 ppm.</w:t>
      </w:r>
    </w:p>
    <w:p>
      <w:pPr>
        <w:pStyle w:val="Heading1"/>
      </w:pPr>
      <w:r>
        <w:t>Сборка пакета</w:t>
      </w:r>
    </w:p>
    <w:p>
      <w:r>
        <w:t>Сформированы пакеты катод–сепаратор–анод. К токосъёмникам приварены алюминиевый и никелевый выводы.</w:t>
      </w:r>
    </w:p>
    <w:p>
      <w:pPr>
        <w:pStyle w:val="Heading1"/>
      </w:pPr>
      <w:r>
        <w:t>Заполнение и герметизация</w:t>
      </w:r>
    </w:p>
    <w:p>
      <w:r>
        <w:t>В каждую ячейку внесено 4,2 г электролита 1 M LiPF₆ в смеси EC:DMC 1:1 по объёму. После вакуумирования выполнена первичная герметизация.</w:t>
      </w:r>
    </w:p>
    <w:p>
      <w:pPr>
        <w:pStyle w:val="Heading1"/>
      </w:pPr>
      <w:r>
        <w:t>Полученные образцы</w:t>
      </w:r>
    </w:p>
    <w:p>
      <w:r>
        <w:t>Собраны ячейки PA-01, PA-02 и PA-03. Перед формовкой ячейки выдерживали 12 ч при 25 °C.</w:t>
      </w:r>
    </w:p>
    <w:p>
      <w:pPr>
        <w:pStyle w:val="Heading1"/>
      </w:pPr>
      <w:r>
        <w:t>Заключение</w:t>
      </w:r>
    </w:p>
    <w:p>
      <w:r>
        <w:t>Три учебные pouch-ячейки переданы на формовочные циклы и контроль герметичности.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Роль</w:t>
            </w:r>
          </w:p>
        </w:tc>
        <w:tc>
          <w:tcPr>
            <w:tcW w:type="dxa" w:w="3324"/>
            <w:shd w:fill="D9EAF7"/>
          </w:tcPr>
          <w:p>
            <w:r>
              <w:t>Ф.И.О.</w:t>
            </w:r>
          </w:p>
        </w:tc>
        <w:tc>
          <w:tcPr>
            <w:tcW w:type="dxa" w:w="3324"/>
            <w:shd w:fill="D9EAF7"/>
          </w:tcPr>
          <w:p>
            <w:r>
              <w:t>Подпись, дата</w:t>
            </w:r>
          </w:p>
        </w:tc>
      </w:tr>
      <w:tr>
        <w:tc>
          <w:tcPr>
            <w:tcW w:type="dxa" w:w="3324"/>
          </w:tcPr>
          <w:p>
            <w:r>
              <w:t>Ответственный исполнитель</w:t>
            </w:r>
          </w:p>
        </w:tc>
        <w:tc>
          <w:tcPr>
            <w:tcW w:type="dxa" w:w="3324"/>
          </w:tcPr>
          <w:p>
            <w:r>
              <w:t>________________</w:t>
            </w:r>
          </w:p>
        </w:tc>
        <w:tc>
          <w:tcPr>
            <w:tcW w:type="dxa" w:w="3324"/>
          </w:tcPr>
          <w:p>
            <w:r>
              <w:t>________________</w:t>
            </w:r>
          </w:p>
        </w:tc>
      </w:tr>
    </w:tbl>
    <w:sectPr w:rsidR="00FC693F" w:rsidRPr="0006063C" w:rsidSect="00034616">
      <w:type w:val="continuous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