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Акт испытаний партии NMC811</w:t>
      </w:r>
    </w:p>
    <w:p>
      <w:pPr>
        <w:jc w:val="center"/>
      </w:pPr>
      <w:r>
        <w:rPr>
          <w:i/>
          <w:color w:val="780000"/>
        </w:rPr>
        <w:t>УЧЕБНЫЙ ПРИМЕР — значения не являются производственной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Идентификатор</w:t>
            </w:r>
          </w:p>
        </w:tc>
        <w:tc>
          <w:tcPr>
            <w:tcW w:type="dxa" w:w="4986"/>
            <w:vAlign w:val="center"/>
          </w:tcPr>
          <w:p>
            <w:r>
              <w:t>TA-NMC-001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>
              <w:t>test_act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4986"/>
            <w:vAlign w:val="center"/>
          </w:tcPr>
          <w:p>
            <w:r>
              <w:t>NMC-811-D01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Исходные протоколы</w:t>
            </w:r>
          </w:p>
        </w:tc>
        <w:tc>
          <w:tcPr>
            <w:tcW w:type="dxa" w:w="4986"/>
            <w:vAlign w:val="center"/>
          </w:tcPr>
          <w:p>
            <w:r>
              <w:t>P-NMC-XRD-001; P-NMC-PSD-001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>
              <w:t>19.05.2026</w:t>
            </w:r>
          </w:p>
        </w:tc>
      </w:tr>
    </w:tbl>
    <w:p>
      <w:pPr>
        <w:pStyle w:val="Heading1"/>
      </w:pPr>
      <w:r>
        <w:t>Основание</w:t>
      </w:r>
    </w:p>
    <w:p>
      <w:r>
        <w:t>Акт составлен по данным протоколов P-NMC-XRD-001 и P-NMC-PSD-001. Значения перенесены без пересчёта.</w:t>
      </w:r>
    </w:p>
    <w:p>
      <w:pPr>
        <w:pStyle w:val="Heading1"/>
      </w:pPr>
      <w:r>
        <w:t>Проведённые испытания</w:t>
      </w:r>
    </w:p>
    <w:p>
      <w:r>
        <w:t>Выполнены рентгенофазовый анализ, определение гранулометрического состава и измерение насыпной плотности.</w:t>
      </w:r>
    </w:p>
    <w:p>
      <w:pPr>
        <w:pStyle w:val="Heading1"/>
      </w:pPr>
      <w:r>
        <w:t>Отклонения</w:t>
      </w:r>
    </w:p>
    <w:p>
      <w:r>
        <w:t>В исходных протоколах отклонения от методик не зарегистрированы.</w:t>
      </w:r>
    </w:p>
    <w:p>
      <w:pPr>
        <w:pStyle w:val="Heading1"/>
      </w:pPr>
      <w:r>
        <w:t>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Протокол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>
              <w:t>P-NMC-XRD-001</w:t>
            </w:r>
          </w:p>
        </w:tc>
        <w:tc>
          <w:tcPr>
            <w:tcW w:type="dxa" w:w="3324"/>
          </w:tcPr>
          <w:p>
            <w:r>
              <w:t>Основная фаза</w:t>
            </w:r>
          </w:p>
        </w:tc>
        <w:tc>
          <w:tcPr>
            <w:tcW w:type="dxa" w:w="3324"/>
          </w:tcPr>
          <w:p>
            <w:r>
              <w:t>Слоистая α-NaFeO₂</w:t>
            </w:r>
          </w:p>
        </w:tc>
      </w:tr>
      <w:tr>
        <w:tc>
          <w:tcPr>
            <w:tcW w:type="dxa" w:w="3324"/>
          </w:tcPr>
          <w:p>
            <w:r>
              <w:t>P-NMC-PSD-001</w:t>
            </w:r>
          </w:p>
        </w:tc>
        <w:tc>
          <w:tcPr>
            <w:tcW w:type="dxa" w:w="3324"/>
          </w:tcPr>
          <w:p>
            <w:r>
              <w:t>D50</w:t>
            </w:r>
          </w:p>
        </w:tc>
        <w:tc>
          <w:tcPr>
            <w:tcW w:type="dxa" w:w="3324"/>
          </w:tcPr>
          <w:p>
            <w:r>
              <w:t>9,6 мкм</w:t>
            </w:r>
          </w:p>
        </w:tc>
      </w:tr>
      <w:tr>
        <w:tc>
          <w:tcPr>
            <w:tcW w:type="dxa" w:w="3324"/>
          </w:tcPr>
          <w:p>
            <w:r>
              <w:t>P-NMC-PSD-001</w:t>
            </w:r>
          </w:p>
        </w:tc>
        <w:tc>
          <w:tcPr>
            <w:tcW w:type="dxa" w:w="3324"/>
          </w:tcPr>
          <w:p>
            <w:r>
              <w:t>Насыпная плотность</w:t>
            </w:r>
          </w:p>
        </w:tc>
        <w:tc>
          <w:tcPr>
            <w:tcW w:type="dxa" w:w="3324"/>
          </w:tcPr>
          <w:p>
            <w:r>
              <w:t>2,32 г/см³</w:t>
            </w:r>
          </w:p>
        </w:tc>
      </w:tr>
    </w:tbl>
    <w:p>
      <w:pPr>
        <w:pStyle w:val="Heading1"/>
      </w:pPr>
      <w:r>
        <w:t>Заключение</w:t>
      </w:r>
    </w:p>
    <w:p>
      <w:r>
        <w:t>Результаты учебных протоколов сведены в настоящий акт. Решение о соответствии должно приниматься только при наличии утверждённой спецификации.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Роль</w:t>
            </w:r>
          </w:p>
        </w:tc>
        <w:tc>
          <w:tcPr>
            <w:tcW w:type="dxa" w:w="3324"/>
            <w:shd w:fill="D9EAF7"/>
          </w:tcPr>
          <w:p>
            <w:r>
              <w:t>Ф.И.О.</w:t>
            </w:r>
          </w:p>
        </w:tc>
        <w:tc>
          <w:tcPr>
            <w:tcW w:type="dxa" w:w="3324"/>
            <w:shd w:fill="D9EAF7"/>
          </w:tcPr>
          <w:p>
            <w:r>
              <w:t>Подпись, дата</w:t>
            </w:r>
          </w:p>
        </w:tc>
      </w:tr>
      <w:tr>
        <w:tc>
          <w:tcPr>
            <w:tcW w:type="dxa" w:w="3324"/>
          </w:tcPr>
          <w:p>
            <w:r>
              <w:t>Ответственный исполнитель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</w:tr>
    </w:tbl>
    <w:sectPr w:rsidR="00FC693F" w:rsidRPr="0006063C" w:rsidSect="00034616">
      <w:type w:val="continuous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