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vodeco-cabinet-system"/>
    <w:p>
      <w:pPr>
        <w:pStyle w:val="Heading1"/>
      </w:pPr>
      <w:r>
        <w:t xml:space="preserve">VODeco Cabinet System</w:t>
      </w:r>
    </w:p>
    <w:p>
      <w:pPr>
        <w:pStyle w:val="FirstParagraph"/>
      </w:pPr>
      <w:r>
        <w:rPr>
          <w:iCs/>
          <w:i/>
        </w:rPr>
        <w:t xml:space="preserve">Единая система кабинетов экосистемы VODeco — центральный рабочий контур для всех участников.</w:t>
      </w:r>
      <w:r>
        <w:t xml:space="preserve"> </w:t>
      </w:r>
      <w:r>
        <w:t xml:space="preserve">Автор и концепция:</w:t>
      </w:r>
      <w:r>
        <w:t xml:space="preserve"> </w:t>
      </w:r>
      <w:r>
        <w:rPr>
          <w:bCs/>
          <w:b/>
        </w:rPr>
        <w:t xml:space="preserve">Timur Cadik (Multiverse Forge)</w:t>
      </w:r>
    </w:p>
    <w:bookmarkStart w:id="20" w:name="назначение-и-принципы"/>
    <w:p>
      <w:pPr>
        <w:pStyle w:val="Heading2"/>
      </w:pPr>
      <w:r>
        <w:t xml:space="preserve">1. Назначение и принципы</w:t>
      </w:r>
    </w:p>
    <w:p>
      <w:pPr>
        <w:pStyle w:val="FirstParagraph"/>
      </w:pPr>
      <w:r>
        <w:t xml:space="preserve">VODeco Cabinet System — слой интерфейсов и инструментов, объединяющий всех участников в одном рабочем пространстве. Принципы: единая идентичность (SSO+кошелёк), DAO‑логика (голосования, казначейство), Data‑first (IoT/Big Data/AI), модульность, безопасность.</w:t>
      </w:r>
    </w:p>
    <w:bookmarkEnd w:id="20"/>
    <w:bookmarkStart w:id="21" w:name="общая-архитектура-кабинетов"/>
    <w:p>
      <w:pPr>
        <w:pStyle w:val="Heading2"/>
      </w:pPr>
      <w:r>
        <w:t xml:space="preserve">2. Общая архитектура кабинетов</w:t>
      </w:r>
    </w:p>
    <w:p>
      <w:pPr>
        <w:pStyle w:val="FirstParagraph"/>
      </w:pPr>
      <w:r>
        <w:t xml:space="preserve">Слои: аутентификация → роли → рабочие панели → данные и сервисы → качество → DAO‑транзакции. Навигация: Глобус/Карта → Проекты → Данные → Nexus Exchange → DAO. Общие модули: уведомления, задачи/ворк‑флоу, отчёты, архив, поддержка, обучение.</w:t>
      </w:r>
    </w:p>
    <w:bookmarkEnd w:id="21"/>
    <w:bookmarkStart w:id="22" w:name="единые-механизмы"/>
    <w:p>
      <w:pPr>
        <w:pStyle w:val="Heading2"/>
      </w:pPr>
      <w:r>
        <w:t xml:space="preserve">3. Единые механизмы</w:t>
      </w:r>
    </w:p>
    <w:p>
      <w:pPr>
        <w:pStyle w:val="FirstParagraph"/>
      </w:pPr>
      <w:r>
        <w:t xml:space="preserve">Workflow Engine; KPI/OKR‑панель; Data Ops (валидация, версии, lineage); Audit Trail (журналы, подписи); AI‑ассистент (подсказки, отчёты, аномалии); Nexus‑интеграция; коммуникации (чат, комменты, решения).</w:t>
      </w:r>
    </w:p>
    <w:bookmarkEnd w:id="22"/>
    <w:bookmarkStart w:id="36" w:name="кабинеты-подробно"/>
    <w:p>
      <w:pPr>
        <w:pStyle w:val="Heading2"/>
      </w:pPr>
      <w:r>
        <w:t xml:space="preserve">4. Кабинеты (подробно)</w:t>
      </w:r>
    </w:p>
    <w:bookmarkStart w:id="23" w:name="государственный-кабинет"/>
    <w:p>
      <w:pPr>
        <w:pStyle w:val="Heading3"/>
      </w:pPr>
      <w:r>
        <w:t xml:space="preserve">4.1. Государственный кабинет</w:t>
      </w:r>
    </w:p>
    <w:p>
      <w:pPr>
        <w:pStyle w:val="FirstParagraph"/>
      </w:pPr>
      <w:r>
        <w:t xml:space="preserve">Регулирование, мониторинг, лицензирование, отчётность; карта критичности, реестр станций, нормативы, PPP, кризис‑центр, интеграции с госГИС.</w:t>
      </w:r>
    </w:p>
    <w:bookmarkEnd w:id="23"/>
    <w:bookmarkStart w:id="24" w:name="корпоративный-кабинет"/>
    <w:p>
      <w:pPr>
        <w:pStyle w:val="Heading3"/>
      </w:pPr>
      <w:r>
        <w:t xml:space="preserve">4.2. Корпоративный кабинет</w:t>
      </w:r>
    </w:p>
    <w:p>
      <w:pPr>
        <w:pStyle w:val="FirstParagraph"/>
      </w:pPr>
      <w:r>
        <w:t xml:space="preserve">Asset/Project/Finance/ESG‑панели; CMMS, тендеры, KPI (утечки/энергоёмкость/качество), Nexus‑инвестиции, P‑VOD, отчёты.</w:t>
      </w:r>
    </w:p>
    <w:bookmarkEnd w:id="24"/>
    <w:bookmarkStart w:id="25" w:name="оператор"/>
    <w:p>
      <w:pPr>
        <w:pStyle w:val="Heading3"/>
      </w:pPr>
      <w:r>
        <w:t xml:space="preserve">4.3. Оператор</w:t>
      </w:r>
    </w:p>
    <w:p>
      <w:pPr>
        <w:pStyle w:val="FirstParagraph"/>
      </w:pPr>
      <w:r>
        <w:t xml:space="preserve">Смены/наряды, технологические карты, IoT‑панель, инциденты (RCA), лабораторные пробы, учёт ресурсов, CMMS.</w:t>
      </w:r>
    </w:p>
    <w:bookmarkEnd w:id="25"/>
    <w:bookmarkStart w:id="26" w:name="собственникконцессионер"/>
    <w:p>
      <w:pPr>
        <w:pStyle w:val="Heading3"/>
      </w:pPr>
      <w:r>
        <w:t xml:space="preserve">4.4. Собственник/Концессионер</w:t>
      </w:r>
    </w:p>
    <w:p>
      <w:pPr>
        <w:pStyle w:val="FirstParagraph"/>
      </w:pPr>
      <w:r>
        <w:t xml:space="preserve">Портфель, IRR/NPV, решения DAO, страхование, договоры, рейтинг подрядчиков, риск‑дашборд.</w:t>
      </w:r>
    </w:p>
    <w:bookmarkEnd w:id="26"/>
    <w:bookmarkStart w:id="27" w:name="научный-research"/>
    <w:p>
      <w:pPr>
        <w:pStyle w:val="Heading3"/>
      </w:pPr>
      <w:r>
        <w:t xml:space="preserve">4.5. Научный (Research)</w:t>
      </w:r>
    </w:p>
    <w:p>
      <w:pPr>
        <w:pStyle w:val="FirstParagraph"/>
      </w:pPr>
      <w:r>
        <w:t xml:space="preserve">Data Lake Explorer, модели (обучение/деплой), публикации, NFT‑лицензии, верификация сенсоров, консорциумы.</w:t>
      </w:r>
    </w:p>
    <w:bookmarkEnd w:id="27"/>
    <w:bookmarkStart w:id="28" w:name="образовательный-education"/>
    <w:p>
      <w:pPr>
        <w:pStyle w:val="Heading3"/>
      </w:pPr>
      <w:r>
        <w:t xml:space="preserve">4.6. Образовательный (Education)</w:t>
      </w:r>
    </w:p>
    <w:p>
      <w:pPr>
        <w:pStyle w:val="FirstParagraph"/>
      </w:pPr>
      <w:r>
        <w:t xml:space="preserve">Курсы/треки (вода/IoT/AI/DAO/ESG), «Учись‑и‑зарабатывай», события, методики, аналитика прогресса, NFT‑сертификаты.</w:t>
      </w:r>
    </w:p>
    <w:bookmarkEnd w:id="28"/>
    <w:bookmarkStart w:id="29" w:name="общественный-community"/>
    <w:p>
      <w:pPr>
        <w:pStyle w:val="Heading3"/>
      </w:pPr>
      <w:r>
        <w:t xml:space="preserve">4.7. Общественный (Community)</w:t>
      </w:r>
    </w:p>
    <w:p>
      <w:pPr>
        <w:pStyle w:val="FirstParagraph"/>
      </w:pPr>
      <w:r>
        <w:t xml:space="preserve">Миссии/отчёты, вознаграждения, голосования, новости/медиа, мобильные инструменты, карта миссий.</w:t>
      </w:r>
    </w:p>
    <w:bookmarkEnd w:id="29"/>
    <w:bookmarkStart w:id="30" w:name="партнёрский-partner"/>
    <w:p>
      <w:pPr>
        <w:pStyle w:val="Heading3"/>
      </w:pPr>
      <w:r>
        <w:t xml:space="preserve">4.8. Партнёрский (Partner)</w:t>
      </w:r>
    </w:p>
    <w:p>
      <w:pPr>
        <w:pStyle w:val="FirstParagraph"/>
      </w:pPr>
      <w:r>
        <w:t xml:space="preserve">Каталог решений, витрина услуг, интеграции (API/SDK), продажи/поддержка, SLA‑монитор, DAO‑верификация.</w:t>
      </w:r>
    </w:p>
    <w:bookmarkEnd w:id="30"/>
    <w:bookmarkStart w:id="31" w:name="разработчик-developer"/>
    <w:p>
      <w:pPr>
        <w:pStyle w:val="Heading3"/>
      </w:pPr>
      <w:r>
        <w:t xml:space="preserve">4.9. Разработчик (Developer)</w:t>
      </w:r>
    </w:p>
    <w:p>
      <w:pPr>
        <w:pStyle w:val="FirstParagraph"/>
      </w:pPr>
      <w:r>
        <w:t xml:space="preserve">API/SDK, песочницы, публикация модулей/плагинов, доступ к данным/моделям, DevOps/CI‑CD, мониторинг, баг‑баунти.</w:t>
      </w:r>
    </w:p>
    <w:bookmarkEnd w:id="31"/>
    <w:bookmarkStart w:id="32" w:name="аудиторкомплаенс"/>
    <w:p>
      <w:pPr>
        <w:pStyle w:val="Heading3"/>
      </w:pPr>
      <w:r>
        <w:t xml:space="preserve">4.10. Аудитор/Комплаенс</w:t>
      </w:r>
    </w:p>
    <w:p>
      <w:pPr>
        <w:pStyle w:val="FirstParagraph"/>
      </w:pPr>
      <w:r>
        <w:t xml:space="preserve">Реестры лицензий/сертификаций, аудит данных/проектов, инциденты/нарушения, регуляторика, отчётные шаблоны.</w:t>
      </w:r>
    </w:p>
    <w:bookmarkEnd w:id="32"/>
    <w:bookmarkStart w:id="33" w:name="медиа"/>
    <w:p>
      <w:pPr>
        <w:pStyle w:val="Heading3"/>
      </w:pPr>
      <w:r>
        <w:t xml:space="preserve">4.11. Медиа</w:t>
      </w:r>
    </w:p>
    <w:p>
      <w:pPr>
        <w:pStyle w:val="FirstParagraph"/>
      </w:pPr>
      <w:r>
        <w:t xml:space="preserve">Редакция, проверка фактов, доступ к данным/инфо‑панелям, события/трансляции, пресс‑киты, CMS.</w:t>
      </w:r>
    </w:p>
    <w:bookmarkEnd w:id="33"/>
    <w:bookmarkStart w:id="34" w:name="инвесторфинансы"/>
    <w:p>
      <w:pPr>
        <w:pStyle w:val="Heading3"/>
      </w:pPr>
      <w:r>
        <w:t xml:space="preserve">4.12. Инвестор/Финансы</w:t>
      </w:r>
    </w:p>
    <w:p>
      <w:pPr>
        <w:pStyle w:val="FirstParagraph"/>
      </w:pPr>
      <w:r>
        <w:t xml:space="preserve">Пулы/стейкинг/доли в P‑VOD, прогнозы/риски, DAO‑казначейство, выплаты, налоги, документы.</w:t>
      </w:r>
    </w:p>
    <w:bookmarkEnd w:id="34"/>
    <w:bookmarkStart w:id="35" w:name="master-admin"/>
    <w:p>
      <w:pPr>
        <w:pStyle w:val="Heading3"/>
      </w:pPr>
      <w:r>
        <w:t xml:space="preserve">4.13. Master Admin</w:t>
      </w:r>
    </w:p>
    <w:p>
      <w:pPr>
        <w:pStyle w:val="FirstParagraph"/>
      </w:pPr>
      <w:r>
        <w:t xml:space="preserve">Оркестрация кабинетов, роли/политики/лимиты, каталоги (объекты/проекты/датчики/пользователи), безопасность (KMS, ключи, алерты), наблюдаемость (логи/метрики/трейсинг), DR.</w:t>
      </w:r>
    </w:p>
    <w:bookmarkEnd w:id="35"/>
    <w:bookmarkEnd w:id="36"/>
    <w:bookmarkStart w:id="37" w:name="unified-workspace"/>
    <w:p>
      <w:pPr>
        <w:pStyle w:val="Heading2"/>
      </w:pPr>
      <w:r>
        <w:t xml:space="preserve">5. Unified Workspace</w:t>
      </w:r>
    </w:p>
    <w:p>
      <w:pPr>
        <w:pStyle w:val="FirstParagraph"/>
      </w:pPr>
      <w:r>
        <w:t xml:space="preserve">Агрегация ролей и панелей в одном окне: карта+данные+проекты+финансы+коммуникации; сквозные сценарии от проблемы к решению и контролю; протокол решений с подписями.</w:t>
      </w:r>
    </w:p>
    <w:bookmarkEnd w:id="37"/>
    <w:bookmarkStart w:id="38" w:name="экономика-и-мотивация"/>
    <w:p>
      <w:pPr>
        <w:pStyle w:val="Heading2"/>
      </w:pPr>
      <w:r>
        <w:t xml:space="preserve">6. Экономика и мотивация</w:t>
      </w:r>
    </w:p>
    <w:p>
      <w:pPr>
        <w:pStyle w:val="FirstParagraph"/>
      </w:pPr>
      <w:r>
        <w:t xml:space="preserve">Репутация (вклад в данные/решения/работы/публикации); вознаграждения (KPI‑пулы, гранты, P‑VOD); маркет данных и работ через Nexus.</w:t>
      </w:r>
    </w:p>
    <w:bookmarkEnd w:id="38"/>
    <w:bookmarkStart w:id="39" w:name="безопасность-и-регуляторика"/>
    <w:p>
      <w:pPr>
        <w:pStyle w:val="Heading2"/>
      </w:pPr>
      <w:r>
        <w:t xml:space="preserve">7. Безопасность и регуляторика</w:t>
      </w:r>
    </w:p>
    <w:p>
      <w:pPr>
        <w:pStyle w:val="FirstParagraph"/>
      </w:pPr>
      <w:r>
        <w:t xml:space="preserve">Шифрование, KMS, подписи; GDPR/локальное право; лицензии на сенсоры/ПО/данные; аттестация оборудования/персонала/лабораторий.</w:t>
      </w:r>
    </w:p>
    <w:bookmarkEnd w:id="39"/>
    <w:bookmarkStart w:id="40" w:name="интеграции-и-api"/>
    <w:p>
      <w:pPr>
        <w:pStyle w:val="Heading2"/>
      </w:pPr>
      <w:r>
        <w:t xml:space="preserve">8. Интеграции и API</w:t>
      </w:r>
    </w:p>
    <w:p>
      <w:pPr>
        <w:pStyle w:val="FirstParagraph"/>
      </w:pPr>
      <w:r>
        <w:t xml:space="preserve">REST/gRPC, ключи, квоты; вебхуки; импорт/экспорт CSV/Parquet/GeoJSON; шлюзы.</w:t>
      </w:r>
    </w:p>
    <w:bookmarkEnd w:id="40"/>
    <w:bookmarkStart w:id="41" w:name="отчётность-и-визуализация"/>
    <w:p>
      <w:pPr>
        <w:pStyle w:val="Heading2"/>
      </w:pPr>
      <w:r>
        <w:t xml:space="preserve">9. Отчётность и визуализация</w:t>
      </w:r>
    </w:p>
    <w:p>
      <w:pPr>
        <w:pStyle w:val="FirstParagraph"/>
      </w:pPr>
      <w:r>
        <w:t xml:space="preserve">Шаблоны гос/ESG/тех/фин; панели мониторинга; экспорт PDF/DOCX/CSV; публикации в публичные панели.</w:t>
      </w:r>
    </w:p>
    <w:bookmarkEnd w:id="41"/>
    <w:bookmarkStart w:id="42" w:name="дорожная-карта-внедрения"/>
    <w:p>
      <w:pPr>
        <w:pStyle w:val="Heading2"/>
      </w:pPr>
      <w:r>
        <w:t xml:space="preserve">10. Дорожная карта внедрения</w:t>
      </w:r>
    </w:p>
    <w:p>
      <w:pPr>
        <w:pStyle w:val="FirstParagraph"/>
      </w:pPr>
      <w:r>
        <w:t xml:space="preserve">Альфа → Бета → v1.0 → v1.1+. Приоритет: стабильность данных, безопасность, совместимость, UX.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2025-10-09T11:40:10Z</dcterms:created>
  <dcterms:modified xsi:type="dcterms:W3CDTF">2025-10-09T11:40:10Z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