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vodeco-nexus-exchange"/>
    <w:p>
      <w:pPr>
        <w:pStyle w:val="Heading1"/>
      </w:pPr>
      <w:r>
        <w:t xml:space="preserve">VODeco Nexus Exchange</w:t>
      </w:r>
    </w:p>
    <w:p>
      <w:pPr>
        <w:pStyle w:val="FirstParagraph"/>
      </w:pPr>
      <w:r>
        <w:rPr>
          <w:iCs/>
          <w:i/>
        </w:rPr>
        <w:t xml:space="preserve">Внутренний узел обмена, инвестиций и стейкинга экосистемы VODeco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Глобус DAO и вода" title="" id="21" name="Picture"/>
            <a:graphic>
              <a:graphicData uri="http://schemas.openxmlformats.org/drawingml/2006/picture">
                <pic:pic>
                  <pic:nvPicPr>
                    <pic:cNvPr descr="/home/oai/share/c155d09d-488c-4afa-90ee-d583d21666b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Глобус DAO и вода</w:t>
      </w:r>
    </w:p>
    <w:bookmarkStart w:id="23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VODeco Nexus Exchange — это сердце экономического контура экосистемы VODeco. Здесь соединяются токены, данные, инвестиции, стейкинг, исследования и партнёрские сервисы. Платформа обеспечивает прозрачный обмен ценностями между государственными структурами, корпорациями, исследовательскими центрами, разработчиками и гражданами.</w:t>
      </w:r>
    </w:p>
    <w:bookmarkEnd w:id="23"/>
    <w:bookmarkStart w:id="24" w:name="структура-nexus-exchange"/>
    <w:p>
      <w:pPr>
        <w:pStyle w:val="Heading2"/>
      </w:pPr>
      <w:r>
        <w:t xml:space="preserve">Структура Nexus Exchange</w:t>
      </w:r>
    </w:p>
    <w:p>
      <w:pPr>
        <w:pStyle w:val="FirstParagraph"/>
      </w:pPr>
      <w:r>
        <w:rPr>
          <w:bCs/>
          <w:b/>
        </w:rPr>
        <w:t xml:space="preserve">1. Token &amp; Data Exchange Layer</w:t>
      </w:r>
    </w:p>
    <w:p>
      <w:pPr>
        <w:numPr>
          <w:ilvl w:val="0"/>
          <w:numId w:val="1001"/>
        </w:numPr>
        <w:pStyle w:val="Compact"/>
      </w:pPr>
      <w:r>
        <w:t xml:space="preserve">Обмен токенов (VOD, R‑VOD, P‑VOD, VODeco) с использованием автоматических маркетмейкеров.</w:t>
      </w:r>
    </w:p>
    <w:p>
      <w:pPr>
        <w:numPr>
          <w:ilvl w:val="0"/>
          <w:numId w:val="1001"/>
        </w:numPr>
        <w:pStyle w:val="Compact"/>
      </w:pPr>
      <w:r>
        <w:t xml:space="preserve">Рынок данных: отчёты IoT, исследования, прогнозы. Данные оформляются в виде NFT‑сертификатов.</w:t>
      </w:r>
    </w:p>
    <w:p>
      <w:pPr>
        <w:numPr>
          <w:ilvl w:val="0"/>
          <w:numId w:val="1001"/>
        </w:numPr>
        <w:pStyle w:val="Compact"/>
      </w:pPr>
      <w:r>
        <w:t xml:space="preserve">Ценообразование учитывает редкость, достоверность и востребованность информации.</w:t>
      </w:r>
    </w:p>
    <w:p>
      <w:pPr>
        <w:pStyle w:val="FirstParagraph"/>
      </w:pPr>
      <w:r>
        <w:rPr>
          <w:bCs/>
          <w:b/>
        </w:rPr>
        <w:t xml:space="preserve">2. Staking &amp; Impact Pools</w:t>
      </w:r>
    </w:p>
    <w:p>
      <w:pPr>
        <w:numPr>
          <w:ilvl w:val="0"/>
          <w:numId w:val="1002"/>
        </w:numPr>
        <w:pStyle w:val="Compact"/>
      </w:pPr>
      <w:r>
        <w:t xml:space="preserve">«Stake‑to‑build»: токены блокируются для поддержки конкретных проектов.</w:t>
      </w:r>
    </w:p>
    <w:p>
      <w:pPr>
        <w:numPr>
          <w:ilvl w:val="0"/>
          <w:numId w:val="1002"/>
        </w:numPr>
        <w:pStyle w:val="Compact"/>
      </w:pPr>
      <w:r>
        <w:t xml:space="preserve">Пулы делятся на инфраструктурные (очистные сооружения), исследовательские и социальные.</w:t>
      </w:r>
    </w:p>
    <w:p>
      <w:pPr>
        <w:numPr>
          <w:ilvl w:val="0"/>
          <w:numId w:val="1002"/>
        </w:numPr>
        <w:pStyle w:val="Compact"/>
      </w:pPr>
      <w:r>
        <w:t xml:space="preserve">Вознаграждения зависят от KPI: снижение потерь, качество воды, вовлечение сообщества.</w:t>
      </w:r>
    </w:p>
    <w:p>
      <w:pPr>
        <w:pStyle w:val="FirstParagraph"/>
      </w:pPr>
      <w:r>
        <w:rPr>
          <w:bCs/>
          <w:b/>
        </w:rPr>
        <w:t xml:space="preserve">3. Investment Marketplace</w:t>
      </w:r>
    </w:p>
    <w:p>
      <w:pPr>
        <w:numPr>
          <w:ilvl w:val="0"/>
          <w:numId w:val="1003"/>
        </w:numPr>
        <w:pStyle w:val="Compact"/>
      </w:pPr>
      <w:r>
        <w:t xml:space="preserve">Публикация предложений: PPP‑проекты, R&amp;D, стартапы.</w:t>
      </w:r>
    </w:p>
    <w:p>
      <w:pPr>
        <w:numPr>
          <w:ilvl w:val="0"/>
          <w:numId w:val="1003"/>
        </w:numPr>
        <w:pStyle w:val="Compact"/>
      </w:pPr>
      <w:r>
        <w:t xml:space="preserve">DAO‑голосование и частный стейкинг для выбора и финансирования.</w:t>
      </w:r>
    </w:p>
    <w:p>
      <w:pPr>
        <w:numPr>
          <w:ilvl w:val="0"/>
          <w:numId w:val="1003"/>
        </w:numPr>
        <w:pStyle w:val="Compact"/>
      </w:pPr>
      <w:r>
        <w:t xml:space="preserve">Эмиссия субтокенов (P‑VOD, NFT) для фракционного владения активами.</w:t>
      </w:r>
    </w:p>
    <w:p>
      <w:pPr>
        <w:pStyle w:val="FirstParagraph"/>
      </w:pPr>
      <w:r>
        <w:rPr>
          <w:bCs/>
          <w:b/>
        </w:rPr>
        <w:t xml:space="preserve">4. Service &amp; Partnership Hub</w:t>
      </w:r>
    </w:p>
    <w:p>
      <w:pPr>
        <w:numPr>
          <w:ilvl w:val="0"/>
          <w:numId w:val="1004"/>
        </w:numPr>
        <w:pStyle w:val="Compact"/>
      </w:pPr>
      <w:r>
        <w:t xml:space="preserve">Каталог партнёрских сервисов: AI‑аналитика, сенсоры, SCADA, образовательные программы.</w:t>
      </w:r>
    </w:p>
    <w:p>
      <w:pPr>
        <w:numPr>
          <w:ilvl w:val="0"/>
          <w:numId w:val="1004"/>
        </w:numPr>
        <w:pStyle w:val="Compact"/>
      </w:pPr>
      <w:r>
        <w:t xml:space="preserve">DAO‑верификация и метка доверия для каждого сервиса.</w:t>
      </w:r>
    </w:p>
    <w:p>
      <w:pPr>
        <w:numPr>
          <w:ilvl w:val="0"/>
          <w:numId w:val="1004"/>
        </w:numPr>
        <w:pStyle w:val="Compact"/>
      </w:pPr>
      <w:r>
        <w:t xml:space="preserve">Пользователи получают токены за тестирование и развитие технологий.</w:t>
      </w:r>
    </w:p>
    <w:bookmarkEnd w:id="24"/>
    <w:bookmarkStart w:id="25" w:name="экономическая-модель"/>
    <w:p>
      <w:pPr>
        <w:pStyle w:val="Heading2"/>
      </w:pPr>
      <w:r>
        <w:t xml:space="preserve">Экономическая модель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42"/>
        <w:gridCol w:w="3128"/>
        <w:gridCol w:w="2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Биржа токенов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Обмен и ликвидность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Комиссии 0,1–0,3 %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Пулы стейкинга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проектов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5–25 % APY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Инвестиционный маркетплейс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Привлечение капитала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DAO 2–10 %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Рынок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Продажа/аренда информации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Роялти авторам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Партнёрский хаб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и лицензии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Комиссии и сертификаты</w:t>
            </w:r>
          </w:p>
        </w:tc>
      </w:tr>
    </w:tbl>
    <w:p>
      <w:pPr>
        <w:pStyle w:val="BodyText"/>
      </w:pPr>
      <w:r>
        <w:t xml:space="preserve">60 % комиссий направляется в DAO‑казначейство, 25 % — держателям токена VODeco, 10 % — валидаторам данных, 5 % — в резервный фонд.</w:t>
      </w:r>
    </w:p>
    <w:bookmarkEnd w:id="25"/>
    <w:bookmarkStart w:id="26" w:name="управление-и-безопасность"/>
    <w:p>
      <w:pPr>
        <w:pStyle w:val="Heading2"/>
      </w:pPr>
      <w:r>
        <w:t xml:space="preserve">Управление и безопасность</w:t>
      </w:r>
    </w:p>
    <w:p>
      <w:pPr>
        <w:pStyle w:val="FirstParagraph"/>
      </w:pPr>
      <w:r>
        <w:t xml:space="preserve">Параметры пулов, комиссий и токенов утверждаются голосованием DAO. Алгоритмы AI оценивают проекты по экологическим, экономическим и социальным метрикам. Все транзакции записываются в блокчейн, а отчёты доступны каждому участнику.</w:t>
      </w:r>
    </w:p>
    <w:bookmarkEnd w:id="26"/>
    <w:bookmarkStart w:id="27" w:name="интерфейс-и-ux"/>
    <w:p>
      <w:pPr>
        <w:pStyle w:val="Heading2"/>
      </w:pPr>
      <w:r>
        <w:t xml:space="preserve">Интерфейс и UX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Обмен</w:t>
      </w:r>
      <w:r>
        <w:t xml:space="preserve"> </w:t>
      </w:r>
      <w:r>
        <w:t xml:space="preserve">— простой интерфейс для мгновенной покупки и продажи токенов и данных.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Инвестиции</w:t>
      </w:r>
      <w:r>
        <w:t xml:space="preserve"> </w:t>
      </w:r>
      <w:r>
        <w:t xml:space="preserve">— лента проектов с фильтрами по регионам и типам.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Пулы</w:t>
      </w:r>
      <w:r>
        <w:t xml:space="preserve"> </w:t>
      </w:r>
      <w:r>
        <w:t xml:space="preserve">— раздел по категориям (инфраструктура, наука, общество) с отображением KPI и доходности.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Сервисы</w:t>
      </w:r>
      <w:r>
        <w:t xml:space="preserve"> </w:t>
      </w:r>
      <w:r>
        <w:t xml:space="preserve">— каталог решений партнёров с DAO‑меткой доверия.</w:t>
      </w:r>
    </w:p>
    <w:p>
      <w:pPr>
        <w:pStyle w:val="FirstParagraph"/>
      </w:pPr>
      <w:r>
        <w:t xml:space="preserve">В центре — интерактивный глобус DAO, на котором отображаются потоки воды, данных и инвестиций. Бирюзовые линии визуализируют связи между участниками, а красно‑бордовые акценты помогают отметить критические участки и проблемы.</w:t>
      </w:r>
    </w:p>
    <w:bookmarkEnd w:id="27"/>
    <w:bookmarkStart w:id="28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Nexus Exchange — это не просто биржа. Это инструмент со‑созидания, который позволяет каждому пользователю стать инвестором, исследователем и соавтором изменений. Соединяя обмен, стейкинг, инвестиции, данные и партнёрские решения, VODeco Nexus Exchange формирует основу для цифровой водной экономики будущего.</w:t>
      </w:r>
    </w:p>
    <w:p>
      <w:pPr>
        <w:pStyle w:val="BodyText"/>
      </w:pPr>
      <w:r>
        <w:rPr>
          <w:iCs/>
          <w:i/>
        </w:rPr>
        <w:t xml:space="preserve">Timur Cadik — Multiverse Forge / VODeco DAO Global Initiative 2025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2025-10-09T11:18:42Z</dcterms:created>
  <dcterms:modified xsi:type="dcterms:W3CDTF">2025-10-09T11:18:42Z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