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VODeco Global Resource Index v3</w:t>
      </w:r>
    </w:p>
    <w:bookmarkStart w:id="38" w:name="vodeco-global-resource-index-v3"/>
    <w:p>
      <w:pPr>
        <w:pStyle w:val="Heading1"/>
      </w:pPr>
      <w:r>
        <w:t xml:space="preserve">VODeco Global Resource Index v3</w:t>
      </w:r>
    </w:p>
    <w:bookmarkStart w:id="20" w:name="введение"/>
    <w:p>
      <w:pPr>
        <w:pStyle w:val="Heading2"/>
      </w:pPr>
      <w:r>
        <w:t xml:space="preserve">Введение</w:t>
      </w:r>
    </w:p>
    <w:p>
      <w:pPr>
        <w:pStyle w:val="FirstParagraph"/>
      </w:pPr>
      <w:r>
        <w:t xml:space="preserve">Экосистема</w:t>
      </w:r>
      <w:r>
        <w:t xml:space="preserve"> </w:t>
      </w:r>
      <w:r>
        <w:rPr>
          <w:bCs/>
          <w:b/>
        </w:rPr>
        <w:t xml:space="preserve">VODeco</w:t>
      </w:r>
      <w:r>
        <w:t xml:space="preserve"> создана для того, чтобы оцифровать, защитить и грамотно управлять водными ресурсами планеты. Первоначальная модель использовала объём пресной воды в качестве базы для расчёта максимального выпуска главного токена. Однако VODeco занимается не только питьевой водой: платформа модернизирует системы подачи и очистки технической воды, управляет водными циклами в промышленных и сельскохозяйственных секторах, восстанавливает ареалы и реконструирует гидрологические системы. Поэтому индекс водного токена должен учитывать</w:t>
      </w:r>
      <w:r>
        <w:t xml:space="preserve"> </w:t>
      </w:r>
      <w:r>
        <w:rPr>
          <w:bCs/>
          <w:b/>
        </w:rPr>
        <w:t xml:space="preserve">всю воду</w:t>
      </w:r>
      <w:r>
        <w:t xml:space="preserve"> </w:t>
      </w:r>
      <w:r>
        <w:t xml:space="preserve">(влагу) на Земле.</w:t>
      </w:r>
    </w:p>
    <w:bookmarkEnd w:id="20"/>
    <w:bookmarkStart w:id="21" w:name="полный-объём-воды-на-земле"/>
    <w:p>
      <w:pPr>
        <w:pStyle w:val="Heading2"/>
      </w:pPr>
      <w:r>
        <w:t xml:space="preserve">Полный объём воды на Земле</w:t>
      </w:r>
    </w:p>
    <w:p>
      <w:pPr>
        <w:pStyle w:val="FirstParagraph"/>
      </w:pPr>
      <w:r>
        <w:t xml:space="preserve">По данным гидрологов, общий объём воды на Земле (включая океаны, лёд, подземные воды, атмосферную влагу и почвенную влагу) оценивается примерно в</w:t>
      </w:r>
      <w:r>
        <w:t xml:space="preserve"> </w:t>
      </w:r>
      <w:r>
        <w:rPr>
          <w:bCs/>
          <w:b/>
        </w:rPr>
        <w:t xml:space="preserve">1,386 × 10⁹ км³</w:t>
      </w:r>
      <w:r>
        <w:t xml:space="preserve">【628309721850176†L184-L186】, что соответствует</w:t>
      </w:r>
      <w:r>
        <w:t xml:space="preserve"> </w:t>
      </w:r>
      <w:r>
        <w:rPr>
          <w:bCs/>
          <w:b/>
        </w:rPr>
        <w:t xml:space="preserve">1,386 × 10¹⁸ м³</w:t>
      </w:r>
      <w:r>
        <w:t xml:space="preserve">. Океаны занимают ~70 % поверхности, но пресная вода составляет лишь 2,5 % мировых запасов【628309721850176†L184-L186】. Именно эта «влага Земли» принимается в качестве базового инварианта.</w:t>
      </w:r>
    </w:p>
    <w:bookmarkEnd w:id="21"/>
    <w:bookmarkStart w:id="24" w:name="новый-лимит-эмиссии-vodc"/>
    <w:p>
      <w:pPr>
        <w:pStyle w:val="Heading2"/>
      </w:pPr>
      <w:r>
        <w:t xml:space="preserve">Новый лимит эмиссии VODC</w:t>
      </w:r>
    </w:p>
    <w:p>
      <w:pPr>
        <w:pStyle w:val="FirstParagraph"/>
      </w:pPr>
      <w:r>
        <w:t xml:space="preserve">Главный токен экосистемы</w:t>
      </w:r>
      <w:r>
        <w:t xml:space="preserve"> </w:t>
      </w:r>
      <w:r>
        <w:rPr>
          <w:bCs/>
          <w:b/>
        </w:rPr>
        <w:t xml:space="preserve">VODC (Value Of Data / Water Core)</w:t>
      </w:r>
      <w:r>
        <w:t xml:space="preserve"> </w:t>
      </w:r>
      <w:r>
        <w:t xml:space="preserve">отражает долю участия в цифровом водном индексе. Чтобы привязать лимит эмиссии к общему количеству влаги, используется следующая формула: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CAP_{VODC} = W_{Earth}</w:t>
      </w:r>
      <w:r>
        <w:t xml:space="preserve"> </w:t>
      </w:r>
      <w:r>
        <w:t xml:space="preserve">s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где (W_{Earth}) – общий объём воды (1,386 × 10¹⁸ м³), (s) – шкалирующий коэффициент, обеспечивающий удобную величину выпуска. Ранее был выбран</w:t>
      </w:r>
      <w:r>
        <w:t xml:space="preserve"> </w:t>
      </w:r>
      <w:r>
        <w:rPr>
          <w:bCs/>
          <w:b/>
        </w:rPr>
        <w:t xml:space="preserve">33 млрд токенов</w:t>
      </w:r>
      <w:r>
        <w:t xml:space="preserve"> </w:t>
      </w:r>
      <w:r>
        <w:t xml:space="preserve">(коэффициент 2,4 × 10⁻⁸); пользователь предложил увеличить CAP, чтобы лучше отразить масштаб ресурса. В данной версии принято</w:t>
      </w:r>
      <w:r>
        <w:t xml:space="preserve"> </w:t>
      </w:r>
      <w:r>
        <w:rPr>
          <w:bCs/>
          <w:b/>
        </w:rPr>
        <w:t xml:space="preserve">(CAP_{VODC}=138{,}6 млрд</w:t>
      </w:r>
      <w:r>
        <w:t xml:space="preserve"> </w:t>
      </w:r>
      <w:r>
        <w:t xml:space="preserve">токенов</w:t>
      </w:r>
      <w:r>
        <w:rPr>
          <w:bCs/>
          <w:b/>
        </w:rPr>
        <w:t xml:space="preserve">,</w:t>
      </w:r>
      <w:r>
        <w:t xml:space="preserve"> </w:t>
      </w:r>
      <w:r>
        <w:t xml:space="preserve">что ровно в 10 раз меньше числового выражения объёма воды (</w:t>
      </w:r>
      <w:r>
        <w:rPr>
          <w:bCs/>
          <w:b/>
        </w:rPr>
        <w:t xml:space="preserve">1{,}386</w:t>
      </w:r>
      <w:r>
        <w:t xml:space="preserve"> →</w:t>
      </w:r>
      <w:r>
        <w:t xml:space="preserve"> </w:t>
      </w:r>
      <w:r>
        <w:rPr>
          <w:bCs/>
          <w:b/>
        </w:rPr>
        <w:t xml:space="preserve">138{,}6</w:t>
      </w:r>
      <w:r>
        <w:t xml:space="preserve">). Это значение обеспечивает удобную делимость токена и отражает общепланетарный масштаб.</w:t>
      </w:r>
    </w:p>
    <w:p>
      <w:pPr>
        <w:pStyle w:val="BodyText"/>
      </w:pPr>
      <w:r>
        <w:rPr>
          <w:bCs/>
          <w:b/>
        </w:rPr>
        <w:t xml:space="preserve">Водный эквивалент одного VODC</w:t>
      </w:r>
      <w:r>
        <w:t xml:space="preserve"> получается так: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 </w:t>
      </w:r>
      <w:r>
        <w:t xml:space="preserve">=</w:t>
      </w:r>
      <w:r>
        <w:t xml:space="preserve"> </w:t>
      </w:r>
      <w:r>
        <w:t xml:space="preserve"> </w:t>
      </w:r>
      <w:r>
        <w:t xml:space="preserve">=</w:t>
      </w:r>
      <w:r>
        <w:t xml:space="preserve"> </w:t>
      </w:r>
      <w:r>
        <w:t xml:space="preserve"> </w:t>
      </w:r>
      <w:r>
        <w:t xml:space="preserve">= 10</w:t>
      </w:r>
      <w:r>
        <w:rPr>
          <w:vertAlign w:val="superscript"/>
        </w:rPr>
        <w:t xml:space="preserve">7 </w:t>
      </w:r>
      <w:r>
        <w:t xml:space="preserve">3.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Таким образом,</w:t>
      </w:r>
      <w:r>
        <w:t xml:space="preserve"> </w:t>
      </w:r>
      <w:r>
        <w:rPr>
          <w:bCs/>
          <w:b/>
        </w:rPr>
        <w:t xml:space="preserve">1 VODC≈ 10 млн м³ воды</w:t>
      </w:r>
      <w:r>
        <w:t xml:space="preserve"> </w:t>
      </w:r>
      <w:r>
        <w:t xml:space="preserve">в индексном эквиваленте. Это не право на физическое изъятие воды, а математическая доля в глобальном «водном индексе»: чем больше воды находится под управлением и верифицирована данными, тем выше фундаментальная ценность токена.</w:t>
      </w:r>
    </w:p>
    <w:bookmarkStart w:id="22" w:name="динамический-анлок"/>
    <w:p>
      <w:pPr>
        <w:pStyle w:val="Heading3"/>
      </w:pPr>
      <w:r>
        <w:t xml:space="preserve">Динамический анлок</w:t>
      </w:r>
    </w:p>
    <w:p>
      <w:pPr>
        <w:pStyle w:val="FirstParagraph"/>
      </w:pPr>
      <w:r>
        <w:t xml:space="preserve">Эмиссия VODC фиксирована (138,6 млрд), но токены открываются для обращения постепенно. Скорость анлока зависит от индекса WDTI (Water‑Data‑Trust Index):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WDTI = I_{eco}</w:t>
      </w:r>
      <w:r>
        <w:t xml:space="preserve"> </w:t>
      </w:r>
      <w:r>
        <w:t xml:space="preserve">I_{data}</w:t>
      </w:r>
      <w:r>
        <w:t xml:space="preserve"> </w:t>
      </w:r>
      <w:r>
        <w:t xml:space="preserve">I_{trust},</w:t>
      </w:r>
      <w:r>
        <w:t xml:space="preserve"> </w:t>
      </w:r>
      <w:r>
        <w:t xml:space="preserve"> </w:t>
      </w:r>
      <w:r>
        <w:t xml:space="preserve">WDTI</w:t>
      </w:r>
      <w:r>
        <w:t xml:space="preserve"> </w:t>
      </w:r>
      <w:r>
        <w:t xml:space="preserve">,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где: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(I_{eco})</w:t>
      </w:r>
      <w:r>
        <w:t xml:space="preserve"> </w:t>
      </w:r>
      <w:r>
        <w:t xml:space="preserve">– доля влаги, вовлечённой в управляемый цикл (подача, очистка, сохранение, восстановление);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(I_{data})</w:t>
      </w:r>
      <w:r>
        <w:t xml:space="preserve"> </w:t>
      </w:r>
      <w:r>
        <w:t xml:space="preserve">– доля влаги, покрытая сенсорами, лабораторными измерениями и моделями AI;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(I_{trust})</w:t>
      </w:r>
      <w:r>
        <w:t xml:space="preserve"> </w:t>
      </w:r>
      <w:r>
        <w:t xml:space="preserve">– индекс доверия к данным (верификация, аудит, точность).</w:t>
      </w:r>
    </w:p>
    <w:p>
      <w:pPr>
        <w:pStyle w:val="FirstParagraph"/>
      </w:pPr>
      <w:r>
        <w:t xml:space="preserve">Квартальное окно анлока определяется ростом WDTI, а максимальный лимит на квартал устанавливается DAO. Если WDTI падает, анлок приостанавливается.</w:t>
      </w:r>
    </w:p>
    <w:bookmarkEnd w:id="22"/>
    <w:bookmarkStart w:id="23" w:name="операционная-единица-mvod"/>
    <w:p>
      <w:pPr>
        <w:pStyle w:val="Heading3"/>
      </w:pPr>
      <w:r>
        <w:t xml:space="preserve">Операционная единица mVOD</w:t>
      </w:r>
    </w:p>
    <w:p>
      <w:pPr>
        <w:pStyle w:val="FirstParagraph"/>
      </w:pPr>
      <w:r>
        <w:t xml:space="preserve">Помимо VODC, существует</w:t>
      </w:r>
      <w:r>
        <w:t xml:space="preserve"> </w:t>
      </w:r>
      <w:r>
        <w:rPr>
          <w:bCs/>
          <w:b/>
        </w:rPr>
        <w:t xml:space="preserve">mVOD</w:t>
      </w:r>
      <w:r>
        <w:t xml:space="preserve"> – операционная единица учёта, равная</w:t>
      </w:r>
      <w:r>
        <w:t xml:space="preserve"> </w:t>
      </w:r>
      <w:r>
        <w:rPr>
          <w:bCs/>
          <w:b/>
        </w:rPr>
        <w:t xml:space="preserve">1 м³</w:t>
      </w:r>
      <w:r>
        <w:t xml:space="preserve"> </w:t>
      </w:r>
      <w:r>
        <w:t xml:space="preserve">воды. Минт mVOD происходит только под реальные KPI (фактически очищенные, сохранённые или оцифрованные объёмы воды) и не превышает доверительный конверт: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mVOD_{</w:t>
      </w:r>
      <w:r>
        <w:t xml:space="preserve">}(t) = W_{Earth}</w:t>
      </w:r>
      <w:r>
        <w:t xml:space="preserve"> </w:t>
      </w:r>
      <w:r>
        <w:t xml:space="preserve">WDTI(t)</w:t>
      </w:r>
      <w:r>
        <w:t xml:space="preserve"> </w:t>
      </w:r>
      <w:r>
        <w:t xml:space="preserve">(t),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где (</w:t>
      </w:r>
      <w:r>
        <w:t xml:space="preserve">) – коэффициент фактического использования (0–1). mVOD сжигается при потреблении или списании воды.</w:t>
      </w:r>
    </w:p>
    <w:bookmarkEnd w:id="23"/>
    <w:bookmarkEnd w:id="24"/>
    <w:bookmarkStart w:id="33" w:name="расширение-индекса-на-другие-системы"/>
    <w:p>
      <w:pPr>
        <w:pStyle w:val="Heading2"/>
      </w:pPr>
      <w:r>
        <w:t xml:space="preserve">Расширение индекса на другие системы</w:t>
      </w:r>
    </w:p>
    <w:p>
      <w:pPr>
        <w:pStyle w:val="FirstParagraph"/>
      </w:pPr>
      <w:r>
        <w:t xml:space="preserve">VODeco – это не только вода: экосистема расширяется на</w:t>
      </w:r>
      <w:r>
        <w:t xml:space="preserve"> </w:t>
      </w:r>
      <w:r>
        <w:rPr>
          <w:bCs/>
          <w:b/>
        </w:rPr>
        <w:t xml:space="preserve">энергетику, углеводороды, землю, экологические активы, переработку/загрязнение, ценность жизни, ценность труда и социальное доверие</w:t>
      </w:r>
      <w:r>
        <w:t xml:space="preserve">. Для каждого ресурса предлагается отдельный токен с аналогичной формулой.</w:t>
      </w:r>
    </w:p>
    <w:bookmarkStart w:id="25" w:name="энергия-evod"/>
    <w:p>
      <w:pPr>
        <w:pStyle w:val="Heading3"/>
      </w:pPr>
      <w:r>
        <w:t xml:space="preserve">Энергия –</w:t>
      </w:r>
      <w:r>
        <w:t xml:space="preserve"> </w:t>
      </w:r>
      <w:r>
        <w:rPr>
          <w:bCs/>
          <w:b/>
        </w:rPr>
        <w:t xml:space="preserve">E‑VOD</w:t>
      </w:r>
    </w:p>
    <w:p>
      <w:pPr>
        <w:pStyle w:val="FirstParagraph"/>
      </w:pPr>
      <w:r>
        <w:t xml:space="preserve">По данным Energy Institute, мировое первичное потребление энергии составило</w:t>
      </w:r>
      <w:r>
        <w:t xml:space="preserve"> </w:t>
      </w:r>
      <w:r>
        <w:rPr>
          <w:bCs/>
          <w:b/>
        </w:rPr>
        <w:t xml:space="preserve">620 эксаджоулей (EJ)</w:t>
      </w:r>
      <w:r>
        <w:t xml:space="preserve"> </w:t>
      </w:r>
      <w:r>
        <w:t xml:space="preserve">в 2023 году【263763262501802†L164-L169】. Для упрощения шкалы выбран CAP =</w:t>
      </w:r>
      <w:r>
        <w:t xml:space="preserve"> </w:t>
      </w:r>
      <w:r>
        <w:rPr>
          <w:bCs/>
          <w:b/>
        </w:rPr>
        <w:t xml:space="preserve">13,86 млрд E‑VOD</w:t>
      </w:r>
      <w:r>
        <w:t xml:space="preserve"> </w:t>
      </w:r>
      <w:r>
        <w:t xml:space="preserve">(один порядок меньше, чем у воды). Один токен E‑VOD будет соответствовать ~44,7 млн ГДж энергии. Принцип анлока: доля энергетических систем, оцифрованных и управляемых DAO, качество данных (IoT/SCADA), доверие. mEVOD = 1 ГДж используется для расчётов, аналогично mVOD.</w:t>
      </w:r>
    </w:p>
    <w:bookmarkEnd w:id="25"/>
    <w:bookmarkStart w:id="26" w:name="нефть-и-газ-ovod"/>
    <w:p>
      <w:pPr>
        <w:pStyle w:val="Heading3"/>
      </w:pPr>
      <w:r>
        <w:t xml:space="preserve">Нефть и газ –</w:t>
      </w:r>
      <w:r>
        <w:t xml:space="preserve"> </w:t>
      </w:r>
      <w:r>
        <w:rPr>
          <w:bCs/>
          <w:b/>
        </w:rPr>
        <w:t xml:space="preserve">O‑VOD</w:t>
      </w:r>
    </w:p>
    <w:p>
      <w:pPr>
        <w:pStyle w:val="FirstParagraph"/>
      </w:pPr>
      <w:r>
        <w:t xml:space="preserve">BP оценивает доказанные мировые запасы нефти в</w:t>
      </w:r>
      <w:r>
        <w:t xml:space="preserve"> </w:t>
      </w:r>
      <w:r>
        <w:rPr>
          <w:bCs/>
          <w:b/>
        </w:rPr>
        <w:t xml:space="preserve">1,73 трлн баррелей</w:t>
      </w:r>
      <w:r>
        <w:t xml:space="preserve">【253877873247802†L288-L290】. CAP O‑VOD выбирается</w:t>
      </w:r>
      <w:r>
        <w:t xml:space="preserve"> </w:t>
      </w:r>
      <w:r>
        <w:rPr>
          <w:bCs/>
          <w:b/>
        </w:rPr>
        <w:t xml:space="preserve">13,86 млрд</w:t>
      </w:r>
      <w:r>
        <w:t xml:space="preserve">, что даёт около 125 000 баррелей на токен. Анлок зависит от объёма разведанных запасов под управлением DAO, цифровизации процессов добычи и транспарентности данных.</w:t>
      </w:r>
    </w:p>
    <w:bookmarkEnd w:id="26"/>
    <w:bookmarkStart w:id="27" w:name="земля-lvod"/>
    <w:p>
      <w:pPr>
        <w:pStyle w:val="Heading3"/>
      </w:pPr>
      <w:r>
        <w:t xml:space="preserve">Земля –</w:t>
      </w:r>
      <w:r>
        <w:t xml:space="preserve"> </w:t>
      </w:r>
      <w:r>
        <w:rPr>
          <w:bCs/>
          <w:b/>
        </w:rPr>
        <w:t xml:space="preserve">L‑VOD</w:t>
      </w:r>
    </w:p>
    <w:p>
      <w:pPr>
        <w:pStyle w:val="FirstParagraph"/>
      </w:pPr>
      <w:r>
        <w:t xml:space="preserve">Площадь суши Земли составляет примерно</w:t>
      </w:r>
      <w:r>
        <w:t xml:space="preserve"> </w:t>
      </w:r>
      <w:r>
        <w:rPr>
          <w:bCs/>
          <w:b/>
        </w:rPr>
        <w:t xml:space="preserve">149 млн км²</w:t>
      </w:r>
      <w:r>
        <w:t xml:space="preserve">【365236326848430†L105-L108】. CAP L‑VOD установлен в</w:t>
      </w:r>
      <w:r>
        <w:t xml:space="preserve"> </w:t>
      </w:r>
      <w:r>
        <w:rPr>
          <w:bCs/>
          <w:b/>
        </w:rPr>
        <w:t xml:space="preserve">13,86 млрд</w:t>
      </w:r>
      <w:r>
        <w:t xml:space="preserve">, каждый токен представляет ~10,75 км² земли. Участки входят в индекс по мере того, как они оцифровываются (геоданные, кадастры), переводятся на устойчивое управление и проходят аудит (экология, биоразнообразие, управление почвой).</w:t>
      </w:r>
    </w:p>
    <w:bookmarkEnd w:id="27"/>
    <w:bookmarkStart w:id="28" w:name="экологические-активы-ecovod"/>
    <w:p>
      <w:pPr>
        <w:pStyle w:val="Heading3"/>
      </w:pPr>
      <w:r>
        <w:t xml:space="preserve">Экологические активы –</w:t>
      </w:r>
      <w:r>
        <w:t xml:space="preserve"> </w:t>
      </w:r>
      <w:r>
        <w:rPr>
          <w:bCs/>
          <w:b/>
        </w:rPr>
        <w:t xml:space="preserve">Eco‑VOD</w:t>
      </w:r>
    </w:p>
    <w:p>
      <w:pPr>
        <w:pStyle w:val="FirstParagraph"/>
      </w:pPr>
      <w:r>
        <w:t xml:space="preserve">Eco‑VOD представляет природные экосистемы (леса, болота, кораллы) и их здоровье. CAP =</w:t>
      </w:r>
      <w:r>
        <w:t xml:space="preserve"> </w:t>
      </w:r>
      <w:r>
        <w:rPr>
          <w:bCs/>
          <w:b/>
        </w:rPr>
        <w:t xml:space="preserve">13,86 млрд</w:t>
      </w:r>
      <w:r>
        <w:t xml:space="preserve">. Индекс определяется площадью экосистемы, её экологической ценностью и качеством данных. mEcoVOD может измеряться в условных «экологичных баллах».</w:t>
      </w:r>
    </w:p>
    <w:bookmarkEnd w:id="28"/>
    <w:bookmarkStart w:id="29" w:name="Xc72d5d4d8095e3a51c721de84a0bf97144f7b2e"/>
    <w:p>
      <w:pPr>
        <w:pStyle w:val="Heading3"/>
      </w:pPr>
      <w:r>
        <w:t xml:space="preserve">Переработка и загрязнение –</w:t>
      </w:r>
      <w:r>
        <w:t xml:space="preserve"> </w:t>
      </w:r>
      <w:r>
        <w:rPr>
          <w:bCs/>
          <w:b/>
        </w:rPr>
        <w:t xml:space="preserve">Recy‑VOD</w:t>
      </w:r>
      <w:r>
        <w:t xml:space="preserve"> </w:t>
      </w:r>
      <w:r>
        <w:t xml:space="preserve">и</w:t>
      </w:r>
      <w:r>
        <w:t xml:space="preserve"> </w:t>
      </w:r>
      <w:r>
        <w:rPr>
          <w:bCs/>
          <w:b/>
        </w:rPr>
        <w:t xml:space="preserve">Poll‑VOD</w:t>
      </w:r>
    </w:p>
    <w:p>
      <w:pPr>
        <w:pStyle w:val="FirstParagraph"/>
      </w:pPr>
      <w:r>
        <w:rPr>
          <w:bCs/>
          <w:b/>
        </w:rPr>
        <w:t xml:space="preserve">Recy‑VOD</w:t>
      </w:r>
      <w:r>
        <w:t xml:space="preserve"> </w:t>
      </w:r>
      <w:r>
        <w:t xml:space="preserve">индексирует объём переработанных отходов (тонны, кубометры) и инновации в циклической экономике. </w:t>
      </w:r>
      <w:r>
        <w:rPr>
          <w:bCs/>
          <w:b/>
        </w:rPr>
        <w:t xml:space="preserve">Poll‑VOD</w:t>
      </w:r>
      <w:r>
        <w:t xml:space="preserve"> </w:t>
      </w:r>
      <w:r>
        <w:t xml:space="preserve">индексирует объём загрязнений (CO₂‑эквивалент, тяжёлые металлы, загрязнение воды) с обратным знаком (снижение загрязнения увеличивает индекс). Оба токена имеют CAP =</w:t>
      </w:r>
      <w:r>
        <w:t xml:space="preserve"> </w:t>
      </w:r>
      <w:r>
        <w:rPr>
          <w:bCs/>
          <w:b/>
        </w:rPr>
        <w:t xml:space="preserve">13,86 млрд</w:t>
      </w:r>
      <w:r>
        <w:t xml:space="preserve">.</w:t>
      </w:r>
    </w:p>
    <w:bookmarkEnd w:id="29"/>
    <w:bookmarkStart w:id="30" w:name="ценность-жизни-lifevod"/>
    <w:p>
      <w:pPr>
        <w:pStyle w:val="Heading3"/>
      </w:pPr>
      <w:r>
        <w:t xml:space="preserve">Ценность жизни –</w:t>
      </w:r>
      <w:r>
        <w:t xml:space="preserve"> </w:t>
      </w:r>
      <w:r>
        <w:rPr>
          <w:bCs/>
          <w:b/>
        </w:rPr>
        <w:t xml:space="preserve">Life‑VOD</w:t>
      </w:r>
    </w:p>
    <w:p>
      <w:pPr>
        <w:pStyle w:val="FirstParagraph"/>
      </w:pPr>
      <w:r>
        <w:t xml:space="preserve">Life‑VOD – экспериментальный токен, отражающий ценность биоценозов и человеческой жизни. Индекс может учитывать продолжительность жизни, здоровье, доступ к воде/пище/образованию. CAP =</w:t>
      </w:r>
      <w:r>
        <w:t xml:space="preserve"> </w:t>
      </w:r>
      <w:r>
        <w:rPr>
          <w:bCs/>
          <w:b/>
        </w:rPr>
        <w:t xml:space="preserve">13,86 млрд</w:t>
      </w:r>
      <w:r>
        <w:t xml:space="preserve">. Аллокация и анлок определяются этическим комитетом DAO и научными показателями (Всемирный банк, ВОЗ).</w:t>
      </w:r>
    </w:p>
    <w:bookmarkEnd w:id="30"/>
    <w:bookmarkStart w:id="31" w:name="ценность-труда-workvod"/>
    <w:p>
      <w:pPr>
        <w:pStyle w:val="Heading3"/>
      </w:pPr>
      <w:r>
        <w:t xml:space="preserve">Ценность труда –</w:t>
      </w:r>
      <w:r>
        <w:t xml:space="preserve"> </w:t>
      </w:r>
      <w:r>
        <w:rPr>
          <w:bCs/>
          <w:b/>
        </w:rPr>
        <w:t xml:space="preserve">Work‑VOD</w:t>
      </w:r>
    </w:p>
    <w:p>
      <w:pPr>
        <w:pStyle w:val="FirstParagraph"/>
      </w:pPr>
      <w:r>
        <w:t xml:space="preserve">Work‑VOD учитывает трудовой вклад и время человека в общие блага (устойчивые проекты, волонтёрство, образование). Каждый токен может соответствовать фиксированному количеству часов полезной работы. CAP =</w:t>
      </w:r>
      <w:r>
        <w:t xml:space="preserve"> </w:t>
      </w:r>
      <w:r>
        <w:rPr>
          <w:bCs/>
          <w:b/>
        </w:rPr>
        <w:t xml:space="preserve">13,86 млрд</w:t>
      </w:r>
      <w:r>
        <w:t xml:space="preserve">. mWorkVOD = 1 час, с дополнительными коэффициентами для квалификации и социальной значимости.</w:t>
      </w:r>
    </w:p>
    <w:bookmarkEnd w:id="31"/>
    <w:bookmarkStart w:id="32" w:name="социальное-доверие-trustvod"/>
    <w:p>
      <w:pPr>
        <w:pStyle w:val="Heading3"/>
      </w:pPr>
      <w:r>
        <w:t xml:space="preserve">Социальное доверие –</w:t>
      </w:r>
      <w:r>
        <w:t xml:space="preserve"> </w:t>
      </w:r>
      <w:r>
        <w:rPr>
          <w:bCs/>
          <w:b/>
        </w:rPr>
        <w:t xml:space="preserve">Trust‑VOD</w:t>
      </w:r>
    </w:p>
    <w:p>
      <w:pPr>
        <w:pStyle w:val="FirstParagraph"/>
      </w:pPr>
      <w:r>
        <w:t xml:space="preserve">Trust‑VOD измеряет уровень социального доверия и репутации в DAO. Он основан на участии в голосованиях, оценках качества данных, репутации поставщиков и результатах общественных инициатив. CAP =</w:t>
      </w:r>
      <w:r>
        <w:t xml:space="preserve"> </w:t>
      </w:r>
      <w:r>
        <w:rPr>
          <w:bCs/>
          <w:b/>
        </w:rPr>
        <w:t xml:space="preserve">13,86 млрд</w:t>
      </w:r>
      <w:r>
        <w:t xml:space="preserve">. Анлок и вес голоса растут с доверием.</w:t>
      </w:r>
    </w:p>
    <w:bookmarkEnd w:id="32"/>
    <w:bookmarkEnd w:id="33"/>
    <w:bookmarkStart w:id="34" w:name="мультипланетный-пул-и-экспансия"/>
    <w:p>
      <w:pPr>
        <w:pStyle w:val="Heading2"/>
      </w:pPr>
      <w:r>
        <w:t xml:space="preserve">Мультипланетный пул и экспансия</w:t>
      </w:r>
    </w:p>
    <w:p>
      <w:pPr>
        <w:pStyle w:val="FirstParagraph"/>
      </w:pPr>
      <w:r>
        <w:t xml:space="preserve">В перспективе DAO VODeco может расширяться за пределы Земли. Для этого вводится</w:t>
      </w:r>
      <w:r>
        <w:t xml:space="preserve"> </w:t>
      </w:r>
      <w:r>
        <w:rPr>
          <w:bCs/>
          <w:b/>
        </w:rPr>
        <w:t xml:space="preserve">Multiplanet Cap Pool (MCP)</w:t>
      </w:r>
      <w:r>
        <w:t xml:space="preserve">, например </w:t>
      </w:r>
      <w:r>
        <w:rPr>
          <w:bCs/>
          <w:b/>
        </w:rPr>
        <w:t xml:space="preserve">277,2 млрд</w:t>
      </w:r>
      <w:r>
        <w:t xml:space="preserve"> </w:t>
      </w:r>
      <w:r>
        <w:t xml:space="preserve">токенов (два раза по 138,6 млрд) для воды других планет и ресурсов Луны, Марса и т.д. Каждой планете (X) назначается вектор ресурсов (</w:t>
      </w:r>
      <w:r>
        <w:t xml:space="preserve">_X=[W, E, M, S, C]) (вода, энергия, минералы, почва, углерод). Индекс и CAP для (X) рассчитываются аналогично земным:</w:t>
      </w:r>
    </w:p>
    <w:p>
      <w:pPr>
        <w:pStyle w:val="BodyText"/>
      </w:pPr>
      <w:r>
        <w:t xml:space="preserve">[</w:t>
      </w:r>
      <w:r>
        <w:t xml:space="preserve"> </w:t>
      </w:r>
      <w:r>
        <w:rPr>
          <w:iCs/>
          <w:i/>
        </w:rPr>
        <w:t xml:space="preserve">X =</w:t>
      </w:r>
      <w:r>
        <w:rPr>
          <w:iCs/>
          <w:i/>
        </w:rPr>
        <w:t xml:space="preserve"> </w:t>
      </w:r>
      <w:r>
        <w:rPr>
          <w:iCs/>
          <w:i/>
          <w:iCs/>
          <w:i/>
        </w:rPr>
        <w:t xml:space="preserve">j R</w:t>
      </w:r>
      <w:r>
        <w:rPr>
          <w:iCs/>
          <w:i/>
        </w:rPr>
        <w:t xml:space="preserve">{X,j}</w:t>
      </w:r>
      <w:r>
        <w:rPr>
          <w:iCs/>
          <w:i/>
        </w:rPr>
        <w:t xml:space="preserve"> </w:t>
      </w:r>
      <w:r>
        <w:rPr>
          <w:iCs/>
          <w:i/>
          <w:iCs/>
          <w:i/>
        </w:rPr>
        <w:t xml:space="preserve">j</w:t>
      </w:r>
      <w:r>
        <w:rPr>
          <w:iCs/>
          <w:i/>
          <w:iCs/>
          <w:i/>
        </w:rPr>
        <w:t xml:space="preserve"> </w:t>
      </w:r>
      <w:r>
        <w:rPr>
          <w:iCs/>
          <w:i/>
          <w:iCs/>
          <w:i/>
        </w:rPr>
        <w:t xml:space="preserve">I</w:t>
      </w:r>
      <w:r>
        <w:rPr>
          <w:iCs/>
          <w:i/>
        </w:rPr>
        <w:t xml:space="preserve">{eco,X}</w:t>
      </w:r>
      <w:r>
        <w:rPr>
          <w:iCs/>
          <w:i/>
        </w:rPr>
        <w:t xml:space="preserve"> </w:t>
      </w:r>
      <w:r>
        <w:rPr>
          <w:iCs/>
          <w:i/>
        </w:rPr>
        <w:t xml:space="preserve">I</w:t>
      </w:r>
      <w:r>
        <w:t xml:space="preserve">{data,X}</w:t>
      </w:r>
      <w:r>
        <w:t xml:space="preserve"> </w:t>
      </w:r>
      <w:r>
        <w:t xml:space="preserve">I_{trust,X},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где (</w:t>
      </w:r>
      <w:r>
        <w:t xml:space="preserve">_j) – веса ресурсов (DAO утверждает). Количество токенов выделяется из MCP по мере освоения планеты.</w:t>
      </w:r>
    </w:p>
    <w:bookmarkEnd w:id="34"/>
    <w:bookmarkStart w:id="35" w:name="экономика-и-противодействие-спекуляциям"/>
    <w:p>
      <w:pPr>
        <w:pStyle w:val="Heading2"/>
      </w:pPr>
      <w:r>
        <w:t xml:space="preserve">Экономика и противодействие спекуляциям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Плавающий анлок</w:t>
      </w:r>
      <w:r>
        <w:t xml:space="preserve">: токены VODC и другие открываются только по фактическому росту вовлечённости, оцифровки и доверия.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Жёсткий CAP</w:t>
      </w:r>
      <w:r>
        <w:t xml:space="preserve">: максимум эмиссии фиксирован; чтобы увеличить лимит, необходимо предложение DAO с поддержкой всех комитетов и экологического аудита.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Операционное деление на m‑единицы</w:t>
      </w:r>
      <w:r>
        <w:t xml:space="preserve">: расчёты ведутся в mVOD (1 м³), mEVOD (1 ГДж), mOVOD (1 баррель), mLVOD (1 м² или 1 га) и т.д., что снижает барьер входа.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Репутация и анти‑фарм</w:t>
      </w:r>
      <w:r>
        <w:t xml:space="preserve">: у каждого участника есть рейтинг; конвертация внутренних кредитов (Work/Play/Learn) в m‑токены ограничена и привязана к выполнению задач.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Мультивалидаторы и квоты</w:t>
      </w:r>
      <w:r>
        <w:t xml:space="preserve">: данные подтверждаются несколькими независимыми источниками; слои инфраструктуры распределяют риски.</w:t>
      </w:r>
    </w:p>
    <w:bookmarkEnd w:id="35"/>
    <w:bookmarkStart w:id="36" w:name="сводная-таблица-по-ресурсам"/>
    <w:p>
      <w:pPr>
        <w:pStyle w:val="Heading2"/>
      </w:pPr>
      <w:r>
        <w:t xml:space="preserve">Сводная таблица по ресурсам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Ресурс/токен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Глобальный объём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CAP токена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Эквивалент на токен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Источник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Вода (VODC)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1,386 × 10¹⁸ м³ (вся влага)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138,6 млрд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 млн м³ воды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глобальные оценки воды【628309721850176†L184-L186】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Энергия (E‑VOD)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620 EJ/год первичной энергии【263763262501802†L164-L169】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13,86 млрд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≈44,7 млн ГДж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Energy Institute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Нефть (O‑VOD)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1,73 трлн баррелей доказанных запасов【253877873247802†L288-L290】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13,86 млрд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≈125 000 баррелей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BP Statistical Review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Земля (L‑VOD)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149 млн км² суши【365236326848430†L105-L108】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13,86 млрд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≈10,75 км²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Universe Today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Экология (Eco‑VOD)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Н/д – определяется оценкой биомов и экосистем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13,86 млрд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индекс экосистемы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VODeco DAO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Переработка (Recy‑VOD)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Н/д – глобальный объём переработки отходов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13,86 млрд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тонн/индекс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VODeco DAO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Загрязнение (Poll‑VOD)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Н/д – мировые выбросы (CO₂, тяжёлые металлы, ПФОК и др.)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13,86 млрд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обратный индекс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VODeco DAO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Ценность жизни (Life‑VOD)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Н/д – социально‑гуманитарный индекс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13,86 млрд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индекс качества жизни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ВОЗ/Всемирный банк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Ценность труда (Work‑VOD)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Н/д – суммарное рабочее время в DAO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13,86 млрд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часы/индекс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VODeco DAO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Социальное доверие (Trust‑VOD)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Н/д – индекс доверия и репутации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13,86 млрд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индекс доверия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VODeco DAO</w:t>
            </w:r>
          </w:p>
        </w:tc>
      </w:tr>
    </w:tbl>
    <w:bookmarkEnd w:id="36"/>
    <w:bookmarkStart w:id="37" w:name="заключение"/>
    <w:p>
      <w:pPr>
        <w:pStyle w:val="Heading2"/>
      </w:pPr>
      <w:r>
        <w:t xml:space="preserve">Заключение</w:t>
      </w:r>
    </w:p>
    <w:p>
      <w:pPr>
        <w:pStyle w:val="FirstParagraph"/>
      </w:pPr>
      <w:r>
        <w:t xml:space="preserve">Переход к привязке главного токена VODC к</w:t>
      </w:r>
      <w:r>
        <w:t xml:space="preserve"> </w:t>
      </w:r>
      <w:r>
        <w:rPr>
          <w:bCs/>
          <w:b/>
        </w:rPr>
        <w:t xml:space="preserve">полному водному балансу планеты</w:t>
      </w:r>
      <w:r>
        <w:t xml:space="preserve"> </w:t>
      </w:r>
      <w:r>
        <w:t xml:space="preserve">(138,6 млрд единиц) создаёт фундамент для расширения DAO VODeco на все виды влаги и всех участников – от питьевой воды до технической, от океанских запасов до атмосферы и биосферы. Дополнение индексами для энергии, нефти, земли, экологии, переработки, загрязнения, ценности жизни, труда и социального доверия позволяет экосистеме масштабироваться на другие ресурсы, а</w:t>
      </w:r>
      <w:r>
        <w:t xml:space="preserve"> </w:t>
      </w:r>
      <w:r>
        <w:rPr>
          <w:bCs/>
          <w:b/>
        </w:rPr>
        <w:t xml:space="preserve">мультипланетный пул</w:t>
      </w:r>
      <w:r>
        <w:t xml:space="preserve"> </w:t>
      </w:r>
      <w:r>
        <w:t xml:space="preserve">готовит почву для освоения новых планет. </w:t>
      </w:r>
    </w:p>
    <w:p>
      <w:pPr>
        <w:pStyle w:val="BodyText"/>
      </w:pPr>
      <w:r>
        <w:t xml:space="preserve">Этот документ даёт унифицированную формулу для эмиссии, описывает механизм динамического анлока, фиксирует максимальные пределы и закладывает основу для устойчивого, анти‑спекулятивного распределения ресурсов как на Земле, так и за её пределами.</w:t>
      </w:r>
    </w:p>
    <w:bookmarkEnd w:id="37"/>
    <w:bookmarkEnd w:id="3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VODeco Global Resource Index v3</dc:title>
  <dc:creator/>
  <cp:keywords/>
  <dcterms:created xsi:type="dcterms:W3CDTF">2025-10-09T14:35:17Z</dcterms:created>
  <dcterms:modified xsi:type="dcterms:W3CDTF">2025-10-09T14:35:17Z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