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44" w:name="content"/>
    <w:bookmarkStart w:id="43" w:name="whitepaper-vodeco"/>
    <w:p>
      <w:pPr>
        <w:pStyle w:val="Heading1"/>
      </w:pPr>
      <w:r>
        <w:t xml:space="preserve">Whitepaper VODeco</w:t>
      </w:r>
    </w:p>
    <w:bookmarkStart w:id="21" w:name="аннотация"/>
    <w:p>
      <w:pPr>
        <w:pStyle w:val="Heading2"/>
      </w:pPr>
      <w:r>
        <w:t xml:space="preserve">Аннотация</w:t>
      </w:r>
    </w:p>
    <w:p>
      <w:pPr>
        <w:pStyle w:val="FirstParagraph"/>
      </w:pPr>
      <w:r>
        <w:t xml:space="preserve">VODeco — это глобальная цифровая экосистема, призванная решить кризис водных ресурсов через интеграцию технологий IoT, искусственного интеллекта, блокчейна и децентрализованного управления. Проект создаёт платформу, где информация об объёме и качестве воды собирается в режиме реального времени, решения принимаются открыто с участием всех заинтересованных сторон, а финансирование инфраструктуры организуется через токенизацию и модель PFI (Private Finance Initiative). Настоящий документ описывает проблему, миссию, архитектуру, токеномику, принципы управления и социально‑экономическую модель VODeco.</w:t>
      </w:r>
    </w:p>
    <w:bookmarkEnd w:id="21"/>
    <w:bookmarkStart w:id="26" w:name="введение-водный-кризис"/>
    <w:p>
      <w:pPr>
        <w:pStyle w:val="Heading2"/>
      </w:pPr>
      <w:r>
        <w:t xml:space="preserve">Введение: водный кризис</w:t>
      </w:r>
    </w:p>
    <w:p>
      <w:pPr>
        <w:pStyle w:val="FirstParagraph"/>
      </w:pPr>
      <w:r>
        <w:t xml:space="preserve">Вода — ключевой ресурс для жизни, но сегодня человечество столкнулось с серьёзными вызовами. По данным ООН, более</w:t>
      </w:r>
      <w:r>
        <w:t xml:space="preserve"> </w:t>
      </w:r>
      <w:r>
        <w:rPr>
          <w:b/>
          <w:bCs/>
        </w:rPr>
        <w:t xml:space="preserve">двух миллиардов человек</w:t>
      </w:r>
      <w:r>
        <w:t xml:space="preserve"> </w:t>
      </w:r>
      <w:r>
        <w:t xml:space="preserve">живут в условиях водного стресса,</w:t>
      </w:r>
      <w:r>
        <w:t xml:space="preserve"> </w:t>
      </w:r>
      <w:r>
        <w:rPr>
          <w:b/>
          <w:bCs/>
        </w:rPr>
        <w:t xml:space="preserve">663 млн</w:t>
      </w:r>
      <w:r>
        <w:t xml:space="preserve"> </w:t>
      </w:r>
      <w:r>
        <w:t xml:space="preserve">используют неулучшенные источники водоснабжения, а</w:t>
      </w:r>
      <w:r>
        <w:t xml:space="preserve"> </w:t>
      </w:r>
      <w:r>
        <w:rPr>
          <w:b/>
          <w:bCs/>
        </w:rPr>
        <w:t xml:space="preserve">2,4 млрд</w:t>
      </w:r>
      <w:r>
        <w:t xml:space="preserve"> </w:t>
      </w:r>
      <w:r>
        <w:t xml:space="preserve">человек лишены безопасных санитарных условий</w:t>
      </w:r>
      <w:hyperlink r:id="rId22">
        <w:r>
          <w:rPr>
            <w:rStyle w:val="Hyperlink"/>
          </w:rPr>
          <w:t xml:space="preserve">[1]</w:t>
        </w:r>
      </w:hyperlink>
      <w:r>
        <w:t xml:space="preserve">. Небезопасная вода вызывает</w:t>
      </w:r>
      <w:r>
        <w:t xml:space="preserve"> </w:t>
      </w:r>
      <w:r>
        <w:rPr>
          <w:b/>
          <w:bCs/>
        </w:rPr>
        <w:t xml:space="preserve">1,2 млн</w:t>
      </w:r>
      <w:r>
        <w:t xml:space="preserve"> </w:t>
      </w:r>
      <w:r>
        <w:t xml:space="preserve">смертей ежегодно</w:t>
      </w:r>
      <w:hyperlink r:id="rId23">
        <w:r>
          <w:rPr>
            <w:rStyle w:val="Hyperlink"/>
          </w:rPr>
          <w:t xml:space="preserve">[2]</w:t>
        </w:r>
      </w:hyperlink>
      <w:r>
        <w:t xml:space="preserve">. К 2030 году потребление пресной воды может превысить её доступные запасы на</w:t>
      </w:r>
      <w:r>
        <w:t xml:space="preserve"> </w:t>
      </w:r>
      <w:r>
        <w:rPr>
          <w:b/>
          <w:bCs/>
        </w:rPr>
        <w:t xml:space="preserve">40 %</w:t>
      </w:r>
      <w:hyperlink r:id="rId24">
        <w:r>
          <w:rPr>
            <w:rStyle w:val="Hyperlink"/>
          </w:rPr>
          <w:t xml:space="preserve">[3]</w:t>
        </w:r>
      </w:hyperlink>
      <w:r>
        <w:t xml:space="preserve">, а изменения климата и рост населения приведут к тому, что более</w:t>
      </w:r>
      <w:r>
        <w:t xml:space="preserve"> </w:t>
      </w:r>
      <w:r>
        <w:rPr>
          <w:b/>
          <w:bCs/>
        </w:rPr>
        <w:t xml:space="preserve">700 млн</w:t>
      </w:r>
      <w:r>
        <w:t xml:space="preserve"> </w:t>
      </w:r>
      <w:r>
        <w:t xml:space="preserve">человек могут быть вынуждены покинуть свои регионы</w:t>
      </w:r>
      <w:hyperlink r:id="rId25">
        <w:r>
          <w:rPr>
            <w:rStyle w:val="Hyperlink"/>
          </w:rPr>
          <w:t xml:space="preserve">[4]</w:t>
        </w:r>
      </w:hyperlink>
      <w:r>
        <w:t xml:space="preserve">. Эти факты показывают, что требуются радикальные методы управления водными ресурсами и сотрудничество на глобальном уровне.</w:t>
      </w:r>
    </w:p>
    <w:bookmarkEnd w:id="26"/>
    <w:bookmarkStart w:id="28" w:name="миссия-и-видение-vodeco"/>
    <w:p>
      <w:pPr>
        <w:pStyle w:val="Heading2"/>
      </w:pPr>
      <w:r>
        <w:t xml:space="preserve">Миссия и видение VODeco</w:t>
      </w:r>
    </w:p>
    <w:p>
      <w:pPr>
        <w:pStyle w:val="FirstParagraph"/>
      </w:pPr>
      <w:r>
        <w:rPr>
          <w:b/>
          <w:bCs/>
        </w:rPr>
        <w:t xml:space="preserve">Миссия VODeco</w:t>
      </w:r>
      <w:r>
        <w:t xml:space="preserve"> </w:t>
      </w:r>
      <w:r>
        <w:t xml:space="preserve">— обеспечить равный и безопасный доступ к воде, сохраняя экосистемы и стимулируя устойчивое развитие.</w:t>
      </w:r>
      <w:r>
        <w:t xml:space="preserve"> </w:t>
      </w:r>
      <w:r>
        <w:rPr>
          <w:b/>
          <w:bCs/>
        </w:rPr>
        <w:t xml:space="preserve">Видение</w:t>
      </w:r>
      <w:r>
        <w:t xml:space="preserve"> </w:t>
      </w:r>
      <w:r>
        <w:t xml:space="preserve">проекта состоит в создании «цифровой нервной системы» планеты для воды: интегрированной платформы, которая собирает данные, анализирует состояние, предсказывает риски и позволяет всем участникам принимать решения на основе достоверной информации</w:t>
      </w:r>
      <w:hyperlink r:id="rId27">
        <w:r>
          <w:rPr>
            <w:rStyle w:val="Hyperlink"/>
          </w:rPr>
          <w:t xml:space="preserve">[5]</w:t>
        </w:r>
      </w:hyperlink>
      <w:r>
        <w:t xml:space="preserve">.</w:t>
      </w:r>
    </w:p>
    <w:p>
      <w:pPr>
        <w:pStyle w:val="BodyText"/>
      </w:pPr>
      <w:r>
        <w:t xml:space="preserve">Основные принципы: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Неизбежность</w:t>
      </w:r>
      <w:r>
        <w:t xml:space="preserve"> </w:t>
      </w:r>
      <w:r>
        <w:t xml:space="preserve">— кризис требует глобальной цифровой платформы, открытой для всех.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Единое DAO</w:t>
      </w:r>
      <w:r>
        <w:t xml:space="preserve"> </w:t>
      </w:r>
      <w:r>
        <w:t xml:space="preserve">— решения по общим ресурсам должны приниматься через децентрализованную автономную организацию (DAO), где каждый имеет право голоса и возможность внести предложение.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Прозрачность</w:t>
      </w:r>
      <w:r>
        <w:t xml:space="preserve"> </w:t>
      </w:r>
      <w:r>
        <w:t xml:space="preserve">— все данные и процессы доступны для проверки, исключаются монополия и коррупция.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Технологический прогресс</w:t>
      </w:r>
      <w:r>
        <w:t xml:space="preserve"> </w:t>
      </w:r>
      <w:r>
        <w:t xml:space="preserve">— IoT, ГИС, AI и блокчейн становятся базисом для мониторинга и управления.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Ценность для всех</w:t>
      </w:r>
      <w:r>
        <w:t xml:space="preserve"> </w:t>
      </w:r>
      <w:r>
        <w:t xml:space="preserve">— платформа создаёт выгоды для общества, науки, бизнеса, государств и инвесторов.</w:t>
      </w:r>
    </w:p>
    <w:p>
      <w:pPr>
        <w:pStyle w:val="FirstParagraph"/>
      </w:pPr>
      <w:r>
        <w:t xml:space="preserve">Эти принципы отражены в</w:t>
      </w:r>
      <w:r>
        <w:t xml:space="preserve"> </w:t>
      </w:r>
      <w:r>
        <w:rPr>
          <w:b/>
          <w:bCs/>
        </w:rPr>
        <w:t xml:space="preserve">Доктрине VODeco</w:t>
      </w:r>
      <w:r>
        <w:t xml:space="preserve">, которая формулирует неизбежность децентрализованного управления водой, провозглашает ценности прозрачности и сотрудничества и утверждает, что VODeco — единственный устойчивый путь к будущему.</w:t>
      </w:r>
    </w:p>
    <w:bookmarkEnd w:id="28"/>
    <w:bookmarkStart w:id="33" w:name="архитектура-и-технологии"/>
    <w:p>
      <w:pPr>
        <w:pStyle w:val="Heading2"/>
      </w:pPr>
      <w:r>
        <w:t xml:space="preserve">Архитектура и технологии</w:t>
      </w:r>
    </w:p>
    <w:bookmarkStart w:id="29" w:name="сбор-данных-iot-и-гис"/>
    <w:p>
      <w:pPr>
        <w:pStyle w:val="Heading3"/>
      </w:pPr>
      <w:r>
        <w:t xml:space="preserve">Сбор данных: IoT и ГИС</w:t>
      </w:r>
    </w:p>
    <w:p>
      <w:pPr>
        <w:pStyle w:val="FirstParagraph"/>
      </w:pPr>
      <w:r>
        <w:t xml:space="preserve">Платформа интегрирует сеть датчиков, размещённых на очистных сооружениях, водозаборах, производственных и сельскохозяйственных объектах. Датчики измеряют расход, качество воды, давление, температуру, наличие загрязняющих веществ. Данные агрегируются в реальном времени и отображаются на ГИС‑картах и аналитических панелях. Это обеспечивает оперативное реагирование на аварии и точное планирование ресурсов.</w:t>
      </w:r>
    </w:p>
    <w:bookmarkEnd w:id="29"/>
    <w:bookmarkStart w:id="30" w:name="аналитика-и-прогнозирование"/>
    <w:p>
      <w:pPr>
        <w:pStyle w:val="Heading3"/>
      </w:pPr>
      <w:r>
        <w:t xml:space="preserve">Аналитика и прогнозирование</w:t>
      </w:r>
    </w:p>
    <w:p>
      <w:pPr>
        <w:pStyle w:val="FirstParagraph"/>
      </w:pPr>
      <w:r>
        <w:t xml:space="preserve">На основе собранных данных реализуются алгоритмы машинного обучения: прогнозирование спроса, обнаружение аномалий, оценка эффективности, построение сценариев развития. ИИ помогает определять наилучшие методы очистки, распределения и хранения воды, а также выявлять угрозы загрязнения и истощения ресурсов.</w:t>
      </w:r>
    </w:p>
    <w:bookmarkEnd w:id="30"/>
    <w:bookmarkStart w:id="31" w:name="блокчейн-и-defi"/>
    <w:p>
      <w:pPr>
        <w:pStyle w:val="Heading3"/>
      </w:pPr>
      <w:r>
        <w:t xml:space="preserve">Блокчейн и DeFi</w:t>
      </w:r>
    </w:p>
    <w:p>
      <w:pPr>
        <w:pStyle w:val="FirstParagraph"/>
      </w:pPr>
      <w:r>
        <w:t xml:space="preserve">Блокчейн обеспечивает неизменяемость и прозрачность данных: каждое измерение, решение или транзакция фиксируются в открытом реестре. DeFi‑механизмы позволяют выпускать токены на проекты, собирать средства через смарт‑контракты, распределять доходы и вознаграждения. Использование блокчейна снижает барьеры для инвестиций и обеспечивает справедливое распределение ресурсов.</w:t>
      </w:r>
    </w:p>
    <w:bookmarkEnd w:id="31"/>
    <w:bookmarkStart w:id="32" w:name="dao-и-управление"/>
    <w:p>
      <w:pPr>
        <w:pStyle w:val="Heading3"/>
      </w:pPr>
      <w:r>
        <w:t xml:space="preserve">DAO и управление</w:t>
      </w:r>
    </w:p>
    <w:p>
      <w:pPr>
        <w:pStyle w:val="FirstParagraph"/>
      </w:pPr>
      <w:r>
        <w:t xml:space="preserve">VODeco использует DAO для принятия ключевых решений. Участники могут предлагать инициативы, голосовать за проекты, делегировать голоса и отслеживать исполнение. Смарт‑контракты обеспечивают автоматизацию принятия решений и исполнения (например, распределение прибыли, запуск проекта после достижения кворума). Это исключает коррупцию и централизованный контроль, гарантируя равноправное участие.</w:t>
      </w:r>
    </w:p>
    <w:bookmarkEnd w:id="32"/>
    <w:bookmarkEnd w:id="33"/>
    <w:bookmarkStart w:id="34" w:name="токеномика"/>
    <w:p>
      <w:pPr>
        <w:pStyle w:val="Heading2"/>
      </w:pPr>
      <w:r>
        <w:t xml:space="preserve">Токеномика</w:t>
      </w:r>
    </w:p>
    <w:p>
      <w:pPr>
        <w:pStyle w:val="FirstParagraph"/>
      </w:pPr>
      <w:r>
        <w:t xml:space="preserve">Экосистема включает несколько токенов: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VODG (Governance Token).</w:t>
      </w:r>
      <w:r>
        <w:t xml:space="preserve"> </w:t>
      </w:r>
      <w:r>
        <w:t xml:space="preserve">Даёт право голоса в DAO, позволяет выдвигать предложения и делегировать голоса. Распределяется среди активных участников и стейкеров.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VODP (Project Token).</w:t>
      </w:r>
      <w:r>
        <w:t xml:space="preserve"> </w:t>
      </w:r>
      <w:r>
        <w:t xml:space="preserve">Представляет долю в конкретном инфраструктурном проекте (очистная станция, модернизация системы полива). Токены выпускаются смарт‑контрактом, а поступления от эксплуатации проекта распределяются между держателями.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VODU (Utility Token).</w:t>
      </w:r>
      <w:r>
        <w:t xml:space="preserve"> </w:t>
      </w:r>
      <w:r>
        <w:t xml:space="preserve">Используется для микроплатежей за водопотребление, компенсаций, вознаграждений и стимулов. Экономика токена построена на принципе «плати за фактическое потребление»; пользователи получают скидки за эффективное использование и повышают стоимость токена через стейкинг.</w:t>
      </w:r>
    </w:p>
    <w:p>
      <w:pPr>
        <w:pStyle w:val="FirstParagraph"/>
      </w:pPr>
      <w:r>
        <w:t xml:space="preserve">Мультитокенная модель снижает барьеры входа для инвесторов и пользователей. Региональные субтокены могут выпускаться для локальных проектов и обмениваться на глобальные токены. Смарт‑контракты обеспечивают ликвидность через пулы, стейкинг создаёт пассивный доход для участников.</w:t>
      </w:r>
    </w:p>
    <w:bookmarkEnd w:id="34"/>
    <w:bookmarkStart w:id="35" w:name="экосистема-участников"/>
    <w:p>
      <w:pPr>
        <w:pStyle w:val="Heading2"/>
      </w:pPr>
      <w:r>
        <w:t xml:space="preserve">Экосистема участников</w:t>
      </w:r>
    </w:p>
    <w:p>
      <w:pPr>
        <w:pStyle w:val="FirstParagraph"/>
      </w:pPr>
      <w:r>
        <w:t xml:space="preserve">Проект ориентирован на широкий круг заинтересованных сторон, каждый из которых получает собственные функции и выгоды: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Группа</w:t>
            </w:r>
          </w:p>
        </w:tc>
        <w:tc>
          <w:tcPr/>
          <w:p>
            <w:pPr>
              <w:pStyle w:val="Compact"/>
            </w:pPr>
            <w:r>
              <w:t xml:space="preserve">Проблемы и задачи</w:t>
            </w:r>
          </w:p>
        </w:tc>
        <w:tc>
          <w:tcPr/>
          <w:p>
            <w:pPr>
              <w:pStyle w:val="Compact"/>
            </w:pPr>
            <w:r>
              <w:t xml:space="preserve">Решения VODeco</w:t>
            </w:r>
          </w:p>
        </w:tc>
        <w:tc>
          <w:tcPr/>
          <w:p>
            <w:pPr>
              <w:pStyle w:val="Compact"/>
            </w:pPr>
            <w:r>
              <w:t xml:space="preserve">Выгоды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Общество</w:t>
            </w:r>
          </w:p>
        </w:tc>
        <w:tc>
          <w:tcPr/>
          <w:p>
            <w:pPr>
              <w:pStyle w:val="Compact"/>
            </w:pPr>
            <w:r>
              <w:t xml:space="preserve">Отсутствие доступа к чистой воде, непрозрачные тарифы</w:t>
            </w:r>
          </w:p>
        </w:tc>
        <w:tc>
          <w:tcPr/>
          <w:p>
            <w:pPr>
              <w:pStyle w:val="Compact"/>
            </w:pPr>
            <w:r>
              <w:t xml:space="preserve">DAO‑управление, прозрачная информация, микроплатежи VODU</w:t>
            </w:r>
          </w:p>
        </w:tc>
        <w:tc>
          <w:tcPr/>
          <w:p>
            <w:pPr>
              <w:pStyle w:val="Compact"/>
            </w:pPr>
            <w:r>
              <w:t xml:space="preserve">Доступная вода, участие в решениях, вознаграждения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Наука</w:t>
            </w:r>
          </w:p>
        </w:tc>
        <w:tc>
          <w:tcPr/>
          <w:p>
            <w:pPr>
              <w:pStyle w:val="Compact"/>
            </w:pPr>
            <w:r>
              <w:t xml:space="preserve">Дефицит данных и финансирования</w:t>
            </w:r>
          </w:p>
        </w:tc>
        <w:tc>
          <w:tcPr/>
          <w:p>
            <w:pPr>
              <w:pStyle w:val="Compact"/>
            </w:pPr>
            <w:r>
              <w:t xml:space="preserve">Общая база данных, гранты, платформа для исследований</w:t>
            </w:r>
          </w:p>
        </w:tc>
        <w:tc>
          <w:tcPr/>
          <w:p>
            <w:pPr>
              <w:pStyle w:val="Compact"/>
            </w:pPr>
            <w:r>
              <w:t xml:space="preserve">Доступ к уникальным данным, финансирование, коллаборации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Бизнес</w:t>
            </w:r>
          </w:p>
        </w:tc>
        <w:tc>
          <w:tcPr/>
          <w:p>
            <w:pPr>
              <w:pStyle w:val="Compact"/>
            </w:pPr>
            <w:r>
              <w:t xml:space="preserve">Устаревшие методы, коррупция, нехватка инвестиций</w:t>
            </w:r>
          </w:p>
        </w:tc>
        <w:tc>
          <w:tcPr/>
          <w:p>
            <w:pPr>
              <w:pStyle w:val="Compact"/>
            </w:pPr>
            <w:r>
              <w:t xml:space="preserve">Токенизация проектов, ESG‑сертификация, DeFi‑финансирование</w:t>
            </w:r>
          </w:p>
        </w:tc>
        <w:tc>
          <w:tcPr/>
          <w:p>
            <w:pPr>
              <w:pStyle w:val="Compact"/>
            </w:pPr>
            <w:r>
              <w:t xml:space="preserve">Модернизация, репутация, новые рынки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Государства</w:t>
            </w:r>
          </w:p>
        </w:tc>
        <w:tc>
          <w:tcPr/>
          <w:p>
            <w:pPr>
              <w:pStyle w:val="Compact"/>
            </w:pPr>
            <w:r>
              <w:t xml:space="preserve">Управление ресурсами, конфликты интересов</w:t>
            </w:r>
          </w:p>
        </w:tc>
        <w:tc>
          <w:tcPr/>
          <w:p>
            <w:pPr>
              <w:pStyle w:val="Compact"/>
            </w:pPr>
            <w:r>
              <w:t xml:space="preserve">Централизованный контроль через DAO, прозрачный мониторинг</w:t>
            </w:r>
          </w:p>
        </w:tc>
        <w:tc>
          <w:tcPr/>
          <w:p>
            <w:pPr>
              <w:pStyle w:val="Compact"/>
            </w:pPr>
            <w:r>
              <w:t xml:space="preserve">Прогнозирование, эффективное управление, связь с гражданами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Инвесторы</w:t>
            </w:r>
          </w:p>
        </w:tc>
        <w:tc>
          <w:tcPr/>
          <w:p>
            <w:pPr>
              <w:pStyle w:val="Compact"/>
            </w:pPr>
            <w:r>
              <w:t xml:space="preserve">Низкая ликвидность, риск, сложность оценки</w:t>
            </w:r>
          </w:p>
        </w:tc>
        <w:tc>
          <w:tcPr/>
          <w:p>
            <w:pPr>
              <w:pStyle w:val="Compact"/>
            </w:pPr>
            <w:r>
              <w:t xml:space="preserve">Смарт‑контракты, мультитокенная модель, стейкинг</w:t>
            </w:r>
          </w:p>
        </w:tc>
        <w:tc>
          <w:tcPr/>
          <w:p>
            <w:pPr>
              <w:pStyle w:val="Compact"/>
            </w:pPr>
            <w:r>
              <w:t xml:space="preserve">Диверсификация активов, доходность, ESG‑эффект</w:t>
            </w:r>
          </w:p>
        </w:tc>
      </w:tr>
    </w:tbl>
    <w:p>
      <w:pPr>
        <w:pStyle w:val="BodyText"/>
      </w:pPr>
      <w:r>
        <w:t xml:space="preserve">Платформа позволяет каждому участнику выполнять свои функции: граждане делятся данными, голосуют и получают вознаграждения; учёные проводят анализ и публикуют исследования; бизнес внедряет технологии и финансирует проекты; государство регулирует и обеспечивает равномерное распределение; инвесторы предоставляют капитал и получают прибыль.</w:t>
      </w:r>
    </w:p>
    <w:bookmarkEnd w:id="35"/>
    <w:bookmarkStart w:id="36" w:name="социальная-сеть-достижений-и-партнёрств"/>
    <w:p>
      <w:pPr>
        <w:pStyle w:val="Heading2"/>
      </w:pPr>
      <w:r>
        <w:t xml:space="preserve">Социальная сеть достижений и партнёрств</w:t>
      </w:r>
    </w:p>
    <w:p>
      <w:pPr>
        <w:pStyle w:val="FirstParagraph"/>
      </w:pPr>
      <w:r>
        <w:t xml:space="preserve">В рамках VODeco строится уникальная социальная платформа, где ценностью являются реальные действия и вклад в устойчивое управление водой. Личные страницы пользователей и организаций выполняют роль цифрового портфолио:</w:t>
      </w:r>
    </w:p>
    <w:p>
      <w:pPr>
        <w:pStyle w:val="Compact"/>
        <w:numPr>
          <w:ilvl w:val="0"/>
          <w:numId w:val="1003"/>
        </w:numPr>
      </w:pPr>
      <w:r>
        <w:t xml:space="preserve">Пользователи публикуют отчёты, фото, результаты исследований; каждая публикация может стать основой для проекта или DAO‑инициативы.</w:t>
      </w:r>
    </w:p>
    <w:p>
      <w:pPr>
        <w:pStyle w:val="Compact"/>
        <w:numPr>
          <w:ilvl w:val="0"/>
          <w:numId w:val="1003"/>
        </w:numPr>
      </w:pPr>
      <w:r>
        <w:t xml:space="preserve">Отображаются награды и достижения: благодарности сообщества, запущенные проекты, участие в голосованиях, стейкинг, сбор средств.</w:t>
      </w:r>
    </w:p>
    <w:p>
      <w:pPr>
        <w:pStyle w:val="Compact"/>
        <w:numPr>
          <w:ilvl w:val="0"/>
          <w:numId w:val="1003"/>
        </w:numPr>
      </w:pPr>
      <w:r>
        <w:t xml:space="preserve">Публикации формируют общую ленту новостей, а сторис позволяют делиться быстрыми обновлениями.</w:t>
      </w:r>
    </w:p>
    <w:p>
      <w:pPr>
        <w:pStyle w:val="Compact"/>
        <w:numPr>
          <w:ilvl w:val="0"/>
          <w:numId w:val="1003"/>
        </w:numPr>
      </w:pPr>
      <w:r>
        <w:t xml:space="preserve">Возможность превращать публикации в группы, формировать исследовательские команды и совместно развивать инициативы.</w:t>
      </w:r>
    </w:p>
    <w:p>
      <w:pPr>
        <w:pStyle w:val="Compact"/>
        <w:numPr>
          <w:ilvl w:val="0"/>
          <w:numId w:val="1003"/>
        </w:numPr>
      </w:pPr>
      <w:r>
        <w:t xml:space="preserve">Реферальные ссылки вовлекают новых пользователей и вознаграждают авторов.</w:t>
      </w:r>
    </w:p>
    <w:p>
      <w:pPr>
        <w:pStyle w:val="FirstParagraph"/>
      </w:pPr>
      <w:r>
        <w:t xml:space="preserve">Такая сеть позволяет совместить личный прогресс и коллективные усилия. Она способствует виральности, ускоряет масштабирование и формирует социальный капитал пользователей.</w:t>
      </w:r>
    </w:p>
    <w:bookmarkEnd w:id="36"/>
    <w:bookmarkStart w:id="37" w:name="кодекс-участника"/>
    <w:p>
      <w:pPr>
        <w:pStyle w:val="Heading2"/>
      </w:pPr>
      <w:r>
        <w:t xml:space="preserve">Кодекс участника</w:t>
      </w:r>
    </w:p>
    <w:p>
      <w:pPr>
        <w:pStyle w:val="FirstParagraph"/>
      </w:pPr>
      <w:r>
        <w:t xml:space="preserve">Для обеспечения этичности и устойчивости экосистемы принимается</w:t>
      </w:r>
      <w:r>
        <w:t xml:space="preserve"> </w:t>
      </w:r>
      <w:r>
        <w:rPr>
          <w:b/>
          <w:bCs/>
        </w:rPr>
        <w:t xml:space="preserve">Кодекс участника VODeco</w:t>
      </w:r>
      <w:r>
        <w:t xml:space="preserve">. Основные положения: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Общее благо выше личной выгоды.</w:t>
      </w:r>
      <w:r>
        <w:t xml:space="preserve"> </w:t>
      </w:r>
      <w:r>
        <w:t xml:space="preserve">Участники действуют в интересах сохранения и восстановления водных ресурсов.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Прозрачность и честность.</w:t>
      </w:r>
      <w:r>
        <w:t xml:space="preserve"> </w:t>
      </w:r>
      <w:r>
        <w:t xml:space="preserve">Все данные и решения публикуются открыто; запрещены манипуляции.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Равенство и уважение.</w:t>
      </w:r>
      <w:r>
        <w:t xml:space="preserve"> </w:t>
      </w:r>
      <w:r>
        <w:t xml:space="preserve">Каждый имеет право голоса, исключается дискриминация.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Ответственность.</w:t>
      </w:r>
      <w:r>
        <w:t xml:space="preserve"> </w:t>
      </w:r>
      <w:r>
        <w:t xml:space="preserve">Все предложения и данные основаны на достоверной информации и научном подходе.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Сотрудничество.</w:t>
      </w:r>
      <w:r>
        <w:t xml:space="preserve"> </w:t>
      </w:r>
      <w:r>
        <w:t xml:space="preserve">Приветствуются совместные проекты, обмен знаниями и междисциплинарные инициативы.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Экологическая и социальная целесообразность.</w:t>
      </w:r>
      <w:r>
        <w:t xml:space="preserve"> </w:t>
      </w:r>
      <w:r>
        <w:t xml:space="preserve">Поддерживаются проекты, способствующие улучшению качества воды и благополучию людей.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Следование DAO‑процессам.</w:t>
      </w:r>
      <w:r>
        <w:t xml:space="preserve"> </w:t>
      </w:r>
      <w:r>
        <w:t xml:space="preserve">Решения принимаются через открытое голосование и смарт‑контракты; участники уважают результаты.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Постоянное обучение.</w:t>
      </w:r>
      <w:r>
        <w:t xml:space="preserve"> </w:t>
      </w:r>
      <w:r>
        <w:t xml:space="preserve">Участники готовы совершенствовать знания и навыки.</w:t>
      </w:r>
    </w:p>
    <w:p>
      <w:pPr>
        <w:pStyle w:val="FirstParagraph"/>
      </w:pPr>
      <w:r>
        <w:t xml:space="preserve">Этот кодекс формирует доверие между участниками и задаёт высокие стандарты поведения внутри экосистемы.</w:t>
      </w:r>
    </w:p>
    <w:bookmarkEnd w:id="37"/>
    <w:bookmarkStart w:id="39" w:name="экономическая-модель-и-pfi"/>
    <w:p>
      <w:pPr>
        <w:pStyle w:val="Heading2"/>
      </w:pPr>
      <w:r>
        <w:t xml:space="preserve">Экономическая модель и PFI</w:t>
      </w:r>
    </w:p>
    <w:p>
      <w:pPr>
        <w:pStyle w:val="FirstParagraph"/>
      </w:pPr>
      <w:r>
        <w:t xml:space="preserve">VODeco использует модель PFI для привлечения частных инвестиций в инфраструктуру водоснабжения. Частные партнёры проектируют, строят и эксплуатируют объекты, получая доход от использования. Платформа обеспечивает: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Токенизацию активов.</w:t>
      </w:r>
      <w:r>
        <w:t xml:space="preserve"> </w:t>
      </w:r>
      <w:r>
        <w:t xml:space="preserve">Каждый объект выпускает токены VODP; инвесторы получают долю дохода.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Сбор средств.</w:t>
      </w:r>
      <w:r>
        <w:t xml:space="preserve"> </w:t>
      </w:r>
      <w:r>
        <w:t xml:space="preserve">Токены размещаются через кампании PreSale, распределённые по этапам (PreSale 1, 2, 3), что снижает риски.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Оперативное управление.</w:t>
      </w:r>
      <w:r>
        <w:t xml:space="preserve"> </w:t>
      </w:r>
      <w:r>
        <w:t xml:space="preserve">Данные с датчиков и AI‑аналитика позволяют оптимизировать работу и снижать расходы.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Устойчивость к кризисам.</w:t>
      </w:r>
      <w:r>
        <w:t xml:space="preserve"> </w:t>
      </w:r>
      <w:r>
        <w:t xml:space="preserve">PFI обеспечивает финансирование независимо от макроэкономических условий; блокчейн гарантирует прозрачность контрактов</w:t>
      </w:r>
      <w:hyperlink r:id="rId38">
        <w:r>
          <w:rPr>
            <w:rStyle w:val="Hyperlink"/>
          </w:rPr>
          <w:t xml:space="preserve">[6]</w:t>
        </w:r>
      </w:hyperlink>
      <w:r>
        <w:t xml:space="preserve">.</w:t>
      </w:r>
    </w:p>
    <w:p>
      <w:pPr>
        <w:pStyle w:val="FirstParagraph"/>
      </w:pPr>
      <w:r>
        <w:t xml:space="preserve">В долгосрочной перспективе планируется охватить более 20 регионов, обслуживать 30+ млн абонентов, создать 10 тыс. рабочих мест и достичь оборота свыше 1 млрд €</w:t>
      </w:r>
      <w:hyperlink r:id="rId38">
        <w:r>
          <w:rPr>
            <w:rStyle w:val="Hyperlink"/>
          </w:rPr>
          <w:t xml:space="preserve">[7]</w:t>
        </w:r>
      </w:hyperlink>
      <w:r>
        <w:t xml:space="preserve">. Платформа нацелена на долю в 20 % рынка водных PFIs в ЕАЭС и расширение на глобальный рынок.</w:t>
      </w:r>
    </w:p>
    <w:bookmarkEnd w:id="39"/>
    <w:bookmarkStart w:id="41" w:name="дорожная-карта"/>
    <w:p>
      <w:pPr>
        <w:pStyle w:val="Heading2"/>
      </w:pPr>
      <w:r>
        <w:t xml:space="preserve">Дорожная карта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2023 год — MVP Alpha.</w:t>
      </w:r>
      <w:r>
        <w:t xml:space="preserve"> </w:t>
      </w:r>
      <w:r>
        <w:t xml:space="preserve">Разработка базовой платформы, сбор прототипов данных, тестирование DAO‑голосования</w:t>
      </w:r>
      <w:hyperlink r:id="rId40">
        <w:r>
          <w:rPr>
            <w:rStyle w:val="Hyperlink"/>
          </w:rPr>
          <w:t xml:space="preserve">[8]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2024 год — Beta.</w:t>
      </w:r>
      <w:r>
        <w:t xml:space="preserve"> </w:t>
      </w:r>
      <w:r>
        <w:t xml:space="preserve">Интерактивные страницы, 3D‑анимация, бета‑версии токенов, стейкинг и первые объекты с реальными датчиками.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Q1 2025 — Production.</w:t>
      </w:r>
      <w:r>
        <w:t xml:space="preserve"> </w:t>
      </w:r>
      <w:r>
        <w:t xml:space="preserve">Запуск основной версии, открытый доступ для всех участников, интеграция с мобильными приложениями</w:t>
      </w:r>
      <w:hyperlink r:id="rId40">
        <w:r>
          <w:rPr>
            <w:rStyle w:val="Hyperlink"/>
          </w:rPr>
          <w:t xml:space="preserve">[8]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2026 и далее.</w:t>
      </w:r>
      <w:r>
        <w:t xml:space="preserve"> </w:t>
      </w:r>
      <w:r>
        <w:t xml:space="preserve">Масштабирование на десятки регионов, подключение 75 % объектов, управление всей экосистемой воды и экологии, запуск ESG‑сертификации и углеродных кредитов. Развитие научных и образовательных программ, интеграция с государственными информационными системами.</w:t>
      </w:r>
    </w:p>
    <w:bookmarkEnd w:id="41"/>
    <w:bookmarkStart w:id="42" w:name="заключение"/>
    <w:p>
      <w:pPr>
        <w:pStyle w:val="Heading2"/>
      </w:pPr>
      <w:r>
        <w:t xml:space="preserve">Заключение</w:t>
      </w:r>
    </w:p>
    <w:p>
      <w:pPr>
        <w:pStyle w:val="FirstParagraph"/>
      </w:pPr>
      <w:r>
        <w:t xml:space="preserve">VODeco — неизбежная эволюция управления водой. Платформа объединяет технологии и сообщества, чтобы превратить воду из источника конфликтов в фактор сотрудничества. Благодаря DAO‑управлению, токенизации, глобальному мониторингу и открытому доступу к данным VODeco создаёт инфраструктуру будущего, где вода остаётся доступной и чистой для всех поколений.</w:t>
      </w:r>
    </w:p>
    <w:bookmarkEnd w:id="42"/>
    <w:bookmarkEnd w:id="43"/>
    <w:bookmarkEnd w:id="44"/>
    <w:p>
      <w:r>
        <w:pict>
          <v:rect style="width:0;height:1.5pt" o:hralign="center" o:hrstd="t" o:hr="t"/>
        </w:pict>
      </w:r>
    </w:p>
    <w:bookmarkStart w:id="49" w:name="citations"/>
    <w:p>
      <w:pPr>
        <w:pStyle w:val="FirstParagraph"/>
      </w:pPr>
      <w:hyperlink r:id="rId22">
        <w:r>
          <w:rPr>
            <w:rStyle w:val="Hyperlink"/>
          </w:rPr>
          <w:t xml:space="preserve">[1]</w:t>
        </w:r>
      </w:hyperlink>
      <w:r>
        <w:t xml:space="preserve"> </w:t>
      </w:r>
      <w:r>
        <w:t xml:space="preserve">World leaders call for action on water | United Nations</w:t>
      </w:r>
    </w:p>
    <w:p>
      <w:pPr>
        <w:pStyle w:val="BodyText"/>
      </w:pPr>
      <w:hyperlink r:id="rId45">
        <w:r>
          <w:rPr>
            <w:rStyle w:val="Hyperlink"/>
          </w:rPr>
          <w:t xml:space="preserve">https://www.un.org/id/desa/world-leaders-call-action-water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[2]</w:t>
        </w:r>
      </w:hyperlink>
      <w:r>
        <w:t xml:space="preserve"> </w:t>
      </w:r>
      <w:hyperlink r:id="rId24">
        <w:r>
          <w:rPr>
            <w:rStyle w:val="Hyperlink"/>
          </w:rPr>
          <w:t xml:space="preserve">[3]</w:t>
        </w:r>
      </w:hyperlink>
      <w:r>
        <w:t xml:space="preserve"> </w:t>
      </w:r>
      <w:r>
        <w:t xml:space="preserve">World Faces 40% Shortfall in Freshwater Supply by 2030, Experts Warn Ahead of UN Water Conference | Earth.Org</w:t>
      </w:r>
    </w:p>
    <w:p>
      <w:pPr>
        <w:pStyle w:val="BodyText"/>
      </w:pPr>
      <w:hyperlink r:id="rId46">
        <w:r>
          <w:rPr>
            <w:rStyle w:val="Hyperlink"/>
          </w:rPr>
          <w:t xml:space="preserve">https://earth.org/freshwater-supply-shortage/</w:t>
        </w:r>
      </w:hyperlink>
    </w:p>
    <w:p>
      <w:pPr>
        <w:pStyle w:val="BodyText"/>
      </w:pPr>
      <w:hyperlink r:id="rId25">
        <w:r>
          <w:rPr>
            <w:rStyle w:val="Hyperlink"/>
          </w:rPr>
          <w:t xml:space="preserve">[4]</w:t>
        </w:r>
      </w:hyperlink>
      <w:r>
        <w:t xml:space="preserve"> </w:t>
      </w:r>
      <w:r>
        <w:t xml:space="preserve">Why Global Water Security Matters in 2024 | Earth.Org</w:t>
      </w:r>
    </w:p>
    <w:p>
      <w:pPr>
        <w:pStyle w:val="BodyText"/>
      </w:pPr>
      <w:hyperlink r:id="rId47">
        <w:r>
          <w:rPr>
            <w:rStyle w:val="Hyperlink"/>
          </w:rPr>
          <w:t xml:space="preserve">https://earth.org/global-water-crisis-why-the-world-urgently-needs-water-wise-solutions/</w:t>
        </w:r>
      </w:hyperlink>
    </w:p>
    <w:p>
      <w:pPr>
        <w:pStyle w:val="BodyText"/>
      </w:pPr>
      <w:hyperlink r:id="rId27">
        <w:r>
          <w:rPr>
            <w:rStyle w:val="Hyperlink"/>
          </w:rPr>
          <w:t xml:space="preserve">[5]</w:t>
        </w:r>
      </w:hyperlink>
      <w:r>
        <w:t xml:space="preserve"> </w:t>
      </w:r>
      <w:hyperlink r:id="rId40">
        <w:r>
          <w:rPr>
            <w:rStyle w:val="Hyperlink"/>
          </w:rPr>
          <w:t xml:space="preserve">[8]</w:t>
        </w:r>
      </w:hyperlink>
      <w:r>
        <w:t xml:space="preserve"> </w:t>
      </w:r>
      <w:r>
        <w:t xml:space="preserve">README.md</w:t>
      </w:r>
    </w:p>
    <w:p>
      <w:pPr>
        <w:pStyle w:val="BodyText"/>
      </w:pPr>
      <w:hyperlink r:id="rId48">
        <w:r>
          <w:rPr>
            <w:rStyle w:val="Hyperlink"/>
          </w:rPr>
          <w:t xml:space="preserve">https://github.com/TimurSama/VODeco/blob/main/README.md</w:t>
        </w:r>
      </w:hyperlink>
    </w:p>
    <w:p>
      <w:pPr>
        <w:pStyle w:val="BodyText"/>
      </w:pPr>
      <w:hyperlink r:id="rId38">
        <w:r>
          <w:rPr>
            <w:rStyle w:val="Hyperlink"/>
          </w:rPr>
          <w:t xml:space="preserve">[6]</w:t>
        </w:r>
      </w:hyperlink>
      <w:r>
        <w:t xml:space="preserve"> </w:t>
      </w:r>
      <w:hyperlink r:id="rId38">
        <w:r>
          <w:rPr>
            <w:rStyle w:val="Hyperlink"/>
          </w:rPr>
          <w:t xml:space="preserve">[7]</w:t>
        </w:r>
      </w:hyperlink>
      <w:r>
        <w:t xml:space="preserve"> </w:t>
      </w:r>
      <w:r>
        <w:t xml:space="preserve">VODPROM - UNICAP - Первый Евразийский инвестиционный ГЧП-фонд</w:t>
      </w:r>
    </w:p>
    <w:p>
      <w:pPr>
        <w:pStyle w:val="BodyText"/>
      </w:pPr>
      <w:hyperlink r:id="rId38">
        <w:r>
          <w:rPr>
            <w:rStyle w:val="Hyperlink"/>
          </w:rPr>
          <w:t xml:space="preserve">https://unicapinvest.org/ru/portfolio/vodprom/</w:t>
        </w:r>
      </w:hyperlink>
    </w:p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6" Target="https://earth.org/freshwater-supply-shortage/" TargetMode="External" /><Relationship Type="http://schemas.openxmlformats.org/officeDocument/2006/relationships/hyperlink" Id="rId23" Target="https://earth.org/freshwater-supply-shortage/#:~:text=According%20to%20the%20World%20Health,income%20countries" TargetMode="External" /><Relationship Type="http://schemas.openxmlformats.org/officeDocument/2006/relationships/hyperlink" Id="rId24" Target="https://earth.org/freshwater-supply-shortage/#:~:text=Demand%20for%20freshwater%20will%20outstrip,economics%20of%20water%20has%20found" TargetMode="External" /><Relationship Type="http://schemas.openxmlformats.org/officeDocument/2006/relationships/hyperlink" Id="rId47" Target="https://earth.org/global-water-crisis-why-the-world-urgently-needs-water-wise-solutions/" TargetMode="External" /><Relationship Type="http://schemas.openxmlformats.org/officeDocument/2006/relationships/hyperlink" Id="rId25" Target="https://earth.org/global-water-crisis-why-the-world-urgently-needs-water-wise-solutions/#:~:text=The%20United%20Nations%20predicts%20that,displace%20over%20700%20million%20people" TargetMode="External" /><Relationship Type="http://schemas.openxmlformats.org/officeDocument/2006/relationships/hyperlink" Id="rId48" Target="https://github.com/TimurSama/VODeco/blob/main/README.md" TargetMode="External" /><Relationship Type="http://schemas.openxmlformats.org/officeDocument/2006/relationships/hyperlink" Id="rId27" Target="https://github.com/TimurSama/VODeco/blob/main/README.md#L11-L20" TargetMode="External" /><Relationship Type="http://schemas.openxmlformats.org/officeDocument/2006/relationships/hyperlink" Id="rId40" Target="https://github.com/TimurSama/VODeco/blob/main/README.md#L96-L98" TargetMode="External" /><Relationship Type="http://schemas.openxmlformats.org/officeDocument/2006/relationships/hyperlink" Id="rId38" Target="https://unicapinvest.org/ru/portfolio/vodprom/" TargetMode="External" /><Relationship Type="http://schemas.openxmlformats.org/officeDocument/2006/relationships/hyperlink" Id="rId45" Target="https://www.un.org/id/desa/world-leaders-call-action-water" TargetMode="External" /><Relationship Type="http://schemas.openxmlformats.org/officeDocument/2006/relationships/hyperlink" Id="rId22" Target="https://www.un.org/id/desa/world-leaders-call-action-water#:~:text=Currently%2C%20more%20than%20two%20billion,increasing%20effects%20of%20climate%20chan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6" Target="https://earth.org/freshwater-supply-shortage/" TargetMode="External" /><Relationship Type="http://schemas.openxmlformats.org/officeDocument/2006/relationships/hyperlink" Id="rId23" Target="https://earth.org/freshwater-supply-shortage/#:~:text=According%20to%20the%20World%20Health,income%20countries" TargetMode="External" /><Relationship Type="http://schemas.openxmlformats.org/officeDocument/2006/relationships/hyperlink" Id="rId24" Target="https://earth.org/freshwater-supply-shortage/#:~:text=Demand%20for%20freshwater%20will%20outstrip,economics%20of%20water%20has%20found" TargetMode="External" /><Relationship Type="http://schemas.openxmlformats.org/officeDocument/2006/relationships/hyperlink" Id="rId47" Target="https://earth.org/global-water-crisis-why-the-world-urgently-needs-water-wise-solutions/" TargetMode="External" /><Relationship Type="http://schemas.openxmlformats.org/officeDocument/2006/relationships/hyperlink" Id="rId25" Target="https://earth.org/global-water-crisis-why-the-world-urgently-needs-water-wise-solutions/#:~:text=The%20United%20Nations%20predicts%20that,displace%20over%20700%20million%20people" TargetMode="External" /><Relationship Type="http://schemas.openxmlformats.org/officeDocument/2006/relationships/hyperlink" Id="rId48" Target="https://github.com/TimurSama/VODeco/blob/main/README.md" TargetMode="External" /><Relationship Type="http://schemas.openxmlformats.org/officeDocument/2006/relationships/hyperlink" Id="rId27" Target="https://github.com/TimurSama/VODeco/blob/main/README.md#L11-L20" TargetMode="External" /><Relationship Type="http://schemas.openxmlformats.org/officeDocument/2006/relationships/hyperlink" Id="rId40" Target="https://github.com/TimurSama/VODeco/blob/main/README.md#L96-L98" TargetMode="External" /><Relationship Type="http://schemas.openxmlformats.org/officeDocument/2006/relationships/hyperlink" Id="rId38" Target="https://unicapinvest.org/ru/portfolio/vodprom/" TargetMode="External" /><Relationship Type="http://schemas.openxmlformats.org/officeDocument/2006/relationships/hyperlink" Id="rId45" Target="https://www.un.org/id/desa/world-leaders-call-action-water" TargetMode="External" /><Relationship Type="http://schemas.openxmlformats.org/officeDocument/2006/relationships/hyperlink" Id="rId22" Target="https://www.un.org/id/desa/world-leaders-call-action-water#:~:text=Currently%2C%20more%20than%20two%20billion,increasing%20effects%20of%20climate%20chan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ru</dc:language>
  <cp:keywords/>
  <dcterms:created xsi:type="dcterms:W3CDTF">2025-09-29T16:38:08Z</dcterms:created>
  <dcterms:modified xsi:type="dcterms:W3CDTF">2025-09-29T16:38:08Z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