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план-доработки-вебприложения-vodeco"/>
    <w:p>
      <w:pPr>
        <w:pStyle w:val="Heading1"/>
      </w:pPr>
      <w:r>
        <w:t xml:space="preserve">План доработки веб‑приложения VODeco</w:t>
      </w:r>
    </w:p>
    <w:bookmarkStart w:id="21" w:name="цели-бетаверсии"/>
    <w:p>
      <w:pPr>
        <w:pStyle w:val="Heading2"/>
      </w:pPr>
      <w:r>
        <w:t xml:space="preserve">Цели бета‑версии</w:t>
      </w:r>
    </w:p>
    <w:p>
      <w:pPr>
        <w:pStyle w:val="FirstParagraph"/>
      </w:pPr>
      <w:r>
        <w:t xml:space="preserve">Веб‑приложение VODeco должно стать цифровым центром экосистемы управления водными ресурсами. На этапе бета‑версии оно обязано продемонстрировать полноценную цепочку «мониторинг → анализ → действие → вознаграждение», включающую работу с реальными объектами и датчиками, DAO‑голосование, стейкинг и социальную активность. Ниже приведён детальный план работ.</w:t>
      </w:r>
    </w:p>
    <w:bookmarkEnd w:id="21"/>
    <w:bookmarkStart w:id="24" w:name="интерактивный-экран-превью"/>
    <w:p>
      <w:pPr>
        <w:pStyle w:val="Heading2"/>
      </w:pPr>
      <w:r>
        <w:t xml:space="preserve">1. Интерактивный экран превью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Фон и анимация.</w:t>
      </w:r>
      <w:r>
        <w:t xml:space="preserve"> </w:t>
      </w:r>
      <w:r>
        <w:t xml:space="preserve">При запуске приложения отображается темный космический фон с динамичной анимацией галактики. Через две секунды в центре из точки появляется трёхмерная капля воды; в ней движутся блестящие пузырьки, в центре вращается молекула H₂O. Спустя четыре секунды появляется надпись: «H₂O, вода — первичный и главный признак и фактор жизни»</w:t>
      </w:r>
      <w:hyperlink r:id="rId22">
        <w:r>
          <w:rPr>
            <w:rStyle w:val="Hyperlink"/>
          </w:rPr>
          <w:t xml:space="preserve">[1]</w:t>
        </w:r>
      </w:hyperlink>
      <w:r>
        <w:t xml:space="preserve">. После короткой паузы капля исчезает, и на её месте появляется вращающийся глобус (полный оборот за две секунды).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Информационные окна.</w:t>
      </w:r>
      <w:r>
        <w:t xml:space="preserve"> </w:t>
      </w:r>
      <w:r>
        <w:t xml:space="preserve">Вокруг глобуса выводятся четыре окна с ключевыми статистическими показателями: (1) доля поверхности планеты, покрытая водой, и процент пресной воды; (2) ежегодный объем потребления воды и финансовый оборот, связанный с водным ресурсом; (3) ежегодный рост дефицита воды, болезней и экономических потерь; (4) прогнозы загрязнения, смертности и числа людей без доступа к воде к 2030–2050 годам</w:t>
      </w:r>
      <w:hyperlink r:id="rId23">
        <w:r>
          <w:rPr>
            <w:rStyle w:val="Hyperlink"/>
          </w:rPr>
          <w:t xml:space="preserve">[2]</w:t>
        </w:r>
      </w:hyperlink>
      <w:r>
        <w:t xml:space="preserve">. Информация должна быть актуальной и визуально выделяться с помощью иконок.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Кнопка «Продолжить».</w:t>
      </w:r>
      <w:r>
        <w:t xml:space="preserve"> </w:t>
      </w:r>
      <w:r>
        <w:t xml:space="preserve">Внизу экрана размещается кнопка перехода к основному интерфейсу.</w:t>
      </w:r>
    </w:p>
    <w:bookmarkEnd w:id="24"/>
    <w:bookmarkStart w:id="25" w:name="основной-экран-гексагональная-навигация"/>
    <w:p>
      <w:pPr>
        <w:pStyle w:val="Heading2"/>
      </w:pPr>
      <w:r>
        <w:t xml:space="preserve">2. Основной экран: гексагональная навигация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Глобус и метки объектов.</w:t>
      </w:r>
      <w:r>
        <w:t xml:space="preserve"> </w:t>
      </w:r>
      <w:r>
        <w:t xml:space="preserve">На следующем экране продолжает вращаться глобус; на него добавляются метки существующих и инвестиционных объектов (из соответствующих разделов панели управления). Метки кликабельны и открывают страницы объектов с описанием, текущими показателями датчиков и статусом инвестиционных кампаний.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Гексагональные разделы.</w:t>
      </w:r>
      <w:r>
        <w:t xml:space="preserve"> </w:t>
      </w:r>
      <w:r>
        <w:t xml:space="preserve">Вокруг глобуса располагаются семь гексагонов: DAO, общество, государства, бизнес, научное сообщество, объекты, инвесторы. По клику на каждый гексагон открывается подробная страница со следующими секциями: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Проблемы.</w:t>
      </w:r>
      <w:r>
        <w:t xml:space="preserve"> </w:t>
      </w:r>
      <w:r>
        <w:t xml:space="preserve">Существующие препятствия в конкретной сфере (например, централизованное принятие решений, устаревшие методики водоснабжения, коррупция, неэффективные тарифы).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Решения.</w:t>
      </w:r>
      <w:r>
        <w:t xml:space="preserve"> </w:t>
      </w:r>
      <w:r>
        <w:t xml:space="preserve">Предлагаемые инструменты VODeco: DAO‑голосование через токены VODG; токенизация активов и инфрасубтокены VODP; микроплатежи VODU; мультитокенная модель и ликвидные пулы для инвесторов; токенизированные экологические проекты.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Выгоды.</w:t>
      </w:r>
      <w:r>
        <w:t xml:space="preserve"> </w:t>
      </w:r>
      <w:r>
        <w:t xml:space="preserve">Ожидаемые преимущества: справедливое распределение ресурсов, снижение потерь, привлечение инвестиций, устойчивое развитие и восстановление экологии.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Функции.</w:t>
      </w:r>
      <w:r>
        <w:t xml:space="preserve"> </w:t>
      </w:r>
      <w:r>
        <w:t xml:space="preserve">Конкретные механики (делегирование голосов, мониторинг решений, автоматизация управления через смарт‑контракты, стейкинг токенов, участие в пулах ликвидности).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Последовательные сценарии.</w:t>
      </w:r>
      <w:r>
        <w:t xml:space="preserve"> </w:t>
      </w:r>
      <w:r>
        <w:t xml:space="preserve">Гексагональная навигация поддерживает переключение наборов проблем/решений/выгод по темам: управление, токенизация, потребление, инвестиции, технологии, экология, доступ к чистой воде, эффективность использования, финансирование инфраструктуры, трансграничное сотрудничество, экологическая устойчивость. Пользователь может свободно перемещаться между наборами и изучать детали.</w:t>
      </w:r>
    </w:p>
    <w:bookmarkEnd w:id="25"/>
    <w:bookmarkStart w:id="26" w:name="информация-о-продуктах-и-страницах"/>
    <w:p>
      <w:pPr>
        <w:pStyle w:val="Heading2"/>
      </w:pPr>
      <w:r>
        <w:t xml:space="preserve">3. Информация о продуктах и страницах</w:t>
      </w:r>
    </w:p>
    <w:p>
      <w:pPr>
        <w:pStyle w:val="FirstParagraph"/>
      </w:pPr>
      <w:r>
        <w:t xml:space="preserve">Для каждой основной категории (DAO, объекты, инвесторы, государство, наука, общество, бизнес) следует разработать уникальные страницы. Они должны включать: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Описание функций платформы.</w:t>
      </w:r>
      <w:r>
        <w:t xml:space="preserve"> </w:t>
      </w:r>
      <w:r>
        <w:t xml:space="preserve">Мониторинг состояния объектов, управление ресурсами, аналитические панели, возможности интеграции со сторонним оборудованием и ПО.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Программы и инициативы.</w:t>
      </w:r>
      <w:r>
        <w:t xml:space="preserve"> </w:t>
      </w:r>
      <w:r>
        <w:t xml:space="preserve">Перечень специальных программ, грантов и стимулов, доступных для конкретной категории.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Взаимодействие с токенами.</w:t>
      </w:r>
      <w:r>
        <w:t xml:space="preserve"> </w:t>
      </w:r>
      <w:r>
        <w:t xml:space="preserve">Механики получения, хранения и стейкинга токенов, участие в голосованиях и распределение доходов.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Связанные документы.</w:t>
      </w:r>
      <w:r>
        <w:t xml:space="preserve"> </w:t>
      </w:r>
      <w:r>
        <w:t xml:space="preserve">Ссылки на методики, нормативные акты, стандарты качества и ESG‑отчеты.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Демо‑страницы.</w:t>
      </w:r>
      <w:r>
        <w:t xml:space="preserve"> </w:t>
      </w:r>
      <w:r>
        <w:t xml:space="preserve">Для бета‑версии необходимо разработать демонстрации интеграции с реальными объектами: отображение данных с датчиков (уровень воды, качество, энергопотребление), примеры аварийных уведомлений и отчётов.</w:t>
      </w:r>
    </w:p>
    <w:bookmarkEnd w:id="26"/>
    <w:bookmarkStart w:id="27" w:name="социальная-сеть-достижений-и-партнёрств"/>
    <w:p>
      <w:pPr>
        <w:pStyle w:val="Heading2"/>
      </w:pPr>
      <w:r>
        <w:t xml:space="preserve">4. Социальная сеть достижений и партнёрств</w:t>
      </w:r>
    </w:p>
    <w:p>
      <w:pPr>
        <w:pStyle w:val="FirstParagraph"/>
      </w:pPr>
      <w:r>
        <w:t xml:space="preserve">Планируется внедрение механики социальной сети, сосредоточенной на реальных действиях и достижениях: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Личные страницы.</w:t>
      </w:r>
      <w:r>
        <w:t xml:space="preserve"> </w:t>
      </w:r>
      <w:r>
        <w:t xml:space="preserve">Пользователи и организации смогут публиковать новости, фото и отчёты; каждая публикация может перерастать в проект или исследование. Профили визуализируют награды (NFT, бейджи), уровни и историю участия в проектах и голосованиях.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Лента и сторис.</w:t>
      </w:r>
      <w:r>
        <w:t xml:space="preserve"> </w:t>
      </w:r>
      <w:r>
        <w:t xml:space="preserve">Общая лента показывает активность подписок; сторис позволяют публиковать быстрые обновления. Социальные ссылки генерируют реферальные бонусы.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Группы и сообщества.</w:t>
      </w:r>
      <w:r>
        <w:t xml:space="preserve"> </w:t>
      </w:r>
      <w:r>
        <w:t xml:space="preserve">Пользователи смогут объединяться в команды, создавать экспертные группы по направлениям (исследования, технологии, экология), развивать публикации в совместные инициативы DAO и собирать финансирование.</w:t>
      </w:r>
    </w:p>
    <w:bookmarkEnd w:id="27"/>
    <w:bookmarkStart w:id="28" w:name="регистрация-кошелёк-и-взаимодействие"/>
    <w:p>
      <w:pPr>
        <w:pStyle w:val="Heading2"/>
      </w:pPr>
      <w:r>
        <w:t xml:space="preserve">5. Регистрация, кошелёк и взаимодействие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Регистрация и кабинет.</w:t>
      </w:r>
      <w:r>
        <w:t xml:space="preserve"> </w:t>
      </w:r>
      <w:r>
        <w:t xml:space="preserve">Обеспечить безопасную регистрацию (в том числе через Web3‑кошельки), создание профиля и настройку доступа. В личном кабинете пользователь видит свои токены, активность, достижения и участие в проектах.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Модуль PreSale.</w:t>
      </w:r>
      <w:r>
        <w:t xml:space="preserve"> </w:t>
      </w:r>
      <w:r>
        <w:t xml:space="preserve">Интегрировать покупку и распределение токенов различных уровней (PreSale 1, PreSale 2, PreSale 3). Предусмотреть информирование пользователей о статусе кампаний.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Партнёрский интерфейс.</w:t>
      </w:r>
      <w:r>
        <w:t xml:space="preserve"> </w:t>
      </w:r>
      <w:r>
        <w:t xml:space="preserve">Создать страницу для подачи заявок на партнёрство (производители оборудования, интеграторы IoT, научные и государственные организации).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Мультиязычность и доступность.</w:t>
      </w:r>
      <w:r>
        <w:t xml:space="preserve"> </w:t>
      </w:r>
      <w:r>
        <w:t xml:space="preserve">Поддержка нескольких языков, адаптивный дизайн для мобильных и настольных устройств.</w:t>
      </w:r>
    </w:p>
    <w:bookmarkEnd w:id="28"/>
    <w:bookmarkStart w:id="30" w:name="интеграция-датчиков-и-реальных-объектов"/>
    <w:p>
      <w:pPr>
        <w:pStyle w:val="Heading2"/>
      </w:pPr>
      <w:r>
        <w:t xml:space="preserve">6. Интеграция датчиков и реальных объектов</w:t>
      </w:r>
    </w:p>
    <w:p>
      <w:pPr>
        <w:pStyle w:val="FirstParagraph"/>
      </w:pPr>
      <w:r>
        <w:t xml:space="preserve">VODeco позиционируется как</w:t>
      </w:r>
      <w:r>
        <w:t xml:space="preserve"> </w:t>
      </w:r>
      <w:r>
        <w:rPr>
          <w:b/>
          <w:bCs/>
        </w:rPr>
        <w:t xml:space="preserve">цифровая нервная система</w:t>
      </w:r>
      <w:r>
        <w:t xml:space="preserve"> </w:t>
      </w:r>
      <w:r>
        <w:t xml:space="preserve">планеты</w:t>
      </w:r>
      <w:hyperlink r:id="rId29">
        <w:r>
          <w:rPr>
            <w:rStyle w:val="Hyperlink"/>
          </w:rPr>
          <w:t xml:space="preserve">[3]</w:t>
        </w:r>
      </w:hyperlink>
      <w:r>
        <w:t xml:space="preserve">. В бета‑версии необходимо: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Подключить реальные датчики.</w:t>
      </w:r>
      <w:r>
        <w:t xml:space="preserve"> </w:t>
      </w:r>
      <w:r>
        <w:t xml:space="preserve">Первые объекты (очистные станции, водозаборы, агропроизводства) должны предоставить данные о расходе, качестве и состоянии воды через API или MQTT. На веб‑страницах отображать показания в режиме реального времени, формировать отчёты и прогнозы.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Демонстрационные панели.</w:t>
      </w:r>
      <w:r>
        <w:t xml:space="preserve"> </w:t>
      </w:r>
      <w:r>
        <w:t xml:space="preserve">Создать публичные панели для демонстрации возможностей: карта объектов с показателями, графики динамики, система уведомлений об авариях и загрязнениях.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Тестирование токенизации активов.</w:t>
      </w:r>
      <w:r>
        <w:t xml:space="preserve"> </w:t>
      </w:r>
      <w:r>
        <w:t xml:space="preserve">Отработать механизм выпуска токенов на конкретные проекты (например, модернизация насосной станции), сбор средств через DAO и последующее распределение доходов.</w:t>
      </w:r>
    </w:p>
    <w:bookmarkEnd w:id="30"/>
    <w:bookmarkStart w:id="31" w:name="дорожная-карта-разработки"/>
    <w:p>
      <w:pPr>
        <w:pStyle w:val="Heading2"/>
      </w:pPr>
      <w:r>
        <w:t xml:space="preserve">7. Дорожная карта разработки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Q4 2025:</w:t>
      </w:r>
      <w:r>
        <w:t xml:space="preserve"> </w:t>
      </w:r>
      <w:r>
        <w:t xml:space="preserve">реализация интерактивного экрана превью, базовой гексагональной навигации и регистрации пользователей. Подключение первых датчиков, интеграция с блокчейном для хранения данных.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Q1 2026:</w:t>
      </w:r>
      <w:r>
        <w:t xml:space="preserve"> </w:t>
      </w:r>
      <w:r>
        <w:t xml:space="preserve">запуск социальных профилей, тестирование стейкинга и системы голосования. Разработка бета‑демо для инвесторов и государств.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Q2 2026:</w:t>
      </w:r>
      <w:r>
        <w:t xml:space="preserve"> </w:t>
      </w:r>
      <w:r>
        <w:t xml:space="preserve">расширение функционала: marketplace проектов, модуль PreSale, поддержка мультиязычности и мобильной версии. Масштабирование сети датчиков.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Q3 2026 и далее:</w:t>
      </w:r>
      <w:r>
        <w:t xml:space="preserve"> </w:t>
      </w:r>
      <w:r>
        <w:t xml:space="preserve">интеграция с государственными системами мониторинга, полная синхронизация с мобильными приложениями, внедрение ESG‑сертификации и углеродных кредитов.</w:t>
      </w:r>
    </w:p>
    <w:p>
      <w:pPr>
        <w:pStyle w:val="FirstParagraph"/>
      </w:pPr>
      <w:r>
        <w:t xml:space="preserve">Разработку следует вести гибко, ориентируясь на обратную связь сообщества и результаты тестирования. Цель — создать устойчивую, открыто управляемую платформу, которая станет стандартом для управления водными ресурсами в XXI веке.</w:t>
      </w:r>
    </w:p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3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World Faces 40% Shortfall in Freshwater Supply by 2030, Experts Warn Ahead of UN Water Conference | Earth.Org</w:t>
      </w:r>
    </w:p>
    <w:p>
      <w:pPr>
        <w:pStyle w:val="BodyText"/>
      </w:pPr>
      <w:hyperlink r:id="rId34">
        <w:r>
          <w:rPr>
            <w:rStyle w:val="Hyperlink"/>
          </w:rPr>
          <w:t xml:space="preserve">https://earth.org/freshwater-supply-shortage/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World leaders call for action on water | United Nations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https://www.un.org/id/desa/world-leaders-call-action-water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https://github.com/TimurSama/VODeco/blob/main/README.md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earth.org/freshwater-supply-shortage/" TargetMode="External" /><Relationship Type="http://schemas.openxmlformats.org/officeDocument/2006/relationships/hyperlink" Id="rId22" Target="https://earth.org/freshwater-supply-shortage/#:~:text=According%20to%20the%20World%20Health,income%20countries" TargetMode="External" /><Relationship Type="http://schemas.openxmlformats.org/officeDocument/2006/relationships/hyperlink" Id="rId36" Target="https://github.com/TimurSama/VODeco/blob/main/README.md" TargetMode="External" /><Relationship Type="http://schemas.openxmlformats.org/officeDocument/2006/relationships/hyperlink" Id="rId29" Target="https://github.com/TimurSama/VODeco/blob/main/README.md#L11-L20" TargetMode="External" /><Relationship Type="http://schemas.openxmlformats.org/officeDocument/2006/relationships/hyperlink" Id="rId35" Target="https://www.un.org/id/desa/world-leaders-call-action-water" TargetMode="External" /><Relationship Type="http://schemas.openxmlformats.org/officeDocument/2006/relationships/hyperlink" Id="rId23" Target="https://www.un.org/id/desa/world-leaders-call-action-water#:~:text=Currently%2C%20more%20than%20two%20billion,increasing%20effects%20of%20climate%20ch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arth.org/freshwater-supply-shortage/" TargetMode="External" /><Relationship Type="http://schemas.openxmlformats.org/officeDocument/2006/relationships/hyperlink" Id="rId22" Target="https://earth.org/freshwater-supply-shortage/#:~:text=According%20to%20the%20World%20Health,income%20countries" TargetMode="External" /><Relationship Type="http://schemas.openxmlformats.org/officeDocument/2006/relationships/hyperlink" Id="rId36" Target="https://github.com/TimurSama/VODeco/blob/main/README.md" TargetMode="External" /><Relationship Type="http://schemas.openxmlformats.org/officeDocument/2006/relationships/hyperlink" Id="rId29" Target="https://github.com/TimurSama/VODeco/blob/main/README.md#L11-L20" TargetMode="External" /><Relationship Type="http://schemas.openxmlformats.org/officeDocument/2006/relationships/hyperlink" Id="rId35" Target="https://www.un.org/id/desa/world-leaders-call-action-water" TargetMode="External" /><Relationship Type="http://schemas.openxmlformats.org/officeDocument/2006/relationships/hyperlink" Id="rId23" Target="https://www.un.org/id/desa/world-leaders-call-action-water#:~:text=Currently%2C%20more%20than%20two%20billion,increasing%20effects%20of%20climate%20ch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2025-09-29T16:38:44Z</dcterms:created>
  <dcterms:modified xsi:type="dcterms:W3CDTF">2025-09-29T16:38:44Z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