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Level Test Plan extract (IEEE 829-2008)</w:t>
      </w:r>
    </w:p>
    <w:p>
      <w:pPr>
        <w:spacing w:after="40"/>
      </w:pPr>
      <w:r>
        <w:rPr>
          <w:rFonts w:ascii="Times New Roman" w:hAnsi="Times New Roman"/>
          <w:b/>
          <w:sz w:val="22"/>
        </w:rPr>
        <w:t xml:space="preserve">Project: </w:t>
      </w:r>
      <w:r>
        <w:rPr>
          <w:rFonts w:ascii="Times New Roman" w:hAnsi="Times New Roman"/>
          <w:sz w:val="22"/>
        </w:rPr>
        <w:t>E-Commerce Platform for Selling and Promoting Handmade Products</w:t>
      </w:r>
    </w:p>
    <w:p>
      <w:pPr>
        <w:spacing w:after="40"/>
      </w:pPr>
      <w:r>
        <w:rPr>
          <w:rFonts w:ascii="Times New Roman" w:hAnsi="Times New Roman"/>
          <w:b/>
          <w:sz w:val="22"/>
        </w:rPr>
        <w:t xml:space="preserve">Requirements source: </w:t>
      </w:r>
      <w:r>
        <w:rPr>
          <w:rFonts w:ascii="Times New Roman" w:hAnsi="Times New Roman"/>
          <w:sz w:val="22"/>
        </w:rPr>
        <w:t>SRS version 1.0, approved 08.10.2026 (IEEE 830-1998)</w:t>
      </w:r>
    </w:p>
    <w:p>
      <w:pPr>
        <w:spacing w:after="40"/>
      </w:pPr>
      <w:r>
        <w:rPr>
          <w:rFonts w:ascii="Times New Roman" w:hAnsi="Times New Roman"/>
          <w:b/>
          <w:sz w:val="22"/>
        </w:rPr>
        <w:t xml:space="preserve">Test level: </w:t>
      </w:r>
      <w:r>
        <w:rPr>
          <w:rFonts w:ascii="Times New Roman" w:hAnsi="Times New Roman"/>
          <w:sz w:val="22"/>
        </w:rPr>
        <w:t>system test of the buyer journey on the local stack</w:t>
      </w:r>
    </w:p>
    <w:p>
      <w:pPr>
        <w:spacing w:after="40"/>
      </w:pPr>
      <w:r>
        <w:rPr>
          <w:rFonts w:ascii="Times New Roman" w:hAnsi="Times New Roman"/>
          <w:b/>
          <w:sz w:val="22"/>
        </w:rPr>
        <w:t xml:space="preserve">Scope of this extract: </w:t>
      </w:r>
      <w:r>
        <w:rPr>
          <w:rFonts w:ascii="Times New Roman" w:hAnsi="Times New Roman"/>
          <w:sz w:val="22"/>
        </w:rPr>
        <w:t>Features to be tested, Features not to be tested, Approach</w:t>
      </w:r>
    </w:p>
    <w:p>
      <w:r>
        <w:rPr>
          <w:rFonts w:ascii="Times New Roman" w:hAnsi="Times New Roman"/>
          <w:sz w:val="22"/>
        </w:rPr>
        <w:t>This run covers a small part of SRS section 4.1. It is not a full test of the SRS.</w:t>
      </w:r>
    </w:p>
    <w:p>
      <w:pPr>
        <w:pStyle w:val="Heading2"/>
      </w:pPr>
      <w:r>
        <w:t>Features to be tested</w:t>
      </w:r>
    </w:p>
    <w:p>
      <w:r>
        <w:rPr>
          <w:rFonts w:ascii="Times New Roman" w:hAnsi="Times New Roman"/>
          <w:sz w:val="22"/>
        </w:rPr>
        <w:t>Each feature is checked once, through the buyer web client, against the cited requirements. A feature passes when those checks succeed. Internal page models and upstream URLs are not inspected.</w:t>
      </w:r>
    </w:p>
    <w:tbl>
      <w:tblPr>
        <w:tblStyle w:val="TableGrid"/>
        <w:tblW w:type="auto" w:w="0"/>
        <w:jc w:val="center"/>
        <w:tblLayout w:type="fixed"/>
        <w:tblLook w:firstColumn="1" w:firstRow="1" w:lastColumn="0" w:lastRow="0" w:noHBand="0" w:noVBand="1" w:val="04A0"/>
      </w:tblPr>
      <w:tblGrid>
        <w:gridCol w:w="2018"/>
        <w:gridCol w:w="2018"/>
        <w:gridCol w:w="2018"/>
        <w:gridCol w:w="2018"/>
      </w:tblGrid>
      <w:tr>
        <w:tc>
          <w:tcPr>
            <w:tcW w:type="dxa" w:w="907"/>
            <w:shd w:fill="E7E6E6" w:val="clear"/>
          </w:tcPr>
          <w:p>
            <w:pPr>
              <w:spacing w:after="0" w:before="0"/>
            </w:pPr>
            <w:r/>
            <w:r>
              <w:rPr>
                <w:rFonts w:ascii="Times New Roman" w:hAnsi="Times New Roman"/>
                <w:b/>
                <w:sz w:val="18"/>
              </w:rPr>
              <w:t>ID</w:t>
            </w:r>
          </w:p>
        </w:tc>
        <w:tc>
          <w:tcPr>
            <w:tcW w:type="dxa" w:w="2041"/>
            <w:shd w:fill="E7E6E6" w:val="clear"/>
          </w:tcPr>
          <w:p>
            <w:pPr>
              <w:spacing w:after="0" w:before="0"/>
            </w:pPr>
            <w:r/>
            <w:r>
              <w:rPr>
                <w:rFonts w:ascii="Times New Roman" w:hAnsi="Times New Roman"/>
                <w:b/>
                <w:sz w:val="18"/>
              </w:rPr>
              <w:t>Feature</w:t>
            </w:r>
          </w:p>
        </w:tc>
        <w:tc>
          <w:tcPr>
            <w:tcW w:type="dxa" w:w="2381"/>
            <w:shd w:fill="E7E6E6" w:val="clear"/>
          </w:tcPr>
          <w:p>
            <w:pPr>
              <w:spacing w:after="0" w:before="0"/>
            </w:pPr>
            <w:r/>
            <w:r>
              <w:rPr>
                <w:rFonts w:ascii="Times New Roman" w:hAnsi="Times New Roman"/>
                <w:b/>
                <w:sz w:val="18"/>
              </w:rPr>
              <w:t>SRS</w:t>
            </w:r>
          </w:p>
        </w:tc>
        <w:tc>
          <w:tcPr>
            <w:tcW w:type="dxa" w:w="4649"/>
            <w:shd w:fill="E7E6E6" w:val="clear"/>
          </w:tcPr>
          <w:p>
            <w:pPr>
              <w:spacing w:after="0" w:before="0"/>
            </w:pPr>
            <w:r/>
            <w:r>
              <w:rPr>
                <w:rFonts w:ascii="Times New Roman" w:hAnsi="Times New Roman"/>
                <w:b/>
                <w:sz w:val="18"/>
              </w:rPr>
              <w:t>What is checked</w:t>
            </w:r>
          </w:p>
        </w:tc>
      </w:tr>
      <w:tr>
        <w:tc>
          <w:tcPr>
            <w:tcW w:type="dxa" w:w="907"/>
          </w:tcPr>
          <w:p>
            <w:pPr>
              <w:spacing w:after="0" w:before="0"/>
            </w:pPr>
            <w:r/>
            <w:r>
              <w:rPr>
                <w:rFonts w:ascii="Times New Roman" w:hAnsi="Times New Roman"/>
                <w:b w:val="0"/>
                <w:sz w:val="18"/>
              </w:rPr>
              <w:t>FT-01</w:t>
            </w:r>
          </w:p>
        </w:tc>
        <w:tc>
          <w:tcPr>
            <w:tcW w:type="dxa" w:w="2041"/>
          </w:tcPr>
          <w:p>
            <w:pPr>
              <w:spacing w:after="0" w:before="0"/>
            </w:pPr>
            <w:r/>
            <w:r>
              <w:rPr>
                <w:rFonts w:ascii="Times New Roman" w:hAnsi="Times New Roman"/>
                <w:b w:val="0"/>
                <w:sz w:val="18"/>
              </w:rPr>
              <w:t>Home publications and recommendations</w:t>
            </w:r>
          </w:p>
        </w:tc>
        <w:tc>
          <w:tcPr>
            <w:tcW w:type="dxa" w:w="2381"/>
          </w:tcPr>
          <w:p>
            <w:pPr>
              <w:spacing w:after="0" w:before="0"/>
            </w:pPr>
            <w:r/>
            <w:r>
              <w:rPr>
                <w:rFonts w:ascii="Times New Roman" w:hAnsi="Times New Roman"/>
                <w:b w:val="0"/>
                <w:sz w:val="18"/>
              </w:rPr>
              <w:t>4.1.2, REQ-4.1.2-04, REQ-4.1.2-06, REQ-4.1.2-07</w:t>
            </w:r>
          </w:p>
        </w:tc>
        <w:tc>
          <w:tcPr>
            <w:tcW w:type="dxa" w:w="4649"/>
          </w:tcPr>
          <w:p>
            <w:pPr>
              <w:spacing w:after="0" w:before="0"/>
            </w:pPr>
            <w:r/>
            <w:r>
              <w:rPr>
                <w:rFonts w:ascii="Times New Roman" w:hAnsi="Times New Roman"/>
                <w:b w:val="0"/>
                <w:sz w:val="18"/>
              </w:rPr>
              <w:t>The home page shows a publication section. For a signed-in buyer it shows a recommendation list. For an anonymous visitor the personal recommendation section is empty.</w:t>
            </w:r>
          </w:p>
        </w:tc>
      </w:tr>
      <w:tr>
        <w:tc>
          <w:tcPr>
            <w:tcW w:type="dxa" w:w="907"/>
          </w:tcPr>
          <w:p>
            <w:pPr>
              <w:spacing w:after="0" w:before="0"/>
            </w:pPr>
            <w:r/>
            <w:r>
              <w:rPr>
                <w:rFonts w:ascii="Times New Roman" w:hAnsi="Times New Roman"/>
                <w:b w:val="0"/>
                <w:sz w:val="18"/>
              </w:rPr>
              <w:t>FT-02</w:t>
            </w:r>
          </w:p>
        </w:tc>
        <w:tc>
          <w:tcPr>
            <w:tcW w:type="dxa" w:w="2041"/>
          </w:tcPr>
          <w:p>
            <w:pPr>
              <w:spacing w:after="0" w:before="0"/>
            </w:pPr>
            <w:r/>
            <w:r>
              <w:rPr>
                <w:rFonts w:ascii="Times New Roman" w:hAnsi="Times New Roman"/>
                <w:b w:val="0"/>
                <w:sz w:val="18"/>
              </w:rPr>
              <w:t>Publication feed and publication page</w:t>
            </w:r>
          </w:p>
        </w:tc>
        <w:tc>
          <w:tcPr>
            <w:tcW w:type="dxa" w:w="2381"/>
          </w:tcPr>
          <w:p>
            <w:pPr>
              <w:spacing w:after="0" w:before="0"/>
            </w:pPr>
            <w:r/>
            <w:r>
              <w:rPr>
                <w:rFonts w:ascii="Times New Roman" w:hAnsi="Times New Roman"/>
                <w:b w:val="0"/>
                <w:sz w:val="18"/>
              </w:rPr>
              <w:t>4.1.4, REQ-4.1.4-02, REQ-4.1.4-03, REQ-4.1.4-04, REQ-4.1.4-05</w:t>
            </w:r>
          </w:p>
        </w:tc>
        <w:tc>
          <w:tcPr>
            <w:tcW w:type="dxa" w:w="4649"/>
          </w:tcPr>
          <w:p>
            <w:pPr>
              <w:spacing w:after="0" w:before="0"/>
            </w:pPr>
            <w:r/>
            <w:r>
              <w:rPr>
                <w:rFonts w:ascii="Times New Roman" w:hAnsi="Times New Roman"/>
                <w:b w:val="0"/>
                <w:sz w:val="18"/>
              </w:rPr>
              <w:t>A feed card shows the title and the summary, not the full text. The publication page shows the content. An unknown publication id returns not found.</w:t>
            </w:r>
          </w:p>
        </w:tc>
      </w:tr>
      <w:tr>
        <w:tc>
          <w:tcPr>
            <w:tcW w:type="dxa" w:w="907"/>
          </w:tcPr>
          <w:p>
            <w:pPr>
              <w:spacing w:after="0" w:before="0"/>
            </w:pPr>
            <w:r/>
            <w:r>
              <w:rPr>
                <w:rFonts w:ascii="Times New Roman" w:hAnsi="Times New Roman"/>
                <w:b w:val="0"/>
                <w:sz w:val="18"/>
              </w:rPr>
              <w:t>FT-03</w:t>
            </w:r>
          </w:p>
        </w:tc>
        <w:tc>
          <w:tcPr>
            <w:tcW w:type="dxa" w:w="2041"/>
          </w:tcPr>
          <w:p>
            <w:pPr>
              <w:spacing w:after="0" w:before="0"/>
            </w:pPr>
            <w:r/>
            <w:r>
              <w:rPr>
                <w:rFonts w:ascii="Times New Roman" w:hAnsi="Times New Roman"/>
                <w:b w:val="0"/>
                <w:sz w:val="18"/>
              </w:rPr>
              <w:t>Product search</w:t>
            </w:r>
          </w:p>
        </w:tc>
        <w:tc>
          <w:tcPr>
            <w:tcW w:type="dxa" w:w="2381"/>
          </w:tcPr>
          <w:p>
            <w:pPr>
              <w:spacing w:after="0" w:before="0"/>
            </w:pPr>
            <w:r/>
            <w:r>
              <w:rPr>
                <w:rFonts w:ascii="Times New Roman" w:hAnsi="Times New Roman"/>
                <w:b w:val="0"/>
                <w:sz w:val="18"/>
              </w:rPr>
              <w:t>4.1.3, REQ-4.1.3-01, REQ-4.1.3-03</w:t>
            </w:r>
          </w:p>
        </w:tc>
        <w:tc>
          <w:tcPr>
            <w:tcW w:type="dxa" w:w="4649"/>
          </w:tcPr>
          <w:p>
            <w:pPr>
              <w:spacing w:after="0" w:before="0"/>
            </w:pPr>
            <w:r/>
            <w:r>
              <w:rPr>
                <w:rFonts w:ascii="Times New Roman" w:hAnsi="Times New Roman"/>
                <w:b w:val="0"/>
                <w:sz w:val="18"/>
              </w:rPr>
              <w:t>A text query returns product cards. A query that matches nothing returns an empty result, not an error page.</w:t>
            </w:r>
          </w:p>
        </w:tc>
      </w:tr>
      <w:tr>
        <w:tc>
          <w:tcPr>
            <w:tcW w:type="dxa" w:w="907"/>
          </w:tcPr>
          <w:p>
            <w:pPr>
              <w:spacing w:after="0" w:before="0"/>
            </w:pPr>
            <w:r/>
            <w:r>
              <w:rPr>
                <w:rFonts w:ascii="Times New Roman" w:hAnsi="Times New Roman"/>
                <w:b w:val="0"/>
                <w:sz w:val="18"/>
              </w:rPr>
              <w:t>FT-04</w:t>
            </w:r>
          </w:p>
        </w:tc>
        <w:tc>
          <w:tcPr>
            <w:tcW w:type="dxa" w:w="2041"/>
          </w:tcPr>
          <w:p>
            <w:pPr>
              <w:spacing w:after="0" w:before="0"/>
            </w:pPr>
            <w:r/>
            <w:r>
              <w:rPr>
                <w:rFonts w:ascii="Times New Roman" w:hAnsi="Times New Roman"/>
                <w:b w:val="0"/>
                <w:sz w:val="18"/>
              </w:rPr>
              <w:t>Product page</w:t>
            </w:r>
          </w:p>
        </w:tc>
        <w:tc>
          <w:tcPr>
            <w:tcW w:type="dxa" w:w="2381"/>
          </w:tcPr>
          <w:p>
            <w:pPr>
              <w:spacing w:after="0" w:before="0"/>
            </w:pPr>
            <w:r/>
            <w:r>
              <w:rPr>
                <w:rFonts w:ascii="Times New Roman" w:hAnsi="Times New Roman"/>
                <w:b w:val="0"/>
                <w:sz w:val="18"/>
              </w:rPr>
              <w:t>4.1.5, REQ-4.1.5-01, REQ-4.1.5-02, REQ-4.1.5-03</w:t>
            </w:r>
          </w:p>
        </w:tc>
        <w:tc>
          <w:tcPr>
            <w:tcW w:type="dxa" w:w="4649"/>
          </w:tcPr>
          <w:p>
            <w:pPr>
              <w:spacing w:after="0" w:before="0"/>
            </w:pPr>
            <w:r/>
            <w:r>
              <w:rPr>
                <w:rFonts w:ascii="Times New Roman" w:hAnsi="Times New Roman"/>
                <w:b w:val="0"/>
                <w:sz w:val="18"/>
              </w:rPr>
              <w:t>The page shows the title, description, price, image, and the master. An unknown product id returns not found, not an empty page.</w:t>
            </w:r>
          </w:p>
        </w:tc>
      </w:tr>
      <w:tr>
        <w:tc>
          <w:tcPr>
            <w:tcW w:type="dxa" w:w="907"/>
          </w:tcPr>
          <w:p>
            <w:pPr>
              <w:spacing w:after="0" w:before="0"/>
            </w:pPr>
            <w:r/>
            <w:r>
              <w:rPr>
                <w:rFonts w:ascii="Times New Roman" w:hAnsi="Times New Roman"/>
                <w:b w:val="0"/>
                <w:sz w:val="18"/>
              </w:rPr>
              <w:t>FT-05</w:t>
            </w:r>
          </w:p>
        </w:tc>
        <w:tc>
          <w:tcPr>
            <w:tcW w:type="dxa" w:w="2041"/>
          </w:tcPr>
          <w:p>
            <w:pPr>
              <w:spacing w:after="0" w:before="0"/>
            </w:pPr>
            <w:r/>
            <w:r>
              <w:rPr>
                <w:rFonts w:ascii="Times New Roman" w:hAnsi="Times New Roman"/>
                <w:b w:val="0"/>
                <w:sz w:val="18"/>
              </w:rPr>
              <w:t>Master profile</w:t>
            </w:r>
          </w:p>
        </w:tc>
        <w:tc>
          <w:tcPr>
            <w:tcW w:type="dxa" w:w="2381"/>
          </w:tcPr>
          <w:p>
            <w:pPr>
              <w:spacing w:after="0" w:before="0"/>
            </w:pPr>
            <w:r/>
            <w:r>
              <w:rPr>
                <w:rFonts w:ascii="Times New Roman" w:hAnsi="Times New Roman"/>
                <w:b w:val="0"/>
                <w:sz w:val="18"/>
              </w:rPr>
              <w:t>4.1.5, REQ-4.1.5-07</w:t>
            </w:r>
          </w:p>
        </w:tc>
        <w:tc>
          <w:tcPr>
            <w:tcW w:type="dxa" w:w="4649"/>
          </w:tcPr>
          <w:p>
            <w:pPr>
              <w:spacing w:after="0" w:before="0"/>
            </w:pPr>
            <w:r/>
            <w:r>
              <w:rPr>
                <w:rFonts w:ascii="Times New Roman" w:hAnsi="Times New Roman"/>
                <w:b w:val="0"/>
                <w:sz w:val="18"/>
              </w:rPr>
              <w:t>The master page lists that master’s products and publications.</w:t>
            </w:r>
          </w:p>
        </w:tc>
      </w:tr>
      <w:tr>
        <w:tc>
          <w:tcPr>
            <w:tcW w:type="dxa" w:w="907"/>
          </w:tcPr>
          <w:p>
            <w:pPr>
              <w:spacing w:after="0" w:before="0"/>
            </w:pPr>
            <w:r/>
            <w:r>
              <w:rPr>
                <w:rFonts w:ascii="Times New Roman" w:hAnsi="Times New Roman"/>
                <w:b w:val="0"/>
                <w:sz w:val="18"/>
              </w:rPr>
              <w:t>FT-06</w:t>
            </w:r>
          </w:p>
        </w:tc>
        <w:tc>
          <w:tcPr>
            <w:tcW w:type="dxa" w:w="2041"/>
          </w:tcPr>
          <w:p>
            <w:pPr>
              <w:spacing w:after="0" w:before="0"/>
            </w:pPr>
            <w:r/>
            <w:r>
              <w:rPr>
                <w:rFonts w:ascii="Times New Roman" w:hAnsi="Times New Roman"/>
                <w:b w:val="0"/>
                <w:sz w:val="18"/>
              </w:rPr>
              <w:t>Shopping cart</w:t>
            </w:r>
          </w:p>
        </w:tc>
        <w:tc>
          <w:tcPr>
            <w:tcW w:type="dxa" w:w="2381"/>
          </w:tcPr>
          <w:p>
            <w:pPr>
              <w:spacing w:after="0" w:before="0"/>
            </w:pPr>
            <w:r/>
            <w:r>
              <w:rPr>
                <w:rFonts w:ascii="Times New Roman" w:hAnsi="Times New Roman"/>
                <w:b w:val="0"/>
                <w:sz w:val="18"/>
              </w:rPr>
              <w:t>4.1.7, 4.1.10, REQ-4.1.7-04, REQ-4.1.7-05, REQ-4.1.10-02</w:t>
            </w:r>
          </w:p>
        </w:tc>
        <w:tc>
          <w:tcPr>
            <w:tcW w:type="dxa" w:w="4649"/>
          </w:tcPr>
          <w:p>
            <w:pPr>
              <w:spacing w:after="0" w:before="0"/>
            </w:pPr>
            <w:r/>
            <w:r>
              <w:rPr>
                <w:rFonts w:ascii="Times New Roman" w:hAnsi="Times New Roman"/>
                <w:b w:val="0"/>
                <w:sz w:val="18"/>
              </w:rPr>
              <w:t>Cart, quantity change, and line removal require a signed-in buyer. Removing one line, or changing its quantity, does not change the other line.</w:t>
            </w:r>
          </w:p>
        </w:tc>
      </w:tr>
      <w:tr>
        <w:tc>
          <w:tcPr>
            <w:tcW w:type="dxa" w:w="907"/>
          </w:tcPr>
          <w:p>
            <w:pPr>
              <w:spacing w:after="0" w:before="0"/>
            </w:pPr>
            <w:r/>
            <w:r>
              <w:rPr>
                <w:rFonts w:ascii="Times New Roman" w:hAnsi="Times New Roman"/>
                <w:b w:val="0"/>
                <w:sz w:val="18"/>
              </w:rPr>
              <w:t>FT-07</w:t>
            </w:r>
          </w:p>
        </w:tc>
        <w:tc>
          <w:tcPr>
            <w:tcW w:type="dxa" w:w="2041"/>
          </w:tcPr>
          <w:p>
            <w:pPr>
              <w:spacing w:after="0" w:before="0"/>
            </w:pPr>
            <w:r/>
            <w:r>
              <w:rPr>
                <w:rFonts w:ascii="Times New Roman" w:hAnsi="Times New Roman"/>
                <w:b w:val="0"/>
                <w:sz w:val="18"/>
              </w:rPr>
              <w:t>Pickup checkout and order history</w:t>
            </w:r>
          </w:p>
        </w:tc>
        <w:tc>
          <w:tcPr>
            <w:tcW w:type="dxa" w:w="2381"/>
          </w:tcPr>
          <w:p>
            <w:pPr>
              <w:spacing w:after="0" w:before="0"/>
            </w:pPr>
            <w:r/>
            <w:r>
              <w:rPr>
                <w:rFonts w:ascii="Times New Roman" w:hAnsi="Times New Roman"/>
                <w:b w:val="0"/>
                <w:sz w:val="18"/>
              </w:rPr>
              <w:t>4.1.8, 4.3, REQ-4.1.8-03, REQ-4.1.8-08, REQ-4.1.8-10, REQ-4.3-01</w:t>
            </w:r>
          </w:p>
        </w:tc>
        <w:tc>
          <w:tcPr>
            <w:tcW w:type="dxa" w:w="4649"/>
          </w:tcPr>
          <w:p>
            <w:pPr>
              <w:spacing w:after="0" w:before="0"/>
            </w:pPr>
            <w:r/>
            <w:r>
              <w:rPr>
                <w:rFonts w:ascii="Times New Roman" w:hAnsi="Times New Roman"/>
                <w:b w:val="0"/>
                <w:sz w:val="18"/>
              </w:rPr>
              <w:t>A signed-in buyer can place one pickup order. Payment may be the MVP stub: the order is created and then appears in the buyer’s order list. A real Safe Deal is not required.</w:t>
            </w:r>
          </w:p>
        </w:tc>
      </w:tr>
    </w:tbl>
    <w:p/>
    <w:p>
      <w:r>
        <w:rPr>
          <w:rFonts w:ascii="Times New Roman" w:hAnsi="Times New Roman"/>
          <w:sz w:val="22"/>
        </w:rPr>
        <w:t>FT-06 and FT-07 use a buyer session prepared in the test environment. How that session was created is not part of the feature.</w:t>
      </w:r>
    </w:p>
    <w:p>
      <w:pPr>
        <w:pStyle w:val="Heading2"/>
      </w:pPr>
      <w:r>
        <w:t>Features not to be tested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c>
          <w:tcPr>
            <w:tcW w:type="dxa" w:w="907"/>
            <w:shd w:fill="E7E6E6" w:val="clear"/>
          </w:tcPr>
          <w:p>
            <w:pPr>
              <w:spacing w:after="0" w:before="0"/>
            </w:pPr>
            <w:r/>
            <w:r>
              <w:rPr>
                <w:rFonts w:ascii="Times New Roman" w:hAnsi="Times New Roman"/>
                <w:b/>
                <w:sz w:val="18"/>
              </w:rPr>
              <w:t>ID</w:t>
            </w:r>
          </w:p>
        </w:tc>
        <w:tc>
          <w:tcPr>
            <w:tcW w:type="dxa" w:w="2381"/>
            <w:shd w:fill="E7E6E6" w:val="clear"/>
          </w:tcPr>
          <w:p>
            <w:pPr>
              <w:spacing w:after="0" w:before="0"/>
            </w:pPr>
            <w:r/>
            <w:r>
              <w:rPr>
                <w:rFonts w:ascii="Times New Roman" w:hAnsi="Times New Roman"/>
                <w:b/>
                <w:sz w:val="18"/>
              </w:rPr>
              <w:t>Feature or combination</w:t>
            </w:r>
          </w:p>
        </w:tc>
        <w:tc>
          <w:tcPr>
            <w:tcW w:type="dxa" w:w="2494"/>
            <w:shd w:fill="E7E6E6" w:val="clear"/>
          </w:tcPr>
          <w:p>
            <w:pPr>
              <w:spacing w:after="0" w:before="0"/>
            </w:pPr>
            <w:r/>
            <w:r>
              <w:rPr>
                <w:rFonts w:ascii="Times New Roman" w:hAnsi="Times New Roman"/>
                <w:b/>
                <w:sz w:val="18"/>
              </w:rPr>
              <w:t>SRS</w:t>
            </w:r>
          </w:p>
        </w:tc>
        <w:tc>
          <w:tcPr>
            <w:tcW w:type="dxa" w:w="4195"/>
            <w:shd w:fill="E7E6E6" w:val="clear"/>
          </w:tcPr>
          <w:p>
            <w:pPr>
              <w:spacing w:after="0" w:before="0"/>
            </w:pPr>
            <w:r/>
            <w:r>
              <w:rPr>
                <w:rFonts w:ascii="Times New Roman" w:hAnsi="Times New Roman"/>
                <w:b/>
                <w:sz w:val="18"/>
              </w:rPr>
              <w:t>Reason</w:t>
            </w:r>
          </w:p>
        </w:tc>
      </w:tr>
      <w:tr>
        <w:tc>
          <w:tcPr>
            <w:tcW w:type="dxa" w:w="907"/>
          </w:tcPr>
          <w:p>
            <w:pPr>
              <w:spacing w:after="0" w:before="0"/>
            </w:pPr>
            <w:r/>
            <w:r>
              <w:rPr>
                <w:rFonts w:ascii="Times New Roman" w:hAnsi="Times New Roman"/>
                <w:b w:val="0"/>
                <w:sz w:val="18"/>
              </w:rPr>
              <w:t>NT-01</w:t>
            </w:r>
          </w:p>
        </w:tc>
        <w:tc>
          <w:tcPr>
            <w:tcW w:type="dxa" w:w="2381"/>
          </w:tcPr>
          <w:p>
            <w:pPr>
              <w:spacing w:after="0" w:before="0"/>
            </w:pPr>
            <w:r/>
            <w:r>
              <w:rPr>
                <w:rFonts w:ascii="Times New Roman" w:hAnsi="Times New Roman"/>
                <w:b w:val="0"/>
                <w:sz w:val="18"/>
              </w:rPr>
              <w:t>Login and registration</w:t>
            </w:r>
          </w:p>
        </w:tc>
        <w:tc>
          <w:tcPr>
            <w:tcW w:type="dxa" w:w="2494"/>
          </w:tcPr>
          <w:p>
            <w:pPr>
              <w:spacing w:after="0" w:before="0"/>
            </w:pPr>
            <w:r/>
            <w:r>
              <w:rPr>
                <w:rFonts w:ascii="Times New Roman" w:hAnsi="Times New Roman"/>
                <w:b w:val="0"/>
                <w:sz w:val="18"/>
              </w:rPr>
              <w:t>B2C-10, B2C-11</w:t>
            </w:r>
          </w:p>
        </w:tc>
        <w:tc>
          <w:tcPr>
            <w:tcW w:type="dxa" w:w="4195"/>
          </w:tcPr>
          <w:p>
            <w:pPr>
              <w:spacing w:after="0" w:before="0"/>
            </w:pPr>
            <w:r/>
            <w:r>
              <w:rPr>
                <w:rFonts w:ascii="Times New Roman" w:hAnsi="Times New Roman"/>
                <w:b w:val="0"/>
                <w:sz w:val="18"/>
              </w:rPr>
              <w:t>The SRS delegates both to Yandex ID and does not specify an email and password form. The Yandex ID service is not available for this run, so authentication itself is not tested.</w:t>
            </w:r>
          </w:p>
        </w:tc>
      </w:tr>
      <w:tr>
        <w:tc>
          <w:tcPr>
            <w:tcW w:type="dxa" w:w="907"/>
          </w:tcPr>
          <w:p>
            <w:pPr>
              <w:spacing w:after="0" w:before="0"/>
            </w:pPr>
            <w:r/>
            <w:r>
              <w:rPr>
                <w:rFonts w:ascii="Times New Roman" w:hAnsi="Times New Roman"/>
                <w:b w:val="0"/>
                <w:sz w:val="18"/>
              </w:rPr>
              <w:t>NT-02</w:t>
            </w:r>
          </w:p>
        </w:tc>
        <w:tc>
          <w:tcPr>
            <w:tcW w:type="dxa" w:w="2381"/>
          </w:tcPr>
          <w:p>
            <w:pPr>
              <w:spacing w:after="0" w:before="0"/>
            </w:pPr>
            <w:r/>
            <w:r>
              <w:rPr>
                <w:rFonts w:ascii="Times New Roman" w:hAnsi="Times New Roman"/>
                <w:b w:val="0"/>
                <w:sz w:val="18"/>
              </w:rPr>
              <w:t>Seller workspace</w:t>
            </w:r>
          </w:p>
        </w:tc>
        <w:tc>
          <w:tcPr>
            <w:tcW w:type="dxa" w:w="2494"/>
          </w:tcPr>
          <w:p>
            <w:pPr>
              <w:spacing w:after="0" w:before="0"/>
            </w:pPr>
            <w:r/>
            <w:r>
              <w:rPr>
                <w:rFonts w:ascii="Times New Roman" w:hAnsi="Times New Roman"/>
                <w:b w:val="0"/>
                <w:sz w:val="18"/>
              </w:rPr>
              <w:t>4.2.1–4.2.10</w:t>
            </w:r>
          </w:p>
        </w:tc>
        <w:tc>
          <w:tcPr>
            <w:tcW w:type="dxa" w:w="4195"/>
          </w:tcPr>
          <w:p>
            <w:pPr>
              <w:spacing w:after="0" w:before="0"/>
            </w:pPr>
            <w:r/>
            <w:r>
              <w:rPr>
                <w:rFonts w:ascii="Times New Roman" w:hAnsi="Times New Roman"/>
                <w:b w:val="0"/>
                <w:sz w:val="18"/>
              </w:rPr>
              <w:t>Specified for the seller. This run is limited to the buyer journey in section 4.1.</w:t>
            </w:r>
          </w:p>
        </w:tc>
      </w:tr>
      <w:tr>
        <w:tc>
          <w:tcPr>
            <w:tcW w:type="dxa" w:w="907"/>
          </w:tcPr>
          <w:p>
            <w:pPr>
              <w:spacing w:after="0" w:before="0"/>
            </w:pPr>
            <w:r/>
            <w:r>
              <w:rPr>
                <w:rFonts w:ascii="Times New Roman" w:hAnsi="Times New Roman"/>
                <w:b w:val="0"/>
                <w:sz w:val="18"/>
              </w:rPr>
              <w:t>NT-03</w:t>
            </w:r>
          </w:p>
        </w:tc>
        <w:tc>
          <w:tcPr>
            <w:tcW w:type="dxa" w:w="2381"/>
          </w:tcPr>
          <w:p>
            <w:pPr>
              <w:spacing w:after="0" w:before="0"/>
            </w:pPr>
            <w:r/>
            <w:r>
              <w:rPr>
                <w:rFonts w:ascii="Times New Roman" w:hAnsi="Times New Roman"/>
                <w:b w:val="0"/>
                <w:sz w:val="18"/>
              </w:rPr>
              <w:t>Safe Deal after payment</w:t>
            </w:r>
          </w:p>
        </w:tc>
        <w:tc>
          <w:tcPr>
            <w:tcW w:type="dxa" w:w="2494"/>
          </w:tcPr>
          <w:p>
            <w:pPr>
              <w:spacing w:after="0" w:before="0"/>
            </w:pPr>
            <w:r/>
            <w:r>
              <w:rPr>
                <w:rFonts w:ascii="Times New Roman" w:hAnsi="Times New Roman"/>
                <w:b w:val="0"/>
                <w:sz w:val="18"/>
              </w:rPr>
              <w:t>4.3, from REQ-4.3-02 onward, except the buyer-visible order in FT-07</w:t>
            </w:r>
          </w:p>
        </w:tc>
        <w:tc>
          <w:tcPr>
            <w:tcW w:type="dxa" w:w="4195"/>
          </w:tcPr>
          <w:p>
            <w:pPr>
              <w:spacing w:after="0" w:before="0"/>
            </w:pPr>
            <w:r/>
            <w:r>
              <w:rPr>
                <w:rFonts w:ascii="Times New Roman" w:hAnsi="Times New Roman"/>
                <w:b w:val="0"/>
                <w:sz w:val="18"/>
              </w:rPr>
              <w:t>REQ-4.1.8-10 allows payment to be stubbed for the MVP. Deal creation, payout, cancellation, and refund are not run against YooKassa.</w:t>
            </w:r>
          </w:p>
        </w:tc>
      </w:tr>
      <w:tr>
        <w:tc>
          <w:tcPr>
            <w:tcW w:type="dxa" w:w="907"/>
          </w:tcPr>
          <w:p>
            <w:pPr>
              <w:spacing w:after="0" w:before="0"/>
            </w:pPr>
            <w:r/>
            <w:r>
              <w:rPr>
                <w:rFonts w:ascii="Times New Roman" w:hAnsi="Times New Roman"/>
                <w:b w:val="0"/>
                <w:sz w:val="18"/>
              </w:rPr>
              <w:t>NT-04</w:t>
            </w:r>
          </w:p>
        </w:tc>
        <w:tc>
          <w:tcPr>
            <w:tcW w:type="dxa" w:w="2381"/>
          </w:tcPr>
          <w:p>
            <w:pPr>
              <w:spacing w:after="0" w:before="0"/>
            </w:pPr>
            <w:r/>
            <w:r>
              <w:rPr>
                <w:rFonts w:ascii="Times New Roman" w:hAnsi="Times New Roman"/>
                <w:b w:val="0"/>
                <w:sz w:val="18"/>
              </w:rPr>
              <w:t>Seller fulfillment</w:t>
            </w:r>
          </w:p>
        </w:tc>
        <w:tc>
          <w:tcPr>
            <w:tcW w:type="dxa" w:w="2494"/>
          </w:tcPr>
          <w:p>
            <w:pPr>
              <w:spacing w:after="0" w:before="0"/>
            </w:pPr>
            <w:r/>
            <w:r>
              <w:rPr>
                <w:rFonts w:ascii="Times New Roman" w:hAnsi="Times New Roman"/>
                <w:b w:val="0"/>
                <w:sz w:val="18"/>
              </w:rPr>
              <w:t>REQ-4.3-04–REQ-4.3-09, 4.2.8</w:t>
            </w:r>
          </w:p>
        </w:tc>
        <w:tc>
          <w:tcPr>
            <w:tcW w:type="dxa" w:w="4195"/>
          </w:tcPr>
          <w:p>
            <w:pPr>
              <w:spacing w:after="0" w:before="0"/>
            </w:pPr>
            <w:r/>
            <w:r>
              <w:rPr>
                <w:rFonts w:ascii="Times New Roman" w:hAnsi="Times New Roman"/>
                <w:b w:val="0"/>
                <w:sz w:val="18"/>
              </w:rPr>
              <w:t>Stock confirmation, the pickup code, and payout are seller actions. They are outside this buyer run.</w:t>
            </w:r>
          </w:p>
        </w:tc>
      </w:tr>
      <w:tr>
        <w:tc>
          <w:tcPr>
            <w:tcW w:type="dxa" w:w="907"/>
          </w:tcPr>
          <w:p>
            <w:pPr>
              <w:spacing w:after="0" w:before="0"/>
            </w:pPr>
            <w:r/>
            <w:r>
              <w:rPr>
                <w:rFonts w:ascii="Times New Roman" w:hAnsi="Times New Roman"/>
                <w:b w:val="0"/>
                <w:sz w:val="18"/>
              </w:rPr>
              <w:t>NT-05</w:t>
            </w:r>
          </w:p>
        </w:tc>
        <w:tc>
          <w:tcPr>
            <w:tcW w:type="dxa" w:w="2381"/>
          </w:tcPr>
          <w:p>
            <w:pPr>
              <w:spacing w:after="0" w:before="0"/>
            </w:pPr>
            <w:r/>
            <w:r>
              <w:rPr>
                <w:rFonts w:ascii="Times New Roman" w:hAnsi="Times New Roman"/>
                <w:b w:val="0"/>
                <w:sz w:val="18"/>
              </w:rPr>
              <w:t>CDEK</w:t>
            </w:r>
          </w:p>
        </w:tc>
        <w:tc>
          <w:tcPr>
            <w:tcW w:type="dxa" w:w="2494"/>
          </w:tcPr>
          <w:p>
            <w:pPr>
              <w:spacing w:after="0" w:before="0"/>
            </w:pPr>
            <w:r/>
            <w:r>
              <w:rPr>
                <w:rFonts w:ascii="Times New Roman" w:hAnsi="Times New Roman"/>
                <w:b w:val="0"/>
                <w:sz w:val="18"/>
              </w:rPr>
              <w:t>2.4, 4.2.9</w:t>
            </w:r>
          </w:p>
        </w:tc>
        <w:tc>
          <w:tcPr>
            <w:tcW w:type="dxa" w:w="4195"/>
          </w:tcPr>
          <w:p>
            <w:pPr>
              <w:spacing w:after="0" w:before="0"/>
            </w:pPr>
            <w:r/>
            <w:r>
              <w:rPr>
                <w:rFonts w:ascii="Times New Roman" w:hAnsi="Times New Roman"/>
                <w:b w:val="0"/>
                <w:sz w:val="18"/>
              </w:rPr>
              <w:t>The SRS limits carrier integration to CDEK, and the seller-side configuration is still TBD. No shipment is created.</w:t>
            </w:r>
          </w:p>
        </w:tc>
      </w:tr>
      <w:tr>
        <w:tc>
          <w:tcPr>
            <w:tcW w:type="dxa" w:w="907"/>
          </w:tcPr>
          <w:p>
            <w:pPr>
              <w:spacing w:after="0" w:before="0"/>
            </w:pPr>
            <w:r/>
            <w:r>
              <w:rPr>
                <w:rFonts w:ascii="Times New Roman" w:hAnsi="Times New Roman"/>
                <w:b w:val="0"/>
                <w:sz w:val="18"/>
              </w:rPr>
              <w:t>NT-06</w:t>
            </w:r>
          </w:p>
        </w:tc>
        <w:tc>
          <w:tcPr>
            <w:tcW w:type="dxa" w:w="2381"/>
          </w:tcPr>
          <w:p>
            <w:pPr>
              <w:spacing w:after="0" w:before="0"/>
            </w:pPr>
            <w:r/>
            <w:r>
              <w:rPr>
                <w:rFonts w:ascii="Times New Roman" w:hAnsi="Times New Roman"/>
                <w:b w:val="0"/>
                <w:sz w:val="18"/>
              </w:rPr>
              <w:t>Subscriptions to masters</w:t>
            </w:r>
          </w:p>
        </w:tc>
        <w:tc>
          <w:tcPr>
            <w:tcW w:type="dxa" w:w="2494"/>
          </w:tcPr>
          <w:p>
            <w:pPr>
              <w:spacing w:after="0" w:before="0"/>
            </w:pPr>
            <w:r/>
            <w:r>
              <w:rPr>
                <w:rFonts w:ascii="Times New Roman" w:hAnsi="Times New Roman"/>
                <w:b w:val="0"/>
                <w:sz w:val="18"/>
              </w:rPr>
              <w:t>4.1.6</w:t>
            </w:r>
          </w:p>
        </w:tc>
        <w:tc>
          <w:tcPr>
            <w:tcW w:type="dxa" w:w="4195"/>
          </w:tcPr>
          <w:p>
            <w:pPr>
              <w:spacing w:after="0" w:before="0"/>
            </w:pPr>
            <w:r/>
            <w:r>
              <w:rPr>
                <w:rFonts w:ascii="Times New Roman" w:hAnsi="Times New Roman"/>
                <w:b w:val="0"/>
                <w:sz w:val="18"/>
              </w:rPr>
              <w:t>Specified, and left out for time.</w:t>
            </w:r>
          </w:p>
        </w:tc>
      </w:tr>
      <w:tr>
        <w:tc>
          <w:tcPr>
            <w:tcW w:type="dxa" w:w="907"/>
          </w:tcPr>
          <w:p>
            <w:pPr>
              <w:spacing w:after="0" w:before="0"/>
            </w:pPr>
            <w:r/>
            <w:r>
              <w:rPr>
                <w:rFonts w:ascii="Times New Roman" w:hAnsi="Times New Roman"/>
                <w:b w:val="0"/>
                <w:sz w:val="18"/>
              </w:rPr>
              <w:t>NT-07</w:t>
            </w:r>
          </w:p>
        </w:tc>
        <w:tc>
          <w:tcPr>
            <w:tcW w:type="dxa" w:w="2381"/>
          </w:tcPr>
          <w:p>
            <w:pPr>
              <w:spacing w:after="0" w:before="0"/>
            </w:pPr>
            <w:r/>
            <w:r>
              <w:rPr>
                <w:rFonts w:ascii="Times New Roman" w:hAnsi="Times New Roman"/>
                <w:b w:val="0"/>
                <w:sz w:val="18"/>
              </w:rPr>
              <w:t>Behavioral events</w:t>
            </w:r>
          </w:p>
        </w:tc>
        <w:tc>
          <w:tcPr>
            <w:tcW w:type="dxa" w:w="2494"/>
          </w:tcPr>
          <w:p>
            <w:pPr>
              <w:spacing w:after="0" w:before="0"/>
            </w:pPr>
            <w:r/>
            <w:r>
              <w:rPr>
                <w:rFonts w:ascii="Times New Roman" w:hAnsi="Times New Roman"/>
                <w:b w:val="0"/>
                <w:sz w:val="18"/>
              </w:rPr>
              <w:t>4.1.9, REQ-4.1.8-11</w:t>
            </w:r>
          </w:p>
        </w:tc>
        <w:tc>
          <w:tcPr>
            <w:tcW w:type="dxa" w:w="4195"/>
          </w:tcPr>
          <w:p>
            <w:pPr>
              <w:spacing w:after="0" w:before="0"/>
            </w:pPr>
            <w:r/>
            <w:r>
              <w:rPr>
                <w:rFonts w:ascii="Times New Roman" w:hAnsi="Times New Roman"/>
                <w:b w:val="0"/>
                <w:sz w:val="18"/>
              </w:rPr>
              <w:t>Views, search, cart, purchase, and subscribe events, and any effect on later recommendations, are not sent or checked.</w:t>
            </w:r>
          </w:p>
        </w:tc>
      </w:tr>
      <w:tr>
        <w:tc>
          <w:tcPr>
            <w:tcW w:type="dxa" w:w="907"/>
          </w:tcPr>
          <w:p>
            <w:pPr>
              <w:spacing w:after="0" w:before="0"/>
            </w:pPr>
            <w:r/>
            <w:r>
              <w:rPr>
                <w:rFonts w:ascii="Times New Roman" w:hAnsi="Times New Roman"/>
                <w:b w:val="0"/>
                <w:sz w:val="18"/>
              </w:rPr>
              <w:t>NT-08</w:t>
            </w:r>
          </w:p>
        </w:tc>
        <w:tc>
          <w:tcPr>
            <w:tcW w:type="dxa" w:w="2381"/>
          </w:tcPr>
          <w:p>
            <w:pPr>
              <w:spacing w:after="0" w:before="0"/>
            </w:pPr>
            <w:r/>
            <w:r>
              <w:rPr>
                <w:rFonts w:ascii="Times New Roman" w:hAnsi="Times New Roman"/>
                <w:b w:val="0"/>
                <w:sz w:val="18"/>
              </w:rPr>
              <w:t>Other home sections</w:t>
            </w:r>
          </w:p>
        </w:tc>
        <w:tc>
          <w:tcPr>
            <w:tcW w:type="dxa" w:w="2494"/>
          </w:tcPr>
          <w:p>
            <w:pPr>
              <w:spacing w:after="0" w:before="0"/>
            </w:pPr>
            <w:r/>
            <w:r>
              <w:rPr>
                <w:rFonts w:ascii="Times New Roman" w:hAnsi="Times New Roman"/>
                <w:b w:val="0"/>
                <w:sz w:val="18"/>
              </w:rPr>
              <w:t>REQ-4.1.2-02, REQ-4.1.2-03, REQ-4.1.2-05, REQ-4.1.2-09</w:t>
            </w:r>
          </w:p>
        </w:tc>
        <w:tc>
          <w:tcPr>
            <w:tcW w:type="dxa" w:w="4195"/>
          </w:tcPr>
          <w:p>
            <w:pPr>
              <w:spacing w:after="0" w:before="0"/>
            </w:pPr>
            <w:r/>
            <w:r>
              <w:rPr>
                <w:rFonts w:ascii="Times New Roman" w:hAnsi="Times New Roman"/>
                <w:b w:val="0"/>
                <w:sz w:val="18"/>
              </w:rPr>
              <w:t>Popular masters, new arrivals, categories, and the home title are not checked. FT-01 covers publications and recommendations only.</w:t>
            </w:r>
          </w:p>
        </w:tc>
      </w:tr>
      <w:tr>
        <w:tc>
          <w:tcPr>
            <w:tcW w:type="dxa" w:w="907"/>
          </w:tcPr>
          <w:p>
            <w:pPr>
              <w:spacing w:after="0" w:before="0"/>
            </w:pPr>
            <w:r/>
            <w:r>
              <w:rPr>
                <w:rFonts w:ascii="Times New Roman" w:hAnsi="Times New Roman"/>
                <w:b w:val="0"/>
                <w:sz w:val="18"/>
              </w:rPr>
              <w:t>NT-09</w:t>
            </w:r>
          </w:p>
        </w:tc>
        <w:tc>
          <w:tcPr>
            <w:tcW w:type="dxa" w:w="2381"/>
          </w:tcPr>
          <w:p>
            <w:pPr>
              <w:spacing w:after="0" w:before="0"/>
            </w:pPr>
            <w:r/>
            <w:r>
              <w:rPr>
                <w:rFonts w:ascii="Times New Roman" w:hAnsi="Times New Roman"/>
                <w:b w:val="0"/>
                <w:sz w:val="18"/>
              </w:rPr>
              <w:t>Search facets and search failure</w:t>
            </w:r>
          </w:p>
        </w:tc>
        <w:tc>
          <w:tcPr>
            <w:tcW w:type="dxa" w:w="2494"/>
          </w:tcPr>
          <w:p>
            <w:pPr>
              <w:spacing w:after="0" w:before="0"/>
            </w:pPr>
            <w:r/>
            <w:r>
              <w:rPr>
                <w:rFonts w:ascii="Times New Roman" w:hAnsi="Times New Roman"/>
                <w:b w:val="0"/>
                <w:sz w:val="18"/>
              </w:rPr>
              <w:t>REQ-4.1.3-02, REQ-4.1.3-06</w:t>
            </w:r>
          </w:p>
        </w:tc>
        <w:tc>
          <w:tcPr>
            <w:tcW w:type="dxa" w:w="4195"/>
          </w:tcPr>
          <w:p>
            <w:pPr>
              <w:spacing w:after="0" w:before="0"/>
            </w:pPr>
            <w:r/>
            <w:r>
              <w:rPr>
                <w:rFonts w:ascii="Times New Roman" w:hAnsi="Times New Roman"/>
                <w:b w:val="0"/>
                <w:sz w:val="18"/>
              </w:rPr>
              <w:t>Facet counts and the “search unavailable” state are not provoked.</w:t>
            </w:r>
          </w:p>
        </w:tc>
      </w:tr>
      <w:tr>
        <w:tc>
          <w:tcPr>
            <w:tcW w:type="dxa" w:w="907"/>
          </w:tcPr>
          <w:p>
            <w:pPr>
              <w:spacing w:after="0" w:before="0"/>
            </w:pPr>
            <w:r/>
            <w:r>
              <w:rPr>
                <w:rFonts w:ascii="Times New Roman" w:hAnsi="Times New Roman"/>
                <w:b w:val="0"/>
                <w:sz w:val="18"/>
              </w:rPr>
              <w:t>NT-10</w:t>
            </w:r>
          </w:p>
        </w:tc>
        <w:tc>
          <w:tcPr>
            <w:tcW w:type="dxa" w:w="2381"/>
          </w:tcPr>
          <w:p>
            <w:pPr>
              <w:spacing w:after="0" w:before="0"/>
            </w:pPr>
            <w:r/>
            <w:r>
              <w:rPr>
                <w:rFonts w:ascii="Times New Roman" w:hAnsi="Times New Roman"/>
                <w:b w:val="0"/>
                <w:sz w:val="18"/>
              </w:rPr>
              <w:t>Degraded sections</w:t>
            </w:r>
          </w:p>
        </w:tc>
        <w:tc>
          <w:tcPr>
            <w:tcW w:type="dxa" w:w="2494"/>
          </w:tcPr>
          <w:p>
            <w:pPr>
              <w:spacing w:after="0" w:before="0"/>
            </w:pPr>
            <w:r/>
            <w:r>
              <w:rPr>
                <w:rFonts w:ascii="Times New Roman" w:hAnsi="Times New Roman"/>
                <w:b w:val="0"/>
                <w:sz w:val="18"/>
              </w:rPr>
              <w:t>REQ-4.1.2-08, REQ-4.1.4-06, 4.1.11</w:t>
            </w:r>
          </w:p>
        </w:tc>
        <w:tc>
          <w:tcPr>
            <w:tcW w:type="dxa" w:w="4195"/>
          </w:tcPr>
          <w:p>
            <w:pPr>
              <w:spacing w:after="0" w:before="0"/>
            </w:pPr>
            <w:r/>
            <w:r>
              <w:rPr>
                <w:rFonts w:ascii="Times New Roman" w:hAnsi="Times New Roman"/>
                <w:b w:val="0"/>
                <w:sz w:val="18"/>
              </w:rPr>
              <w:t>A downed Gorse, goods, or search service is not provoked. Timeouts and retries are not measured.</w:t>
            </w:r>
          </w:p>
        </w:tc>
      </w:tr>
      <w:tr>
        <w:tc>
          <w:tcPr>
            <w:tcW w:type="dxa" w:w="907"/>
          </w:tcPr>
          <w:p>
            <w:pPr>
              <w:spacing w:after="0" w:before="0"/>
            </w:pPr>
            <w:r/>
            <w:r>
              <w:rPr>
                <w:rFonts w:ascii="Times New Roman" w:hAnsi="Times New Roman"/>
                <w:b w:val="0"/>
                <w:sz w:val="18"/>
              </w:rPr>
              <w:t>NT-11</w:t>
            </w:r>
          </w:p>
        </w:tc>
        <w:tc>
          <w:tcPr>
            <w:tcW w:type="dxa" w:w="2381"/>
          </w:tcPr>
          <w:p>
            <w:pPr>
              <w:spacing w:after="0" w:before="0"/>
            </w:pPr>
            <w:r/>
            <w:r>
              <w:rPr>
                <w:rFonts w:ascii="Times New Roman" w:hAnsi="Times New Roman"/>
                <w:b w:val="0"/>
                <w:sz w:val="18"/>
              </w:rPr>
              <w:t>Non-functional requirements</w:t>
            </w:r>
          </w:p>
        </w:tc>
        <w:tc>
          <w:tcPr>
            <w:tcW w:type="dxa" w:w="2494"/>
          </w:tcPr>
          <w:p>
            <w:pPr>
              <w:spacing w:after="0" w:before="0"/>
            </w:pPr>
            <w:r/>
            <w:r>
              <w:rPr>
                <w:rFonts w:ascii="Times New Roman" w:hAnsi="Times New Roman"/>
                <w:b w:val="0"/>
                <w:sz w:val="18"/>
              </w:rPr>
              <w:t>4.1.12, section 5</w:t>
            </w:r>
          </w:p>
        </w:tc>
        <w:tc>
          <w:tcPr>
            <w:tcW w:type="dxa" w:w="4195"/>
          </w:tcPr>
          <w:p>
            <w:pPr>
              <w:spacing w:after="0" w:before="0"/>
            </w:pPr>
            <w:r/>
            <w:r>
              <w:rPr>
                <w:rFonts w:ascii="Times New Roman" w:hAnsi="Times New Roman"/>
                <w:b w:val="0"/>
                <w:sz w:val="18"/>
              </w:rPr>
              <w:t>Performance, safety, security, and the OpenAPI latency target are out of this run. One desktop browser is used.</w:t>
            </w:r>
          </w:p>
        </w:tc>
      </w:tr>
      <w:tr>
        <w:tc>
          <w:tcPr>
            <w:tcW w:type="dxa" w:w="907"/>
          </w:tcPr>
          <w:p>
            <w:pPr>
              <w:spacing w:after="0" w:before="0"/>
            </w:pPr>
            <w:r/>
            <w:r>
              <w:rPr>
                <w:rFonts w:ascii="Times New Roman" w:hAnsi="Times New Roman"/>
                <w:b w:val="0"/>
                <w:sz w:val="18"/>
              </w:rPr>
              <w:t>NT-12</w:t>
            </w:r>
          </w:p>
        </w:tc>
        <w:tc>
          <w:tcPr>
            <w:tcW w:type="dxa" w:w="2381"/>
          </w:tcPr>
          <w:p>
            <w:pPr>
              <w:spacing w:after="0" w:before="0"/>
            </w:pPr>
            <w:r/>
            <w:r>
              <w:rPr>
                <w:rFonts w:ascii="Times New Roman" w:hAnsi="Times New Roman"/>
                <w:b w:val="0"/>
                <w:sz w:val="18"/>
              </w:rPr>
              <w:t>Administrators and moderators</w:t>
            </w:r>
          </w:p>
        </w:tc>
        <w:tc>
          <w:tcPr>
            <w:tcW w:type="dxa" w:w="2494"/>
          </w:tcPr>
          <w:p>
            <w:pPr>
              <w:spacing w:after="0" w:before="0"/>
            </w:pPr>
            <w:r/>
            <w:r>
              <w:rPr>
                <w:rFonts w:ascii="Times New Roman" w:hAnsi="Times New Roman"/>
                <w:b w:val="0"/>
                <w:sz w:val="18"/>
              </w:rPr>
              <w:t>1.1, TBD-2</w:t>
            </w:r>
          </w:p>
        </w:tc>
        <w:tc>
          <w:tcPr>
            <w:tcW w:type="dxa" w:w="4195"/>
          </w:tcPr>
          <w:p>
            <w:pPr>
              <w:spacing w:after="0" w:before="0"/>
            </w:pPr>
            <w:r/>
            <w:r>
              <w:rPr>
                <w:rFonts w:ascii="Times New Roman" w:hAnsi="Times New Roman"/>
                <w:b w:val="0"/>
                <w:sz w:val="18"/>
              </w:rPr>
              <w:t>Deferred by the SRS to a separate specification.</w:t>
            </w:r>
          </w:p>
        </w:tc>
      </w:tr>
    </w:tbl>
    <w:p/>
    <w:p>
      <w:pPr>
        <w:pStyle w:val="Heading2"/>
      </w:pPr>
      <w:r>
        <w:t>Approach</w:t>
      </w:r>
    </w:p>
    <w:p>
      <w:r>
        <w:rPr>
          <w:rFonts w:ascii="Times New Roman" w:hAnsi="Times New Roman"/>
          <w:b/>
          <w:sz w:val="22"/>
        </w:rPr>
        <w:t xml:space="preserve">Level and style. </w:t>
      </w:r>
      <w:r>
        <w:rPr>
          <w:rFonts w:ascii="Times New Roman" w:hAnsi="Times New Roman"/>
          <w:b w:val="0"/>
          <w:sz w:val="22"/>
        </w:rPr>
        <w:t>System test of release 1.0 as specified in the SRS. The test item is the buyer web client on the local stack. The buyer-visible scenarios are manual. The existing unit tests are run first. No new automated suite is written for this run.</w:t>
      </w:r>
    </w:p>
    <w:p>
      <w:r>
        <w:rPr>
          <w:rFonts w:ascii="Times New Roman" w:hAnsi="Times New Roman"/>
          <w:b/>
          <w:sz w:val="22"/>
        </w:rPr>
        <w:t xml:space="preserve">Activities. </w:t>
      </w:r>
      <w:r>
        <w:rPr>
          <w:rFonts w:ascii="Times New Roman" w:hAnsi="Times New Roman"/>
          <w:b w:val="0"/>
          <w:sz w:val="22"/>
        </w:rPr>
        <w:t>One tester runs each feature once.</w:t>
      </w:r>
    </w:p>
    <w:p>
      <w:pPr>
        <w:pStyle w:val="ListNumber"/>
      </w:pPr>
      <w:r>
        <w:rPr>
          <w:rFonts w:ascii="Times New Roman" w:hAnsi="Times New Roman"/>
          <w:sz w:val="22"/>
        </w:rPr>
        <w:t>Start the local stack, including the storefront, the buyer API, catalogue, publications, and search. Leave the payment stub enabled, as allowed by REQ-4.1.8-10.</w:t>
      </w:r>
    </w:p>
    <w:p>
      <w:pPr>
        <w:pStyle w:val="ListNumber"/>
      </w:pPr>
      <w:r>
        <w:rPr>
          <w:rFonts w:ascii="Times New Roman" w:hAnsi="Times New Roman"/>
          <w:sz w:val="22"/>
        </w:rPr>
        <w:t>Prepare one signed-in buyer and one master who already has a product and a publication. Do not create that session through Yandex ID.</w:t>
      </w:r>
    </w:p>
    <w:p>
      <w:pPr>
        <w:pStyle w:val="ListNumber"/>
      </w:pPr>
      <w:r>
        <w:rPr>
          <w:rFonts w:ascii="Times New Roman" w:hAnsi="Times New Roman"/>
          <w:sz w:val="22"/>
        </w:rPr>
        <w:t>Walk the scenario in the browser: open the page, submit the action, and read the next page.</w:t>
      </w:r>
    </w:p>
    <w:p>
      <w:pPr>
        <w:pStyle w:val="ListNumber"/>
      </w:pPr>
      <w:r>
        <w:rPr>
          <w:rFonts w:ascii="Times New Roman" w:hAnsi="Times New Roman"/>
          <w:sz w:val="22"/>
        </w:rPr>
        <w:t>Compare the screen with the requirement cited for that feature. For FT-02 and FT-04, also request the unknown id and confirm not found.</w:t>
      </w:r>
    </w:p>
    <w:p>
      <w:pPr>
        <w:pStyle w:val="ListNumber"/>
      </w:pPr>
      <w:r>
        <w:rPr>
          <w:rFonts w:ascii="Times New Roman" w:hAnsi="Times New Roman"/>
          <w:sz w:val="22"/>
        </w:rPr>
        <w:t>Fail the feature if the required content is missing, the wrong page is shown, or a cited error is not returned. Behavior that the SRS does not require for that feature does not fail it.</w:t>
      </w:r>
    </w:p>
    <w:p>
      <w:pPr>
        <w:pStyle w:val="ListNumber"/>
      </w:pPr>
      <w:r>
        <w:rPr>
          <w:rFonts w:ascii="Times New Roman" w:hAnsi="Times New Roman"/>
          <w:sz w:val="22"/>
        </w:rPr>
        <w:t>If the stack or the payment stub is down, suspend that scenario and resume it when the service is back. Do not replace the stub with a live YooKassa shop.</w:t>
      </w:r>
    </w:p>
    <w:p>
      <w:r>
        <w:rPr>
          <w:rFonts w:ascii="Times New Roman" w:hAnsi="Times New Roman"/>
          <w:b/>
          <w:sz w:val="22"/>
        </w:rPr>
        <w:t xml:space="preserve">Unit tests. </w:t>
      </w:r>
      <w:r>
        <w:rPr>
          <w:rFonts w:ascii="Times New Roman" w:hAnsi="Times New Roman"/>
          <w:b w:val="0"/>
          <w:sz w:val="22"/>
        </w:rPr>
        <w:t>Before the manual scenarios, run the existing pytest unit suite in ecom-platform-B2C/tests/unit once. It covers cart totals, the publication cursor and post mapping, the search-document price, order status transitions, and which events count as recommendation feedback. Run the order-service unit tests in sem-ecom-platform/services/orders_service/test as well. They mock the payment provider and do not replace the stubbed checkout in FT-07. The storefront has no unit tests. If a unit test that supports FT-02, FT-03, FT-06, or FT-07 fails, suspend that feature until the failure is understood. A passing unit suite does not pass the feature.</w:t>
      </w:r>
    </w:p>
    <w:p>
      <w:r>
        <w:rPr>
          <w:rFonts w:ascii="Times New Roman" w:hAnsi="Times New Roman"/>
          <w:b/>
          <w:sz w:val="22"/>
        </w:rPr>
        <w:t xml:space="preserve">Tools. </w:t>
      </w:r>
      <w:r>
        <w:rPr>
          <w:rFonts w:ascii="Times New Roman" w:hAnsi="Times New Roman"/>
          <w:b w:val="0"/>
          <w:sz w:val="22"/>
        </w:rPr>
        <w:t>One desktop browser, pytest for the suites above, and the local compose stack.</w:t>
      </w:r>
    </w:p>
    <w:p>
      <w:r>
        <w:rPr>
          <w:rFonts w:ascii="Times New Roman" w:hAnsi="Times New Roman"/>
          <w:b/>
          <w:sz w:val="22"/>
        </w:rPr>
        <w:t xml:space="preserve">Coverage. </w:t>
      </w:r>
      <w:r>
        <w:rPr>
          <w:rFonts w:ascii="Times New Roman" w:hAnsi="Times New Roman"/>
          <w:sz w:val="22"/>
        </w:rPr>
        <w:t>Each feature has one positive path. FT-01 also compares the signed-in and anonymous recommendation sections. FT-02 and FT-04 include the not-found case. FT-06 uses two cart lines. No other combinations are required.</w:t>
      </w:r>
    </w:p>
    <w:p>
      <w:r>
        <w:rPr>
          <w:rFonts w:ascii="Times New Roman" w:hAnsi="Times New Roman"/>
          <w:b/>
          <w:sz w:val="22"/>
        </w:rPr>
        <w:t xml:space="preserve">Constraints. </w:t>
      </w:r>
      <w:r>
        <w:rPr>
          <w:rFonts w:ascii="Times New Roman" w:hAnsi="Times New Roman"/>
          <w:sz w:val="22"/>
        </w:rPr>
        <w:t>Time limits the run to FT-01–FT-07. Results apply to this local stack only.</w:t>
      </w:r>
    </w:p>
    <w:p>
      <w:r>
        <w:rPr>
          <w:rFonts w:ascii="Times New Roman" w:hAnsi="Times New Roman"/>
          <w:b/>
          <w:sz w:val="22"/>
        </w:rPr>
        <w:t xml:space="preserve">Traceability. </w:t>
      </w:r>
      <w:r>
        <w:rPr>
          <w:rFonts w:ascii="Times New Roman" w:hAnsi="Times New Roman"/>
          <w:b w:val="0"/>
          <w:sz w:val="22"/>
        </w:rPr>
        <w:t>FT-01–FT-07 trace to the SRS identifiers in the table above.</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