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of features. The features are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14:paraId="00000015">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900488" cy="2653177"/>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14:paraId="0000001F">
      <w:pPr>
        <w:pStyle w:val="Heading2"/>
        <w:contextualSpacing w:val="0"/>
        <w:rPr/>
      </w:pPr>
      <w:bookmarkStart w:colFirst="0" w:colLast="0" w:name="_ql80hcsttsll" w:id="10"/>
      <w:bookmarkEnd w:id="10"/>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p25roaedb85s" w:id="11"/>
      <w:bookmarkEnd w:id="11"/>
      <w:r w:rsidDel="00000000" w:rsidR="00000000" w:rsidRPr="00000000">
        <w:rPr>
          <w:rtl w:val="0"/>
        </w:rPr>
        <w:t xml:space="preserve">Feature Selection</w:t>
      </w:r>
    </w:p>
    <w:p w:rsidR="00000000" w:rsidDel="00000000" w:rsidP="00000000" w:rsidRDefault="00000000" w:rsidRPr="00000000" w14:paraId="00000021">
      <w:pPr>
        <w:contextualSpacing w:val="0"/>
        <w:rPr/>
      </w:pPr>
      <w:r w:rsidDel="00000000" w:rsidR="00000000" w:rsidRPr="00000000">
        <w:rPr>
          <w:rtl w:val="0"/>
        </w:rPr>
        <w:tab/>
        <w:t xml:space="preserve">We choose Gender and Estimated Salary as our features of interest due to their correlative significance. We can see from Figure 3 that Age and estimated Salary both provide a distinct segmentation on the correlation where we see two very distinct groupings. This is also apparent when compared with User ID but becomes ambiguous and not as distinct. Age and Estimated Salary are good features to use for deployment as the characteristics are viable for the ad deployment. As we have seen from the EDA, users of certain age groups and estimated salaries are likely to make purchases. </w:t>
      </w: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jb5127fv82uh" w:id="12"/>
      <w:bookmarkEnd w:id="12"/>
      <w:r w:rsidDel="00000000" w:rsidR="00000000" w:rsidRPr="00000000">
        <w:rPr>
          <w:rtl w:val="0"/>
        </w:rPr>
        <w:t xml:space="preserve">Model Selection</w:t>
      </w:r>
    </w:p>
    <w:p w:rsidR="00000000" w:rsidDel="00000000" w:rsidP="00000000" w:rsidRDefault="00000000" w:rsidRPr="00000000" w14:paraId="00000023">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Metrics that will be observed are the classification reports as well as the AUC scores of the ROC curves. The ROC curves provide a good visual performance metric as to the performance of the model and it’s predictive capabilities. The AUC provides the value for the ROC and range between 0.867 and 0.952 which relates that our models have fairly good predictive measures overall. The deterministic feature would be the goals of the client and how they would like to use the predictive metrics provided. </w:t>
      </w:r>
      <w:r w:rsidDel="00000000" w:rsidR="00000000" w:rsidRPr="00000000">
        <w:rPr>
          <w:rtl w:val="0"/>
        </w:rPr>
      </w:r>
    </w:p>
    <w:p w:rsidR="00000000" w:rsidDel="00000000" w:rsidP="00000000" w:rsidRDefault="00000000" w:rsidRPr="00000000" w14:paraId="00000024">
      <w:pPr>
        <w:pStyle w:val="Heading1"/>
        <w:contextualSpacing w:val="0"/>
        <w:jc w:val="left"/>
        <w:rPr/>
      </w:pPr>
      <w:bookmarkStart w:colFirst="0" w:colLast="0" w:name="_5q91wnwuyyi2" w:id="13"/>
      <w:bookmarkEnd w:id="13"/>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jc w:val="left"/>
        <w:rPr/>
      </w:pPr>
      <w:bookmarkStart w:colFirst="0" w:colLast="0" w:name="_pru2ou1254xx" w:id="14"/>
      <w:bookmarkEnd w:id="14"/>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pStyle w:val="Heading1"/>
        <w:contextualSpacing w:val="0"/>
        <w:jc w:val="left"/>
        <w:rPr/>
      </w:pPr>
      <w:bookmarkStart w:colFirst="0" w:colLast="0" w:name="_vj4co5w5olm2" w:id="15"/>
      <w:bookmarkEnd w:id="15"/>
      <w:r w:rsidDel="00000000" w:rsidR="00000000" w:rsidRPr="00000000">
        <w:rPr>
          <w:rtl w:val="0"/>
        </w:rPr>
      </w:r>
    </w:p>
    <w:p w:rsidR="00000000" w:rsidDel="00000000" w:rsidP="00000000" w:rsidRDefault="00000000" w:rsidRPr="00000000" w14:paraId="0000002A">
      <w:pPr>
        <w:pStyle w:val="Heading1"/>
        <w:contextualSpacing w:val="0"/>
        <w:jc w:val="left"/>
        <w:rPr/>
      </w:pPr>
      <w:bookmarkStart w:colFirst="0" w:colLast="0" w:name="_ddt5asouzdhf" w:id="16"/>
      <w:bookmarkEnd w:id="16"/>
      <w:r w:rsidDel="00000000" w:rsidR="00000000" w:rsidRPr="00000000">
        <w:rPr>
          <w:rtl w:val="0"/>
        </w:rPr>
      </w:r>
    </w:p>
    <w:p w:rsidR="00000000" w:rsidDel="00000000" w:rsidP="00000000" w:rsidRDefault="00000000" w:rsidRPr="00000000" w14:paraId="0000002B">
      <w:pPr>
        <w:pStyle w:val="Heading1"/>
        <w:contextualSpacing w:val="0"/>
        <w:jc w:val="left"/>
        <w:rPr>
          <w:rFonts w:ascii="Arial" w:cs="Arial" w:eastAsia="Arial" w:hAnsi="Arial"/>
          <w:sz w:val="22"/>
          <w:szCs w:val="22"/>
        </w:rPr>
      </w:pPr>
      <w:bookmarkStart w:colFirst="0" w:colLast="0" w:name="_9wot101ywqqb" w:id="17"/>
      <w:bookmarkEnd w:id="17"/>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C">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pStyle w:val="Heading1"/>
        <w:contextualSpacing w:val="0"/>
        <w:jc w:val="left"/>
        <w:rPr/>
      </w:pPr>
      <w:bookmarkStart w:colFirst="0" w:colLast="0" w:name="_obdjf9d3gz8" w:id="18"/>
      <w:bookmarkEnd w:id="18"/>
      <w:r w:rsidDel="00000000" w:rsidR="00000000" w:rsidRPr="00000000">
        <w:rPr>
          <w:rtl w:val="0"/>
        </w:rPr>
        <w:t xml:space="preserve">Results</w:t>
      </w:r>
    </w:p>
    <w:p w:rsidR="00000000" w:rsidDel="00000000" w:rsidP="00000000" w:rsidRDefault="00000000" w:rsidRPr="00000000" w14:paraId="0000002F">
      <w:pPr>
        <w:ind w:firstLine="720"/>
        <w:contextualSpacing w:val="0"/>
        <w:rPr>
          <w:rFonts w:ascii="Arial" w:cs="Arial" w:eastAsia="Arial" w:hAnsi="Arial"/>
          <w:sz w:val="22"/>
          <w:szCs w:val="22"/>
        </w:rPr>
      </w:pPr>
      <w:r w:rsidDel="00000000" w:rsidR="00000000" w:rsidRPr="00000000">
        <w:rPr>
          <w:rtl w:val="0"/>
        </w:rPr>
        <w:t xml:space="preserve">The findings of the models are as follows:</w:t>
      </w:r>
      <w:r w:rsidDel="00000000" w:rsidR="00000000" w:rsidRPr="00000000">
        <w:rPr>
          <w:rtl w:val="0"/>
        </w:rPr>
      </w:r>
    </w:p>
    <w:tbl>
      <w:tblPr>
        <w:tblStyle w:val="Table1"/>
        <w:tblW w:w="12045.0" w:type="dxa"/>
        <w:jc w:val="left"/>
        <w:tblInd w:w="-110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985"/>
        <w:gridCol w:w="1740"/>
        <w:gridCol w:w="1740"/>
        <w:gridCol w:w="1740"/>
        <w:gridCol w:w="1740"/>
        <w:gridCol w:w="2100"/>
        <w:tblGridChange w:id="0">
          <w:tblGrid>
            <w:gridCol w:w="2985"/>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72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Logreg with GSCV and params</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6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Elastic Net</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(n=8)</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0.906</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r w:rsidDel="00000000" w:rsidR="00000000" w:rsidRPr="00000000">
              <w:rPr>
                <w:rtl w:val="0"/>
              </w:rPr>
            </w:r>
          </w:p>
        </w:tc>
        <w:tc>
          <w:tcPr>
            <w:shd w:fill="c9daf8"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0.943</w:t>
            </w:r>
          </w:p>
        </w:tc>
      </w:tr>
      <w:tr>
        <w:trPr>
          <w:trHeight w:val="38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0.71</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0.72</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bl>
    <w:p w:rsidR="00000000" w:rsidDel="00000000" w:rsidP="00000000" w:rsidRDefault="00000000" w:rsidRPr="00000000" w14:paraId="0000006C">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contextualSpacing w:val="0"/>
        <w:rPr>
          <w:b w:val="1"/>
        </w:rPr>
      </w:pPr>
      <w:r w:rsidDel="00000000" w:rsidR="00000000" w:rsidRPr="00000000">
        <w:rPr>
          <w:b w:val="1"/>
        </w:rPr>
        <w:drawing>
          <wp:inline distB="114300" distT="114300" distL="114300" distR="114300">
            <wp:extent cx="6124575" cy="423386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4575"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contextualSpacing w:val="0"/>
        <w:rPr>
          <w:b w:val="1"/>
        </w:rPr>
      </w:pPr>
      <w:r w:rsidDel="00000000" w:rsidR="00000000" w:rsidRPr="00000000">
        <w:rPr>
          <w:rtl w:val="0"/>
        </w:rPr>
      </w:r>
    </w:p>
    <w:p w:rsidR="00000000" w:rsidDel="00000000" w:rsidP="00000000" w:rsidRDefault="00000000" w:rsidRPr="00000000" w14:paraId="0000006F">
      <w:pPr>
        <w:ind w:left="0" w:firstLine="0"/>
        <w:contextualSpacing w:val="0"/>
        <w:rPr>
          <w:b w:val="1"/>
        </w:rPr>
      </w:pPr>
      <w:r w:rsidDel="00000000" w:rsidR="00000000" w:rsidRPr="00000000">
        <w:rPr>
          <w:rtl w:val="0"/>
        </w:rPr>
      </w:r>
    </w:p>
    <w:p w:rsidR="00000000" w:rsidDel="00000000" w:rsidP="00000000" w:rsidRDefault="00000000" w:rsidRPr="00000000" w14:paraId="00000070">
      <w:pPr>
        <w:ind w:left="0" w:firstLine="0"/>
        <w:contextualSpacing w:val="0"/>
        <w:rPr>
          <w:b w:val="1"/>
        </w:rPr>
      </w:pPr>
      <w:r w:rsidDel="00000000" w:rsidR="00000000" w:rsidRPr="00000000">
        <w:rPr>
          <w:rtl w:val="0"/>
        </w:rPr>
      </w:r>
    </w:p>
    <w:p w:rsidR="00000000" w:rsidDel="00000000" w:rsidP="00000000" w:rsidRDefault="00000000" w:rsidRPr="00000000" w14:paraId="00000071">
      <w:pPr>
        <w:ind w:left="0" w:firstLine="0"/>
        <w:contextualSpacing w:val="0"/>
        <w:rPr>
          <w:b w:val="1"/>
        </w:rPr>
      </w:pPr>
      <w:r w:rsidDel="00000000" w:rsidR="00000000" w:rsidRPr="00000000">
        <w:rPr>
          <w:rtl w:val="0"/>
        </w:rPr>
      </w:r>
    </w:p>
    <w:p w:rsidR="00000000" w:rsidDel="00000000" w:rsidP="00000000" w:rsidRDefault="00000000" w:rsidRPr="00000000" w14:paraId="00000072">
      <w:pPr>
        <w:ind w:left="0" w:firstLine="0"/>
        <w:contextualSpacing w:val="0"/>
        <w:rPr>
          <w:b w:val="1"/>
        </w:rPr>
      </w:pPr>
      <w:r w:rsidDel="00000000" w:rsidR="00000000" w:rsidRPr="00000000">
        <w:rPr>
          <w:rtl w:val="0"/>
        </w:rPr>
      </w:r>
    </w:p>
    <w:p w:rsidR="00000000" w:rsidDel="00000000" w:rsidP="00000000" w:rsidRDefault="00000000" w:rsidRPr="00000000" w14:paraId="00000073">
      <w:pPr>
        <w:ind w:left="0" w:firstLine="0"/>
        <w:contextualSpacing w:val="0"/>
        <w:rPr>
          <w:b w:val="1"/>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rtl w:val="0"/>
        </w:rPr>
      </w:r>
    </w:p>
    <w:p w:rsidR="00000000" w:rsidDel="00000000" w:rsidP="00000000" w:rsidRDefault="00000000" w:rsidRPr="00000000" w14:paraId="00000075">
      <w:pPr>
        <w:ind w:left="0" w:firstLine="0"/>
        <w:contextualSpacing w:val="0"/>
        <w:rPr>
          <w:b w:val="1"/>
        </w:rPr>
      </w:pPr>
      <w:r w:rsidDel="00000000" w:rsidR="00000000" w:rsidRPr="00000000">
        <w:rPr>
          <w:rtl w:val="0"/>
        </w:rPr>
      </w:r>
    </w:p>
    <w:p w:rsidR="00000000" w:rsidDel="00000000" w:rsidP="00000000" w:rsidRDefault="00000000" w:rsidRPr="00000000" w14:paraId="00000076">
      <w:pPr>
        <w:ind w:left="0" w:firstLine="0"/>
        <w:contextualSpacing w:val="0"/>
        <w:rPr>
          <w:b w:val="1"/>
        </w:rPr>
      </w:pPr>
      <w:r w:rsidDel="00000000" w:rsidR="00000000" w:rsidRPr="00000000">
        <w:rPr>
          <w:rtl w:val="0"/>
        </w:rPr>
      </w:r>
    </w:p>
    <w:p w:rsidR="00000000" w:rsidDel="00000000" w:rsidP="00000000" w:rsidRDefault="00000000" w:rsidRPr="00000000" w14:paraId="00000077">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78">
      <w:pPr>
        <w:ind w:firstLine="720"/>
        <w:contextualSpacing w:val="0"/>
        <w:rPr/>
      </w:pPr>
      <w:r w:rsidDel="00000000" w:rsidR="00000000" w:rsidRPr="00000000">
        <w:rPr>
          <w:rtl w:val="0"/>
        </w:rPr>
        <w:t xml:space="preserve">Evaluations of the models primarily used the classification report scores and ROC in conjunction with AUC score. The classification report provides insights to performance of model for ability to correctly identify labels. ROC in conjunction with AUC is used to determine the performance of the models and how random or consistent the predictions are. Our results determined that logistic regression with gridsearchCV using parameters or Elastic Net  produced the most ideal results for predictive analysis on social network ad deployment success. Logistic regression is the best model as long as it is tuned with either gridsearchCV and extended parameters or ElasticNet as they both yielded the same result. They both share the same exact performance level in the ROC curve figure. The logistic regression has the better AUC score relating that the true positive rate in this model is higher that the other models relating that the predictive significance to the dataset is better pronounced in this model with less errors. The ROC Curves figure shows the performance of each model and the visual representation of the AUC score. This relates that on a random consumer the outcome prediction being a true positive result is within 95% accuracy. Relating to the scenario this means that for a random user that the ad is deployed to the certainty that they will produce a true positive result, in this instance a purchase, is within 95% likelihood. </w:t>
      </w: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19"/>
      <w:bookmarkEnd w:id="19"/>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20"/>
      <w:bookmarkEnd w:id="20"/>
      <w:r w:rsidDel="00000000" w:rsidR="00000000" w:rsidRPr="00000000">
        <w:rPr>
          <w:b w:val="0"/>
          <w:rtl w:val="0"/>
        </w:rPr>
        <w:t xml:space="preserve">References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2" w:type="default"/>
      <w:headerReference r:id="rId13"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