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0" w:after="0" w:line="300" w:lineRule="auto"/>
      </w:pPr>
      <w:r>
        <w:br/>
        <w:br/>
        <w:br/>
      </w:r>
    </w:p>
    <w:p>
      <w:pPr>
        <w:keepLines w:val="0"/>
        <w:spacing w:before="0" w:after="360" w:line="300" w:lineRule="auto"/>
        <w:jc w:val="center"/>
      </w:pPr>
      <w:r>
        <w:rPr>
          <w:rFonts w:ascii="Calibri" w:hAnsi="Calibri"/>
          <w:b/>
          <w:color w:val="7A5A00"/>
          <w:sz w:val="22"/>
        </w:rPr>
        <w:t>REVIEW-PAPER EVIDENCE COMPILATION</w:t>
      </w:r>
    </w:p>
    <w:p>
      <w:pPr>
        <w:keepLines w:val="0"/>
        <w:spacing w:before="0" w:after="200" w:line="300" w:lineRule="auto"/>
        <w:jc w:val="center"/>
      </w:pPr>
      <w:r>
        <w:rPr>
          <w:rFonts w:ascii="Calibri" w:hAnsi="Calibri"/>
          <w:b/>
          <w:color w:val="0B2545"/>
          <w:sz w:val="60"/>
        </w:rPr>
        <w:t>Magnetic-Field Sensors</w:t>
      </w:r>
    </w:p>
    <w:p>
      <w:pPr>
        <w:keepLines w:val="0"/>
        <w:spacing w:before="0" w:after="120" w:line="300" w:lineRule="auto"/>
        <w:jc w:val="center"/>
      </w:pPr>
      <w:r>
        <w:rPr>
          <w:rFonts w:ascii="Calibri" w:hAnsi="Calibri"/>
          <w:color w:val="1F4D78"/>
          <w:sz w:val="30"/>
        </w:rPr>
        <w:t>Outline, literature map, and critical-point summaries</w:t>
      </w:r>
    </w:p>
    <w:p>
      <w:pPr>
        <w:keepLines w:val="0"/>
        <w:spacing w:before="0" w:after="720" w:line="300" w:lineRule="auto"/>
        <w:jc w:val="center"/>
      </w:pPr>
      <w:r>
        <w:rPr>
          <w:rFonts w:ascii="Calibri" w:hAnsi="Calibri"/>
          <w:i/>
          <w:color w:val="5D6875"/>
          <w:sz w:val="22"/>
        </w:rPr>
        <w:t>Two aligned versions: technical synthesis + plain-language importance guide</w:t>
      </w:r>
    </w:p>
    <w:tbl>
      <w:tblPr>
        <w:tblW w:type="dxa" w:w="9360"/>
        <w:jc w:val="left"/>
        <w:tblLayout w:type="fixed"/>
        <w:tblLook w:firstColumn="1" w:firstRow="1" w:lastColumn="0" w:lastRow="0" w:noHBand="0" w:noVBand="1" w:val="04A0"/>
        <w:tblInd w:w="120" w:type="dxa"/>
      </w:tblPr>
      <w:tblGrid>
        <w:gridCol w:w="1800"/>
        <w:gridCol w:w="7560"/>
      </w:tblGrid>
      <w:tr>
        <w:tc>
          <w:tcPr>
            <w:tcW w:type="dxa" w:w="1800"/>
            <w:shd w:fill="E8EEF5"/>
            <w:tcMar>
              <w:top w:w="80" w:type="dxa"/>
              <w:start w:w="120" w:type="dxa"/>
              <w:bottom w:w="80" w:type="dxa"/>
              <w:end w:w="120" w:type="dxa"/>
            </w:tcMar>
            <w:vAlign w:val="center"/>
          </w:tcPr>
          <w:p>
            <w:r>
              <w:rPr>
                <w:rFonts w:ascii="Calibri" w:hAnsi="Calibri"/>
                <w:b/>
                <w:color w:val="0B2545"/>
              </w:rPr>
              <w:t>Target</w:t>
            </w:r>
          </w:p>
        </w:tc>
        <w:tc>
          <w:tcPr>
            <w:tcW w:type="dxa" w:w="7560"/>
            <w:tcMar>
              <w:top w:w="80" w:type="dxa"/>
              <w:start w:w="120" w:type="dxa"/>
              <w:bottom w:w="80" w:type="dxa"/>
              <w:end w:w="120" w:type="dxa"/>
            </w:tcMar>
            <w:vAlign w:val="center"/>
          </w:tcPr>
          <w:p>
            <w:r>
              <w:t>MDPI Sensors review; submission target before 30 October 2026</w:t>
            </w:r>
          </w:p>
        </w:tc>
      </w:tr>
      <w:tr>
        <w:tc>
          <w:tcPr>
            <w:tcW w:type="dxa" w:w="1800"/>
            <w:shd w:fill="E8EEF5"/>
            <w:tcMar>
              <w:top w:w="80" w:type="dxa"/>
              <w:start w:w="120" w:type="dxa"/>
              <w:bottom w:w="80" w:type="dxa"/>
              <w:end w:w="120" w:type="dxa"/>
            </w:tcMar>
            <w:vAlign w:val="center"/>
          </w:tcPr>
          <w:p>
            <w:r>
              <w:rPr>
                <w:rFonts w:ascii="Calibri" w:hAnsi="Calibri"/>
                <w:b/>
                <w:color w:val="0B2545"/>
              </w:rPr>
              <w:t>Evidence base</w:t>
            </w:r>
          </w:p>
        </w:tc>
        <w:tc>
          <w:tcPr>
            <w:tcW w:type="dxa" w:w="7560"/>
            <w:tcMar>
              <w:top w:w="80" w:type="dxa"/>
              <w:start w:w="120" w:type="dxa"/>
              <w:bottom w:w="80" w:type="dxa"/>
              <w:end w:w="120" w:type="dxa"/>
            </w:tcMar>
            <w:vAlign w:val="center"/>
          </w:tcPr>
          <w:p>
            <w:r>
              <w:t>122 deduplicated references; 80 peer-reviewed journal articles; standards, vendor, preprint, and market sources explicitly flagged</w:t>
            </w:r>
          </w:p>
        </w:tc>
      </w:tr>
      <w:tr>
        <w:tc>
          <w:tcPr>
            <w:tcW w:type="dxa" w:w="1800"/>
            <w:shd w:fill="E8EEF5"/>
            <w:tcMar>
              <w:top w:w="80" w:type="dxa"/>
              <w:start w:w="120" w:type="dxa"/>
              <w:bottom w:w="80" w:type="dxa"/>
              <w:end w:w="120" w:type="dxa"/>
            </w:tcMar>
            <w:vAlign w:val="center"/>
          </w:tcPr>
          <w:p>
            <w:r>
              <w:rPr>
                <w:rFonts w:ascii="Calibri" w:hAnsi="Calibri"/>
                <w:b/>
                <w:color w:val="0B2545"/>
              </w:rPr>
              <w:t>Recommended structure</w:t>
            </w:r>
          </w:p>
        </w:tc>
        <w:tc>
          <w:tcPr>
            <w:tcW w:type="dxa" w:w="7560"/>
            <w:tcMar>
              <w:top w:w="80" w:type="dxa"/>
              <w:start w:w="120" w:type="dxa"/>
              <w:bottom w:w="80" w:type="dxa"/>
              <w:end w:w="120" w:type="dxa"/>
            </w:tcMar>
            <w:vAlign w:val="center"/>
          </w:tcPr>
          <w:p>
            <w:r>
              <w:t>Sensor-family backbone with full energy, transportation, industrial, and biomedical application sections</w:t>
            </w:r>
          </w:p>
        </w:tc>
      </w:tr>
    </w:tbl>
    <w:p>
      <w:pPr>
        <w:keepLines w:val="0"/>
        <w:spacing w:before="560" w:after="0" w:line="300" w:lineRule="auto"/>
        <w:jc w:val="center"/>
      </w:pPr>
      <w:r>
        <w:rPr>
          <w:rFonts w:ascii="Calibri" w:hAnsi="Calibri"/>
          <w:color w:val="5D6875"/>
          <w:sz w:val="19"/>
        </w:rPr>
        <w:t>Prepared from the processed outputs in this project folder</w:t>
      </w:r>
    </w:p>
    <w:p>
      <w:r>
        <w:br w:type="page"/>
      </w:r>
    </w:p>
    <w:p>
      <w:pPr>
        <w:pStyle w:val="Heading1"/>
      </w:pPr>
      <w:r>
        <w:t>How to use this compilation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keepLines w:val="0"/>
              <w:spacing w:before="0" w:after="0" w:line="288" w:lineRule="auto"/>
            </w:pPr>
            <w:r>
              <w:rPr>
                <w:rFonts w:ascii="Calibri" w:hAnsi="Calibri"/>
                <w:b/>
                <w:color w:val="0B2545"/>
              </w:rPr>
              <w:t xml:space="preserve">Recommended paper architecture. </w:t>
            </w:r>
            <w:r>
              <w:t>Use Outline A as the backbone and expand the application tail using Outline B. Retain Outline C's capability map and Outline D's risk register as signature artifacts.</w:t>
            </w:r>
          </w:p>
        </w:tc>
      </w:tr>
    </w:tbl>
    <w:p>
      <w:pPr>
        <w:pStyle w:val="Heading2"/>
      </w:pPr>
      <w:r>
        <w:t>What the two versions contain</w:t>
      </w:r>
    </w:p>
    <w:p>
      <w:pPr>
        <w:keepLines w:val="0"/>
        <w:numPr>
          <w:ilvl w:val="0"/>
          <w:numId w:val="10"/>
        </w:numPr>
        <w:spacing w:before="0" w:after="80" w:line="300" w:lineRule="auto"/>
        <w:ind w:left="540" w:hanging="271"/>
      </w:pPr>
      <w:r>
        <w:t>Version 1 is a technical evidence synthesis. Each critical point states the supported claim, its role in the paper, and the key citation keys.</w:t>
      </w:r>
    </w:p>
    <w:p>
      <w:pPr>
        <w:keepLines w:val="0"/>
        <w:numPr>
          <w:ilvl w:val="0"/>
          <w:numId w:val="10"/>
        </w:numPr>
        <w:spacing w:before="0" w:after="80" w:line="300" w:lineRule="auto"/>
        <w:ind w:left="540" w:hanging="271"/>
      </w:pPr>
      <w:r>
        <w:t>Version 2 follows the same paper structure in plain language and explicitly states why each point matters.</w:t>
      </w:r>
    </w:p>
    <w:p>
      <w:pPr>
        <w:keepLines w:val="0"/>
        <w:numPr>
          <w:ilvl w:val="0"/>
          <w:numId w:val="10"/>
        </w:numPr>
        <w:spacing w:before="0" w:after="80" w:line="300" w:lineRule="auto"/>
        <w:ind w:left="540" w:hanging="271"/>
      </w:pPr>
      <w:r>
        <w:t>Appendix A lists all 122 registered sources, grouped by the paper section where they are used. Source status remains visible.</w:t>
      </w:r>
    </w:p>
    <w:p>
      <w:pPr>
        <w:keepLines w:val="0"/>
        <w:numPr>
          <w:ilvl w:val="0"/>
          <w:numId w:val="10"/>
        </w:numPr>
        <w:spacing w:before="0" w:after="80" w:line="300" w:lineRule="auto"/>
        <w:ind w:left="540" w:hanging="271"/>
      </w:pPr>
      <w:r>
        <w:t>Appendix B records the evidence gaps and drafting priorities so uncertain values are not silently upgraded.</w:t>
      </w:r>
    </w:p>
    <w:p>
      <w:pPr>
        <w:pStyle w:val="Heading2"/>
      </w:pPr>
      <w:r>
        <w:t>Evidence rules carried forward</w:t>
      </w:r>
    </w:p>
    <w:p>
      <w:pPr>
        <w:keepLines w:val="0"/>
        <w:numPr>
          <w:ilvl w:val="0"/>
          <w:numId w:val="10"/>
        </w:numPr>
        <w:spacing w:before="0" w:after="80" w:line="300" w:lineRule="auto"/>
        <w:ind w:left="540" w:hanging="271"/>
      </w:pPr>
      <w:r>
        <w:t>Use citation keys during drafting; convert to numbered MDPI citations at manuscript assembly.</w:t>
      </w:r>
    </w:p>
    <w:p>
      <w:pPr>
        <w:keepLines w:val="0"/>
        <w:numPr>
          <w:ilvl w:val="0"/>
          <w:numId w:val="10"/>
        </w:numPr>
        <w:spacing w:before="0" w:after="80" w:line="300" w:lineRule="auto"/>
        <w:ind w:left="540" w:hanging="271"/>
      </w:pPr>
      <w:r>
        <w:t>Keep vendor specifications tagged as vendor evidence and market figures attributed as estimates.</w:t>
      </w:r>
    </w:p>
    <w:p>
      <w:pPr>
        <w:keepLines w:val="0"/>
        <w:numPr>
          <w:ilvl w:val="0"/>
          <w:numId w:val="10"/>
        </w:numPr>
        <w:spacing w:before="0" w:after="80" w:line="300" w:lineRule="auto"/>
        <w:ind w:left="540" w:hanging="271"/>
      </w:pPr>
      <w:r>
        <w:t>Treat TRL ratings, risk judgments, and future-readiness claims as author assessments.</w:t>
      </w:r>
    </w:p>
    <w:p>
      <w:pPr>
        <w:keepLines w:val="0"/>
        <w:numPr>
          <w:ilvl w:val="0"/>
          <w:numId w:val="10"/>
        </w:numPr>
        <w:spacing w:before="0" w:after="80" w:line="300" w:lineRule="auto"/>
        <w:ind w:left="540" w:hanging="271"/>
      </w:pPr>
      <w:r>
        <w:t>Do not fill unreported performance cells from memory; verify them from full text or leave them explicitly unreported.</w:t>
      </w:r>
    </w:p>
    <w:p>
      <w:pPr>
        <w:pStyle w:val="Heading2"/>
      </w:pPr>
      <w:r>
        <w:t>Candidate outline families</w:t>
      </w:r>
    </w:p>
    <w:tbl>
      <w:tblPr>
        <w:tblW w:type="dxa" w:w="9360"/>
        <w:jc w:val="left"/>
        <w:tblLayout w:type="fixed"/>
        <w:tblLook w:firstColumn="1" w:firstRow="1" w:lastColumn="0" w:lastRow="0" w:noHBand="0" w:noVBand="1" w:val="04A0"/>
        <w:tblInd w:w="120" w:type="dxa"/>
      </w:tblPr>
      <w:tblGrid>
        <w:gridCol w:w="1900"/>
        <w:gridCol w:w="3400"/>
        <w:gridCol w:w="4060"/>
      </w:tblGrid>
      <w:tr>
        <w:trPr>
          <w:tblHeader w:val="true"/>
        </w:trPr>
        <w:tc>
          <w:tcPr>
            <w:tcW w:type="dxa" w:w="1900"/>
            <w:shd w:fill="2E74B5"/>
            <w:tcMar>
              <w:top w:w="80" w:type="dxa"/>
              <w:start w:w="120" w:type="dxa"/>
              <w:bottom w:w="80" w:type="dxa"/>
              <w:end w:w="120" w:type="dxa"/>
            </w:tcMar>
            <w:vAlign w:val="center"/>
          </w:tcPr>
          <w:p>
            <w:r>
              <w:rPr>
                <w:rFonts w:ascii="Calibri" w:hAnsi="Calibri"/>
                <w:b/>
                <w:color w:val="FFFFFF"/>
                <w:sz w:val="19"/>
              </w:rPr>
              <w:t>Outline</w:t>
            </w:r>
          </w:p>
        </w:tc>
        <w:tc>
          <w:tcPr>
            <w:tcW w:type="dxa" w:w="3400"/>
            <w:shd w:fill="2E74B5"/>
            <w:tcMar>
              <w:top w:w="80" w:type="dxa"/>
              <w:start w:w="120" w:type="dxa"/>
              <w:bottom w:w="80" w:type="dxa"/>
              <w:end w:w="120" w:type="dxa"/>
            </w:tcMar>
            <w:vAlign w:val="center"/>
          </w:tcPr>
          <w:p>
            <w:r>
              <w:rPr>
                <w:rFonts w:ascii="Calibri" w:hAnsi="Calibri"/>
                <w:b/>
                <w:color w:val="FFFFFF"/>
                <w:sz w:val="19"/>
              </w:rPr>
              <w:t>Organizing logic</w:t>
            </w:r>
          </w:p>
        </w:tc>
        <w:tc>
          <w:tcPr>
            <w:tcW w:type="dxa" w:w="4060"/>
            <w:shd w:fill="2E74B5"/>
            <w:tcMar>
              <w:top w:w="80" w:type="dxa"/>
              <w:start w:w="120" w:type="dxa"/>
              <w:bottom w:w="80" w:type="dxa"/>
              <w:end w:w="120" w:type="dxa"/>
            </w:tcMar>
            <w:vAlign w:val="center"/>
          </w:tcPr>
          <w:p>
            <w:r>
              <w:rPr>
                <w:rFonts w:ascii="Calibri" w:hAnsi="Calibri"/>
                <w:b/>
                <w:color w:val="FFFFFF"/>
                <w:sz w:val="19"/>
              </w:rPr>
              <w:t>Best use / tradeoff</w:t>
            </w:r>
          </w:p>
        </w:tc>
      </w:tr>
      <w:tr>
        <w:tc>
          <w:tcPr>
            <w:tcW w:type="dxa" w:w="1900"/>
            <w:tcMar>
              <w:top w:w="80" w:type="dxa"/>
              <w:start w:w="120" w:type="dxa"/>
              <w:bottom w:w="80" w:type="dxa"/>
              <w:end w:w="120" w:type="dxa"/>
            </w:tcMar>
            <w:vAlign w:val="center"/>
          </w:tcPr>
          <w:p>
            <w:pPr>
              <w:keepLines w:val="0"/>
              <w:spacing w:before="0" w:after="0" w:line="264" w:lineRule="auto"/>
            </w:pPr>
            <w:r>
              <w:rPr>
                <w:rFonts w:ascii="Calibri" w:hAnsi="Calibri"/>
                <w:sz w:val="18"/>
              </w:rPr>
              <w:t>A. Sensor-family primary</w:t>
            </w:r>
          </w:p>
        </w:tc>
        <w:tc>
          <w:tcPr>
            <w:tcW w:type="dxa" w:w="3400"/>
            <w:tcMar>
              <w:top w:w="80" w:type="dxa"/>
              <w:start w:w="120" w:type="dxa"/>
              <w:bottom w:w="80" w:type="dxa"/>
              <w:end w:w="120" w:type="dxa"/>
            </w:tcMar>
            <w:vAlign w:val="center"/>
          </w:tcPr>
          <w:p>
            <w:pPr>
              <w:keepLines w:val="0"/>
              <w:spacing w:before="0" w:after="0" w:line="264" w:lineRule="auto"/>
            </w:pPr>
            <w:r>
              <w:rPr>
                <w:rFonts w:ascii="Calibri" w:hAnsi="Calibri"/>
                <w:sz w:val="18"/>
              </w:rPr>
              <w:t>Technology taxonomy is the backbone; applications follow as a cross-cutting tail.</w:t>
            </w:r>
          </w:p>
        </w:tc>
        <w:tc>
          <w:tcPr>
            <w:tcW w:type="dxa" w:w="4060"/>
            <w:tcMar>
              <w:top w:w="80" w:type="dxa"/>
              <w:start w:w="120" w:type="dxa"/>
              <w:bottom w:w="80" w:type="dxa"/>
              <w:end w:w="120" w:type="dxa"/>
            </w:tcMar>
            <w:vAlign w:val="center"/>
          </w:tcPr>
          <w:p>
            <w:pPr>
              <w:keepLines w:val="0"/>
              <w:spacing w:before="0" w:after="0" w:line="264" w:lineRule="auto"/>
            </w:pPr>
            <w:r>
              <w:rPr>
                <w:rFonts w:ascii="Calibri" w:hAnsi="Calibri"/>
                <w:sz w:val="18"/>
              </w:rPr>
              <w:t>Best fit with the project brief and conventional Sensors review expectations.</w:t>
            </w:r>
          </w:p>
        </w:tc>
      </w:tr>
      <w:tr>
        <w:tc>
          <w:tcPr>
            <w:tcW w:type="dxa" w:w="1900"/>
            <w:tcMar>
              <w:top w:w="80" w:type="dxa"/>
              <w:start w:w="120" w:type="dxa"/>
              <w:bottom w:w="80" w:type="dxa"/>
              <w:end w:w="120" w:type="dxa"/>
            </w:tcMar>
            <w:vAlign w:val="center"/>
          </w:tcPr>
          <w:p>
            <w:pPr>
              <w:keepLines w:val="0"/>
              <w:spacing w:before="0" w:after="0" w:line="264" w:lineRule="auto"/>
            </w:pPr>
            <w:r>
              <w:rPr>
                <w:rFonts w:ascii="Calibri" w:hAnsi="Calibri"/>
                <w:sz w:val="18"/>
              </w:rPr>
              <w:t>B. Application primary</w:t>
            </w:r>
          </w:p>
        </w:tc>
        <w:tc>
          <w:tcPr>
            <w:tcW w:type="dxa" w:w="3400"/>
            <w:tcMar>
              <w:top w:w="80" w:type="dxa"/>
              <w:start w:w="120" w:type="dxa"/>
              <w:bottom w:w="80" w:type="dxa"/>
              <w:end w:w="120" w:type="dxa"/>
            </w:tcMar>
            <w:vAlign w:val="center"/>
          </w:tcPr>
          <w:p>
            <w:pPr>
              <w:keepLines w:val="0"/>
              <w:spacing w:before="0" w:after="0" w:line="264" w:lineRule="auto"/>
            </w:pPr>
            <w:r>
              <w:rPr>
                <w:rFonts w:ascii="Calibri" w:hAnsi="Calibri"/>
                <w:sz w:val="18"/>
              </w:rPr>
              <w:t>Energy, transportation, industry, and biomedicine are the backbone; device physics is condensed into a primer.</w:t>
            </w:r>
          </w:p>
        </w:tc>
        <w:tc>
          <w:tcPr>
            <w:tcW w:type="dxa" w:w="4060"/>
            <w:tcMar>
              <w:top w:w="80" w:type="dxa"/>
              <w:start w:w="120" w:type="dxa"/>
              <w:bottom w:w="80" w:type="dxa"/>
              <w:end w:w="120" w:type="dxa"/>
            </w:tcMar>
            <w:vAlign w:val="center"/>
          </w:tcPr>
          <w:p>
            <w:pPr>
              <w:keepLines w:val="0"/>
              <w:spacing w:before="0" w:after="0" w:line="264" w:lineRule="auto"/>
            </w:pPr>
            <w:r>
              <w:rPr>
                <w:rFonts w:ascii="Calibri" w:hAnsi="Calibri"/>
                <w:sz w:val="18"/>
              </w:rPr>
              <w:t>Best for domain readers, but risks repetition and thinner device physics.</w:t>
            </w:r>
          </w:p>
        </w:tc>
      </w:tr>
      <w:tr>
        <w:tc>
          <w:tcPr>
            <w:tcW w:type="dxa" w:w="1900"/>
            <w:tcMar>
              <w:top w:w="80" w:type="dxa"/>
              <w:start w:w="120" w:type="dxa"/>
              <w:bottom w:w="80" w:type="dxa"/>
              <w:end w:w="120" w:type="dxa"/>
            </w:tcMar>
            <w:vAlign w:val="center"/>
          </w:tcPr>
          <w:p>
            <w:pPr>
              <w:keepLines w:val="0"/>
              <w:spacing w:before="0" w:after="0" w:line="264" w:lineRule="auto"/>
            </w:pPr>
            <w:r>
              <w:rPr>
                <w:rFonts w:ascii="Calibri" w:hAnsi="Calibri"/>
                <w:sz w:val="18"/>
              </w:rPr>
              <w:t>C. Capability-envelope primary</w:t>
            </w:r>
          </w:p>
        </w:tc>
        <w:tc>
          <w:tcPr>
            <w:tcW w:type="dxa" w:w="3400"/>
            <w:tcMar>
              <w:top w:w="80" w:type="dxa"/>
              <w:start w:w="120" w:type="dxa"/>
              <w:bottom w:w="80" w:type="dxa"/>
              <w:end w:w="120" w:type="dxa"/>
            </w:tcMar>
            <w:vAlign w:val="center"/>
          </w:tcPr>
          <w:p>
            <w:pPr>
              <w:keepLines w:val="0"/>
              <w:spacing w:before="0" w:after="0" w:line="264" w:lineRule="auto"/>
            </w:pPr>
            <w:r>
              <w:rPr>
                <w:rFonts w:ascii="Calibri" w:hAnsi="Calibri"/>
                <w:sz w:val="18"/>
              </w:rPr>
              <w:t>Measurement regimes and performance envelopes organize the story.</w:t>
            </w:r>
          </w:p>
        </w:tc>
        <w:tc>
          <w:tcPr>
            <w:tcW w:type="dxa" w:w="4060"/>
            <w:tcMar>
              <w:top w:w="80" w:type="dxa"/>
              <w:start w:w="120" w:type="dxa"/>
              <w:bottom w:w="80" w:type="dxa"/>
              <w:end w:w="120" w:type="dxa"/>
            </w:tcMar>
            <w:vAlign w:val="center"/>
          </w:tcPr>
          <w:p>
            <w:pPr>
              <w:keepLines w:val="0"/>
              <w:spacing w:before="0" w:after="0" w:line="264" w:lineRule="auto"/>
            </w:pPr>
            <w:r>
              <w:rPr>
                <w:rFonts w:ascii="Calibri" w:hAnsi="Calibri"/>
                <w:sz w:val="18"/>
              </w:rPr>
              <w:t>Most distinctive conceptually, but every boundary needs defensible quantitative evidence.</w:t>
            </w:r>
          </w:p>
        </w:tc>
      </w:tr>
      <w:tr>
        <w:tc>
          <w:tcPr>
            <w:tcW w:type="dxa" w:w="1900"/>
            <w:tcMar>
              <w:top w:w="80" w:type="dxa"/>
              <w:start w:w="120" w:type="dxa"/>
              <w:bottom w:w="80" w:type="dxa"/>
              <w:end w:w="120" w:type="dxa"/>
            </w:tcMar>
            <w:vAlign w:val="center"/>
          </w:tcPr>
          <w:p>
            <w:pPr>
              <w:keepLines w:val="0"/>
              <w:spacing w:before="0" w:after="0" w:line="264" w:lineRule="auto"/>
            </w:pPr>
            <w:r>
              <w:rPr>
                <w:rFonts w:ascii="Calibri" w:hAnsi="Calibri"/>
                <w:sz w:val="18"/>
              </w:rPr>
              <w:t>D. Value-chain / TRL primary</w:t>
            </w:r>
          </w:p>
        </w:tc>
        <w:tc>
          <w:tcPr>
            <w:tcW w:type="dxa" w:w="3400"/>
            <w:tcMar>
              <w:top w:w="80" w:type="dxa"/>
              <w:start w:w="120" w:type="dxa"/>
              <w:bottom w:w="80" w:type="dxa"/>
              <w:end w:w="120" w:type="dxa"/>
            </w:tcMar>
            <w:vAlign w:val="center"/>
          </w:tcPr>
          <w:p>
            <w:pPr>
              <w:keepLines w:val="0"/>
              <w:spacing w:before="0" w:after="0" w:line="264" w:lineRule="auto"/>
            </w:pPr>
            <w:r>
              <w:rPr>
                <w:rFonts w:ascii="Calibri" w:hAnsi="Calibri"/>
                <w:sz w:val="18"/>
              </w:rPr>
              <w:t>Devices, systems, deployments, standards, and investment gates form a commercialization narrative.</w:t>
            </w:r>
          </w:p>
        </w:tc>
        <w:tc>
          <w:tcPr>
            <w:tcW w:type="dxa" w:w="4060"/>
            <w:tcMar>
              <w:top w:w="80" w:type="dxa"/>
              <w:start w:w="120" w:type="dxa"/>
              <w:bottom w:w="80" w:type="dxa"/>
              <w:end w:w="120" w:type="dxa"/>
            </w:tcMar>
            <w:vAlign w:val="center"/>
          </w:tcPr>
          <w:p>
            <w:pPr>
              <w:keepLines w:val="0"/>
              <w:spacing w:before="0" w:after="0" w:line="264" w:lineRule="auto"/>
            </w:pPr>
            <w:r>
              <w:rPr>
                <w:rFonts w:ascii="Calibri" w:hAnsi="Calibri"/>
                <w:sz w:val="18"/>
              </w:rPr>
              <w:t>Strongest business voice, but least conventional for a technical sensor review.</w:t>
            </w:r>
          </w:p>
        </w:tc>
      </w:tr>
    </w:tbl>
    <w:p>
      <w:pPr>
        <w:pStyle w:val="Heading2"/>
      </w:pPr>
      <w:r>
        <w:t>Recommended outline in full</w:t>
      </w:r>
    </w:p>
    <w:p>
      <w:pPr>
        <w:pStyle w:val="Heading3"/>
      </w:pPr>
      <w:r>
        <w:t>1. Introduction (~7%)</w:t>
      </w:r>
    </w:p>
    <w:p>
      <w:pPr>
        <w:keepLines w:val="0"/>
        <w:numPr>
          <w:ilvl w:val="0"/>
          <w:numId w:val="10"/>
        </w:numPr>
        <w:spacing w:before="0" w:after="80" w:line="300" w:lineRule="auto"/>
        <w:ind w:left="540" w:hanging="271"/>
      </w:pPr>
      <w:r>
        <w:t>1.1 Why magnetic sensing matters: one measurand, four industries, and the range-resolution-bandwidth-SWaP-C-temperature trade space.</w:t>
      </w:r>
    </w:p>
    <w:p>
      <w:pPr>
        <w:keepLines w:val="0"/>
        <w:numPr>
          <w:ilvl w:val="0"/>
          <w:numId w:val="10"/>
        </w:numPr>
        <w:spacing w:before="0" w:after="80" w:line="300" w:lineRule="auto"/>
        <w:ind w:left="540" w:hanging="271"/>
      </w:pPr>
      <w:r>
        <w:t>1.2 Scope, method, and contributions: vendor-neutral narrative review; recent state of the art plus foundational sources; explicit exclusions.</w:t>
      </w:r>
    </w:p>
    <w:p>
      <w:pPr>
        <w:keepLines w:val="0"/>
        <w:numPr>
          <w:ilvl w:val="0"/>
          <w:numId w:val="10"/>
        </w:numPr>
        <w:spacing w:before="0" w:after="80" w:line="300" w:lineRule="auto"/>
        <w:ind w:left="540" w:hanging="271"/>
      </w:pPr>
      <w:r>
        <w:t>1.3 Paper roadmap, with a capability map and two comparison tables as navigation aids.</w:t>
      </w:r>
    </w:p>
    <w:p>
      <w:pPr>
        <w:pStyle w:val="Heading3"/>
      </w:pPr>
      <w:r>
        <w:t>2. Technologies and current applications (~31%)</w:t>
      </w:r>
    </w:p>
    <w:p>
      <w:pPr>
        <w:keepLines w:val="0"/>
        <w:numPr>
          <w:ilvl w:val="0"/>
          <w:numId w:val="10"/>
        </w:numPr>
        <w:spacing w:before="0" w:after="80" w:line="300" w:lineRule="auto"/>
        <w:ind w:left="540" w:hanging="271"/>
      </w:pPr>
      <w:r>
        <w:t>2.1 Figures of merit and commercial-versus-pioneering taxonomy.</w:t>
      </w:r>
    </w:p>
    <w:p>
      <w:pPr>
        <w:keepLines w:val="0"/>
        <w:numPr>
          <w:ilvl w:val="0"/>
          <w:numId w:val="10"/>
        </w:numPr>
        <w:spacing w:before="0" w:after="80" w:line="300" w:lineRule="auto"/>
        <w:ind w:left="540" w:hanging="271"/>
      </w:pPr>
      <w:r>
        <w:t>2.2 Hall sensors; 2.3 AMR/GMR/TMR; 2.4 fluxgate; 2.5 search-coil; 2.6 GMI; 2.7 SQUID; 2.8 OPM/SERF; 2.9 NV diamond; 2.10 other emerging families.</w:t>
      </w:r>
    </w:p>
    <w:p>
      <w:pPr>
        <w:keepLines w:val="0"/>
        <w:numPr>
          <w:ilvl w:val="0"/>
          <w:numId w:val="10"/>
        </w:numPr>
        <w:spacing w:before="0" w:after="80" w:line="300" w:lineRule="auto"/>
        <w:ind w:left="540" w:hanging="271"/>
      </w:pPr>
      <w:r>
        <w:t>2.11 Cross-family comparison plus full subsections for energy, transportation, industrial/manufacturing, and biomedical deployments.</w:t>
      </w:r>
    </w:p>
    <w:p>
      <w:pPr>
        <w:keepLines w:val="0"/>
        <w:numPr>
          <w:ilvl w:val="0"/>
          <w:numId w:val="10"/>
        </w:numPr>
        <w:spacing w:before="0" w:after="80" w:line="300" w:lineRule="auto"/>
        <w:ind w:left="540" w:hanging="271"/>
      </w:pPr>
      <w:r>
        <w:t>Table 1: sourced performance comparison. Table 2: family-by-domain deployment matrix.</w:t>
      </w:r>
    </w:p>
    <w:p>
      <w:pPr>
        <w:pStyle w:val="Heading3"/>
      </w:pPr>
      <w:r>
        <w:t>3. Future applications and methods (~28%)</w:t>
      </w:r>
    </w:p>
    <w:p>
      <w:pPr>
        <w:keepLines w:val="0"/>
        <w:numPr>
          <w:ilvl w:val="0"/>
          <w:numId w:val="10"/>
        </w:numPr>
        <w:spacing w:before="0" w:after="80" w:line="300" w:lineRule="auto"/>
        <w:ind w:left="540" w:hanging="271"/>
      </w:pPr>
      <w:r>
        <w:t>3.1 Learned calibration, drift compensation, offset/noise mitigation, and virtual sensing.</w:t>
      </w:r>
    </w:p>
    <w:p>
      <w:pPr>
        <w:keepLines w:val="0"/>
        <w:numPr>
          <w:ilvl w:val="0"/>
          <w:numId w:val="10"/>
        </w:numPr>
        <w:spacing w:before="0" w:after="80" w:line="300" w:lineRule="auto"/>
        <w:ind w:left="540" w:hanging="271"/>
      </w:pPr>
      <w:r>
        <w:t>3.2 ML-assisted readout/control, denoising, adaptive compensation, and predictive maintenance.</w:t>
      </w:r>
    </w:p>
    <w:p>
      <w:pPr>
        <w:keepLines w:val="0"/>
        <w:numPr>
          <w:ilvl w:val="0"/>
          <w:numId w:val="10"/>
        </w:numPr>
        <w:spacing w:before="0" w:after="80" w:line="300" w:lineRule="auto"/>
        <w:ind w:left="540" w:hanging="271"/>
      </w:pPr>
      <w:r>
        <w:t>3.3 Sensor fusion, arrays, magnetic-inertial systems, MagNav, and source localization.</w:t>
      </w:r>
    </w:p>
    <w:p>
      <w:pPr>
        <w:keepLines w:val="0"/>
        <w:numPr>
          <w:ilvl w:val="0"/>
          <w:numId w:val="10"/>
        </w:numPr>
        <w:spacing w:before="0" w:after="80" w:line="300" w:lineRule="auto"/>
        <w:ind w:left="540" w:hanging="271"/>
      </w:pPr>
      <w:r>
        <w:t>3.4 Digital twins: demonstrated machine-level twins versus aspirational sensor-level twins.</w:t>
      </w:r>
    </w:p>
    <w:p>
      <w:pPr>
        <w:pStyle w:val="Heading3"/>
      </w:pPr>
      <w:r>
        <w:t>4. Potential and standards (~28%)</w:t>
      </w:r>
    </w:p>
    <w:p>
      <w:pPr>
        <w:keepLines w:val="0"/>
        <w:numPr>
          <w:ilvl w:val="0"/>
          <w:numId w:val="10"/>
        </w:numPr>
        <w:spacing w:before="0" w:after="80" w:line="300" w:lineRule="auto"/>
        <w:ind w:left="540" w:hanging="271"/>
      </w:pPr>
      <w:r>
        <w:t>4.1 TRL and attributed market landscape; 4.2 automotive functional safety and qualification.</w:t>
      </w:r>
    </w:p>
    <w:p>
      <w:pPr>
        <w:keepLines w:val="0"/>
        <w:numPr>
          <w:ilvl w:val="0"/>
          <w:numId w:val="10"/>
        </w:numPr>
        <w:spacing w:before="0" w:after="80" w:line="300" w:lineRule="auto"/>
        <w:ind w:left="540" w:hanging="271"/>
      </w:pPr>
      <w:r>
        <w:t>4.3 Industrial/energy standards; 4.4 medical pathways; 4.5 metrology and traceability.</w:t>
      </w:r>
    </w:p>
    <w:p>
      <w:pPr>
        <w:keepLines w:val="0"/>
        <w:numPr>
          <w:ilvl w:val="0"/>
          <w:numId w:val="10"/>
        </w:numPr>
        <w:spacing w:before="0" w:after="80" w:line="300" w:lineRule="auto"/>
        <w:ind w:left="540" w:hanging="271"/>
      </w:pPr>
      <w:r>
        <w:t>4.6 Seven-question company/investor de-risking checklist.</w:t>
      </w:r>
    </w:p>
    <w:p>
      <w:pPr>
        <w:pStyle w:val="Heading3"/>
      </w:pPr>
      <w:r>
        <w:t>5. Conclusion (~6%)</w:t>
      </w:r>
    </w:p>
    <w:p>
      <w:pPr>
        <w:keepLines w:val="0"/>
        <w:numPr>
          <w:ilvl w:val="0"/>
          <w:numId w:val="10"/>
        </w:numPr>
        <w:spacing w:before="0" w:after="80" w:line="300" w:lineRule="auto"/>
        <w:ind w:left="540" w:hanging="271"/>
      </w:pPr>
      <w:r>
        <w:t>No universal winner; system design and computation increasingly determine usable performance; close with evidence-backed open challenges and an outlook to 2030.</w:t>
      </w:r>
    </w:p>
    <w:p>
      <w:r>
        <w:br w:type="page"/>
      </w:r>
    </w:p>
    <w:p>
      <w:pPr>
        <w:keepLines w:val="0"/>
        <w:spacing w:before="0" w:after="120" w:line="300" w:lineRule="auto"/>
      </w:pPr>
      <w:r>
        <w:rPr>
          <w:rFonts w:ascii="Calibri" w:hAnsi="Calibri"/>
          <w:b/>
          <w:color w:val="0B2545"/>
          <w:sz w:val="44"/>
        </w:rPr>
        <w:t>Version 1 — Technical evidence synthesis</w:t>
      </w:r>
    </w:p>
    <w:p>
      <w:pPr>
        <w:keepLines w:val="0"/>
        <w:spacing w:before="0" w:after="280" w:line="300" w:lineRule="auto"/>
      </w:pPr>
      <w:r>
        <w:rPr>
          <w:rFonts w:ascii="Calibri" w:hAnsi="Calibri"/>
          <w:i/>
          <w:color w:val="5D6875"/>
          <w:sz w:val="23"/>
        </w:rPr>
        <w:t>A concise, citation-keyed writing scaffold for the manuscript.</w:t>
      </w:r>
    </w:p>
    <w:p>
      <w:pPr>
        <w:pStyle w:val="Heading1"/>
      </w:pPr>
      <w:r>
        <w:t>Section 1</w:t>
      </w:r>
    </w:p>
    <w:p>
      <w:pPr>
        <w:pStyle w:val="Heading2"/>
      </w:pPr>
      <w:r>
        <w:t>Why magnetic sensing matters</w:t>
      </w:r>
    </w:p>
    <w:p>
      <w:pPr>
        <w:keepLines/>
        <w:spacing w:before="0" w:after="80" w:line="300" w:lineRule="auto"/>
      </w:pPr>
      <w:r>
        <w:rPr>
          <w:rFonts w:ascii="Calibri" w:hAnsi="Calibri"/>
          <w:b/>
          <w:color w:val="0B2545"/>
        </w:rPr>
        <w:t xml:space="preserve">Evidence synthesis: </w:t>
      </w:r>
      <w:r>
        <w:t>Magnetic sensing turns current, position, motion, material state, and physiological activity into contactless measurements. The literature supports a capability landscape spanning biomagnetic fT-pT signals through industrial multi-tesla fields, but the useful comparison is multidimensional: resolution, bandwidth, dynamic range, drift, size, power, cost, and temperature must be considered together.</w:t>
      </w:r>
    </w:p>
    <w:p>
      <w:pPr>
        <w:keepLines/>
        <w:spacing w:before="0" w:after="80" w:line="300" w:lineRule="auto"/>
      </w:pPr>
      <w:r>
        <w:rPr>
          <w:rFonts w:ascii="Calibri" w:hAnsi="Calibri"/>
          <w:b/>
          <w:color w:val="7A5A00"/>
        </w:rPr>
        <w:t xml:space="preserve">Critical significance: </w:t>
      </w:r>
      <w:r>
        <w:t>This establishes the review's core thesis: no family is globally superior, so device choice is an application-specific trade.</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Lenz1990review; Lenz2006magsensors; Ripka2010advancesIEEE; Tumanski2013modern; MagSensorsReview2021ERX; Murzin2020biomedsensors</w:t>
      </w:r>
    </w:p>
    <w:p>
      <w:pPr>
        <w:pStyle w:val="Heading2"/>
      </w:pPr>
      <w:r>
        <w:t>Scope and review method</w:t>
      </w:r>
    </w:p>
    <w:p>
      <w:pPr>
        <w:keepLines/>
        <w:spacing w:before="0" w:after="80" w:line="300" w:lineRule="auto"/>
      </w:pPr>
      <w:r>
        <w:rPr>
          <w:rFonts w:ascii="Calibri" w:hAnsi="Calibri"/>
          <w:b/>
          <w:color w:val="0B2545"/>
        </w:rPr>
        <w:t xml:space="preserve">Evidence synthesis: </w:t>
      </w:r>
      <w:r>
        <w:t>Use a vendor-neutral narrative review with a recent-state-of-the-art window supplemented by classics for physical principles. Separate peer-reviewed evidence, standards, vendor device specifications, market estimates, and author assessments; every quantitative envelope or non-obvious claim should remain traceable to the registry.</w:t>
      </w:r>
    </w:p>
    <w:p>
      <w:pPr>
        <w:keepLines/>
        <w:spacing w:before="0" w:after="80" w:line="300" w:lineRule="auto"/>
      </w:pPr>
      <w:r>
        <w:rPr>
          <w:rFonts w:ascii="Calibri" w:hAnsi="Calibri"/>
          <w:b/>
          <w:color w:val="7A5A00"/>
        </w:rPr>
        <w:t xml:space="preserve">Critical significance: </w:t>
      </w:r>
      <w:r>
        <w:t>This protects the paper from overclaiming and makes the dual technical/business audience credible.</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PROJECT_BRIEF; 00_target_journal_brief; 70_bibliography_report</w:t>
      </w:r>
    </w:p>
    <w:p>
      <w:pPr>
        <w:pStyle w:val="Heading2"/>
      </w:pPr>
      <w:r>
        <w:t>Signature synthesis artifacts</w:t>
      </w:r>
    </w:p>
    <w:p>
      <w:pPr>
        <w:keepLines/>
        <w:spacing w:before="0" w:after="80" w:line="300" w:lineRule="auto"/>
      </w:pPr>
      <w:r>
        <w:rPr>
          <w:rFonts w:ascii="Calibri" w:hAnsi="Calibri"/>
          <w:b/>
          <w:color w:val="0B2545"/>
        </w:rPr>
        <w:t xml:space="preserve">Evidence synthesis: </w:t>
      </w:r>
      <w:r>
        <w:t>Build Fig. 1 as a sourced field-range-versus-bandwidth capability map. Use Table 1 for performance and maturity and Table 2 for family-by-domain fit; leave cells unreported when the underlying literature has not yet supplied a verified value.</w:t>
      </w:r>
    </w:p>
    <w:p>
      <w:pPr>
        <w:keepLines/>
        <w:spacing w:before="0" w:after="80" w:line="300" w:lineRule="auto"/>
      </w:pPr>
      <w:r>
        <w:rPr>
          <w:rFonts w:ascii="Calibri" w:hAnsi="Calibri"/>
          <w:b/>
          <w:color w:val="7A5A00"/>
        </w:rPr>
        <w:t xml:space="preserve">Critical significance: </w:t>
      </w:r>
      <w:r>
        <w:t>The paper becomes useful as a selection reference, while visible evidence gaps are safer than invented precision.</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Lenz2006magsensors; Zheng2019mrroadmap; Stage30 comparison table; Stage40 domain matrix</w:t>
      </w:r>
    </w:p>
    <w:p>
      <w:pPr>
        <w:pStyle w:val="Heading1"/>
      </w:pPr>
      <w:r>
        <w:t>Section 2</w:t>
      </w:r>
    </w:p>
    <w:p>
      <w:pPr>
        <w:pStyle w:val="Heading2"/>
      </w:pPr>
      <w:r>
        <w:t>Hall effect: silicon CMOS and spinning-current readout</w:t>
      </w:r>
    </w:p>
    <w:p>
      <w:pPr>
        <w:keepLines/>
        <w:spacing w:before="0" w:after="80" w:line="300" w:lineRule="auto"/>
      </w:pPr>
      <w:r>
        <w:rPr>
          <w:rFonts w:ascii="Calibri" w:hAnsi="Calibri"/>
          <w:b/>
          <w:color w:val="0B2545"/>
        </w:rPr>
        <w:t xml:space="preserve">Evidence synthesis: </w:t>
      </w:r>
      <w:r>
        <w:t>Hall plates provide true dc response, very wide dynamic range, low cost, and straightforward CMOS integration. Their limiting issues are low raw sensitivity, offset, 1/f noise, stress drift, and the bandwidth/ripple trade introduced by spinning-current or chopping; integrated current sensors are strongest in high-field, position, and power applications.</w:t>
      </w:r>
    </w:p>
    <w:p>
      <w:pPr>
        <w:keepLines/>
        <w:spacing w:before="0" w:after="80" w:line="300" w:lineRule="auto"/>
      </w:pPr>
      <w:r>
        <w:rPr>
          <w:rFonts w:ascii="Calibri" w:hAnsi="Calibri"/>
          <w:b/>
          <w:color w:val="7A5A00"/>
        </w:rPr>
        <w:t xml:space="preserve">Critical significance: </w:t>
      </w:r>
      <w:r>
        <w:t>Hall remains the volume baseline against which newer families must justify sensitivity, integration, reliability, or cost advantages.</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Popovic2004hallbook; Munter1990spinning; Crescentini2022hallcurrent; JEET2019lownoisehall; SiHall3axis2025msn</w:t>
      </w:r>
    </w:p>
    <w:p>
      <w:pPr>
        <w:pStyle w:val="Heading2"/>
      </w:pPr>
      <w:r>
        <w:t>Hall effect: GaN/2DEG harsh-environment variants</w:t>
      </w:r>
    </w:p>
    <w:p>
      <w:pPr>
        <w:keepLines/>
        <w:spacing w:before="0" w:after="80" w:line="300" w:lineRule="auto"/>
      </w:pPr>
      <w:r>
        <w:rPr>
          <w:rFonts w:ascii="Calibri" w:hAnsi="Calibri"/>
          <w:b/>
          <w:color w:val="0B2545"/>
        </w:rPr>
        <w:t xml:space="preserve">Evidence synthesis: </w:t>
      </w:r>
      <w:r>
        <w:t>AlGaN/GaN and InAlN/GaN 2DEG Hall devices extend Hall physics to extreme temperatures. Alpert et al. report operation through 576 C and comparatively stable current-scaled sensitivity, but offset treatment, external readout, supplier depth, and system qualification remain barriers; the author's 2023 IEEE Sensors Letters self-citation still needs manual insertion.</w:t>
      </w:r>
    </w:p>
    <w:p>
      <w:pPr>
        <w:keepLines/>
        <w:spacing w:before="0" w:after="80" w:line="300" w:lineRule="auto"/>
      </w:pPr>
      <w:r>
        <w:rPr>
          <w:rFonts w:ascii="Calibri" w:hAnsi="Calibri"/>
          <w:b/>
          <w:color w:val="7A5A00"/>
        </w:rPr>
        <w:t xml:space="preserve">Critical significance: </w:t>
      </w:r>
      <w:r>
        <w:t>This is a credible pioneering route for aerospace, rotating machinery, well logging, and fusion environments where silicon electronics cannot survive locally.</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Alpert2020gan2deg; GaNHEMThall2012jpcs; author self-citation [manual insertion required]</w:t>
      </w:r>
    </w:p>
    <w:p>
      <w:pPr>
        <w:pStyle w:val="Heading2"/>
      </w:pPr>
      <w:r>
        <w:t>Magnetoresistive ladder: AMR, GMR, and TMR</w:t>
      </w:r>
    </w:p>
    <w:p>
      <w:pPr>
        <w:keepLines/>
        <w:spacing w:before="0" w:after="80" w:line="300" w:lineRule="auto"/>
      </w:pPr>
      <w:r>
        <w:rPr>
          <w:rFonts w:ascii="Calibri" w:hAnsi="Calibri"/>
          <w:b/>
          <w:color w:val="0B2545"/>
        </w:rPr>
        <w:t xml:space="preserve">Evidence synthesis: </w:t>
      </w:r>
      <w:r>
        <w:t>AMR is mature and inexpensive but offers the smallest MR signal and may need set/reset recovery. GMR provides larger response and proven automotive/biosensor use but retains hysteresis, saturation, blocking-temperature, and low-frequency-noise concerns. TMR/MTJ offers the largest transfer signal, low power, and potentially pT-class detectivity, yet barrier uniformity, 1/f noise, hysteresis, ESD, and field-range engineering remain central.</w:t>
      </w:r>
    </w:p>
    <w:p>
      <w:pPr>
        <w:keepLines/>
        <w:spacing w:before="0" w:after="80" w:line="300" w:lineRule="auto"/>
      </w:pPr>
      <w:r>
        <w:rPr>
          <w:rFonts w:ascii="Calibri" w:hAnsi="Calibri"/>
          <w:b/>
          <w:color w:val="7A5A00"/>
        </w:rPr>
        <w:t xml:space="preserve">Critical significance: </w:t>
      </w:r>
      <w:r>
        <w:t>The AMR-GMR-TMR progression explains why TMR is the most important cross-domain challenger to Hall while older xMR families remain commercially durable.</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Jogschies2015mrindustrial; Freitas2016spintronic; Zheng2019mrroadmap; Zhou2022TMRchapter; Egelhoff2009picoteslaMTJ; TMRsubpT2025APL; Spintronic2024npj</w:t>
      </w:r>
    </w:p>
    <w:p>
      <w:pPr>
        <w:pStyle w:val="Heading2"/>
      </w:pPr>
      <w:r>
        <w:t>Fluxgate magnetometers</w:t>
      </w:r>
    </w:p>
    <w:p>
      <w:pPr>
        <w:keepLines/>
        <w:spacing w:before="0" w:after="80" w:line="300" w:lineRule="auto"/>
      </w:pPr>
      <w:r>
        <w:rPr>
          <w:rFonts w:ascii="Calibri" w:hAnsi="Calibri"/>
          <w:b/>
          <w:color w:val="0B2545"/>
        </w:rPr>
        <w:t xml:space="preserve">Evidence synthesis: </w:t>
      </w:r>
      <w:r>
        <w:t>Fluxgates use driven ferromagnetic cores and harmonic detection to measure weak dc fields with high accuracy and stability. They occupy the precision nT-pT niche between mass-market xMR/Hall and quantum instruments; excitation power, size, heading error, offset drift, and core-related noise limit miniaturization.</w:t>
      </w:r>
    </w:p>
    <w:p>
      <w:pPr>
        <w:keepLines/>
        <w:spacing w:before="0" w:after="80" w:line="300" w:lineRule="auto"/>
      </w:pPr>
      <w:r>
        <w:rPr>
          <w:rFonts w:ascii="Calibri" w:hAnsi="Calibri"/>
          <w:b/>
          <w:color w:val="7A5A00"/>
        </w:rPr>
        <w:t xml:space="preserve">Critical significance: </w:t>
      </w:r>
      <w:r>
        <w:t>Fluxgate is the established reference for navigation, space, geophysics, and precision dc metering when cryogenics or atomic instrumentation is impractical.</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Ripka2003fluxgateadv; Fluxgate2021Sensors; Dressler2021orthofluxgate; Miles2016fluxgateCubeSat</w:t>
      </w:r>
    </w:p>
    <w:p>
      <w:pPr>
        <w:pStyle w:val="Heading2"/>
      </w:pPr>
      <w:r>
        <w:t>Search-coil and induction sensors</w:t>
      </w:r>
    </w:p>
    <w:p>
      <w:pPr>
        <w:keepLines/>
        <w:spacing w:before="0" w:after="80" w:line="300" w:lineRule="auto"/>
      </w:pPr>
      <w:r>
        <w:rPr>
          <w:rFonts w:ascii="Calibri" w:hAnsi="Calibri"/>
          <w:b/>
          <w:color w:val="0B2545"/>
        </w:rPr>
        <w:t xml:space="preserve">Evidence synthesis: </w:t>
      </w:r>
      <w:r>
        <w:t>Search coils measure dB/dt and therefore excel at ac fields, transient capture, geophysics, eddy-current inspection, and wideband power sensing; they cannot measure static fields without motion or modulation. Sensitivity, coil size, turns, core losses, resonance, and amplifier noise set the bandwidth-size trade.</w:t>
      </w:r>
    </w:p>
    <w:p>
      <w:pPr>
        <w:keepLines/>
        <w:spacing w:before="0" w:after="80" w:line="300" w:lineRule="auto"/>
      </w:pPr>
      <w:r>
        <w:rPr>
          <w:rFonts w:ascii="Calibri" w:hAnsi="Calibri"/>
          <w:b/>
          <w:color w:val="7A5A00"/>
        </w:rPr>
        <w:t xml:space="preserve">Critical significance: </w:t>
      </w:r>
      <w:r>
        <w:t>They remain indispensable because passive, robust ac measurement can outperform more complex dc-capable sensors in the right frequency regime.</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Tumanski2007inductioncoil; Roux2008themisSCM; Coillot2010dualband</w:t>
      </w:r>
    </w:p>
    <w:p>
      <w:pPr>
        <w:pStyle w:val="Heading2"/>
      </w:pPr>
      <w:r>
        <w:t>Giant magnetoimpedance (GMI)</w:t>
      </w:r>
    </w:p>
    <w:p>
      <w:pPr>
        <w:keepLines/>
        <w:spacing w:before="0" w:after="80" w:line="300" w:lineRule="auto"/>
      </w:pPr>
      <w:r>
        <w:rPr>
          <w:rFonts w:ascii="Calibri" w:hAnsi="Calibri"/>
          <w:b/>
          <w:color w:val="0B2545"/>
        </w:rPr>
        <w:t xml:space="preserve">Evidence synthesis: </w:t>
      </w:r>
      <w:r>
        <w:t>GMI uses the field dependence of high-frequency impedance in soft magnetic wires or films. It can deliver high sensitivity and compact form factors, including picotesla laboratory demonstrations, but drive-frequency electronics, nonlinear response, temperature dependence, fabrication repeatability, and a narrow commercial ecosystem constrain broad adoption.</w:t>
      </w:r>
    </w:p>
    <w:p>
      <w:pPr>
        <w:keepLines/>
        <w:spacing w:before="0" w:after="80" w:line="300" w:lineRule="auto"/>
      </w:pPr>
      <w:r>
        <w:rPr>
          <w:rFonts w:ascii="Calibri" w:hAnsi="Calibri"/>
          <w:b/>
          <w:color w:val="7A5A00"/>
        </w:rPr>
        <w:t xml:space="preserve">Critical significance: </w:t>
      </w:r>
      <w:r>
        <w:t>GMI is a technically promising bridge between conventional electronics and weak-field sensing, but its commercialization evidence is thinner than its sensitivity literature.</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Phan2008gmiprogress; Dolabdjian2016gmichapter; Uchiyama2020picoteslaMI</w:t>
      </w:r>
    </w:p>
    <w:p>
      <w:pPr>
        <w:pStyle w:val="Heading2"/>
      </w:pPr>
      <w:r>
        <w:t>SQUID magnetometers</w:t>
      </w:r>
    </w:p>
    <w:p>
      <w:pPr>
        <w:keepLines/>
        <w:spacing w:before="0" w:after="80" w:line="300" w:lineRule="auto"/>
      </w:pPr>
      <w:r>
        <w:rPr>
          <w:rFonts w:ascii="Calibri" w:hAnsi="Calibri"/>
          <w:b/>
          <w:color w:val="0B2545"/>
        </w:rPr>
        <w:t xml:space="preserve">Evidence synthesis: </w:t>
      </w:r>
      <w:r>
        <w:t>SQUIDs convert magnetic flux into a superconducting interference signal and remain the benchmark for ultra-low noise and broad weak-field performance. Their limitations are cryogenics, shielding, system cost, maintenance, and deployment complexity, though high-Tc and cryogen-free system improvements reduce some burdens.</w:t>
      </w:r>
    </w:p>
    <w:p>
      <w:pPr>
        <w:keepLines/>
        <w:spacing w:before="0" w:after="80" w:line="300" w:lineRule="auto"/>
      </w:pPr>
      <w:r>
        <w:rPr>
          <w:rFonts w:ascii="Calibri" w:hAnsi="Calibri"/>
          <w:b/>
          <w:color w:val="7A5A00"/>
        </w:rPr>
        <w:t xml:space="preserve">Critical significance: </w:t>
      </w:r>
      <w:r>
        <w:t>SQUID defines the incumbent performance ceiling in biomagnetism and metrology, so every room-temperature challenger should be compared against the full system, not only the sensing element.</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Fagaly2006squidRSI; Clarke2018squidfocus</w:t>
      </w:r>
    </w:p>
    <w:p>
      <w:pPr>
        <w:pStyle w:val="Heading2"/>
      </w:pPr>
      <w:r>
        <w:t>Optically pumped magnetometers (OPM/SERF)</w:t>
      </w:r>
    </w:p>
    <w:p>
      <w:pPr>
        <w:keepLines/>
        <w:spacing w:before="0" w:after="80" w:line="300" w:lineRule="auto"/>
      </w:pPr>
      <w:r>
        <w:rPr>
          <w:rFonts w:ascii="Calibri" w:hAnsi="Calibri"/>
          <w:b/>
          <w:color w:val="0B2545"/>
        </w:rPr>
        <w:t xml:space="preserve">Evidence synthesis: </w:t>
      </w:r>
      <w:r>
        <w:t>OPMs infer field from optically interrogated atomic spin dynamics. SERF devices achieve sub-fT-class sensitivity under near-zero-field conditions and have enabled wearable MEG/MCG arrays; dynamic range, bandwidth, crosstalk, heating, field control, and calibration of many channels remain system-level constraints.</w:t>
      </w:r>
    </w:p>
    <w:p>
      <w:pPr>
        <w:keepLines/>
        <w:spacing w:before="0" w:after="80" w:line="300" w:lineRule="auto"/>
      </w:pPr>
      <w:r>
        <w:rPr>
          <w:rFonts w:ascii="Calibri" w:hAnsi="Calibri"/>
          <w:b/>
          <w:color w:val="7A5A00"/>
        </w:rPr>
        <w:t xml:space="preserve">Critical significance: </w:t>
      </w:r>
      <w:r>
        <w:t>OPMs are the strongest cryogen-free challenger to SQUID in biomagnetism because they permit closer, movable, and potentially more accessible measurements.</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Kominis2003subfemtotesla; Shah2007microfabvapor; Tierney2019OPM; Boto2018wearableMEG; Kitching2018chipscaleatomic; Brickwedde2024OPMMEG; Pedersen2022OPMepilepsy</w:t>
      </w:r>
    </w:p>
    <w:p>
      <w:pPr>
        <w:pStyle w:val="Heading2"/>
      </w:pPr>
      <w:r>
        <w:t>NV-diamond magnetometry</w:t>
      </w:r>
    </w:p>
    <w:p>
      <w:pPr>
        <w:keepLines/>
        <w:spacing w:before="0" w:after="80" w:line="300" w:lineRule="auto"/>
      </w:pPr>
      <w:r>
        <w:rPr>
          <w:rFonts w:ascii="Calibri" w:hAnsi="Calibri"/>
          <w:b/>
          <w:color w:val="0B2545"/>
        </w:rPr>
        <w:t xml:space="preserve">Evidence synthesis: </w:t>
      </w:r>
      <w:r>
        <w:t>Nitrogen-vacancy centers provide room-temperature quantum sensing with optical readout, vector capability, and spatial resolution from nanoscale probes to ensembles. Sensitivity depends strongly on spin coherence, photon collection, readout architecture, diamond quality, and microwave/optical overhead; current-sensing deployment evidence is still partly preprint-stage.</w:t>
      </w:r>
    </w:p>
    <w:p>
      <w:pPr>
        <w:keepLines/>
        <w:spacing w:before="0" w:after="80" w:line="300" w:lineRule="auto"/>
      </w:pPr>
      <w:r>
        <w:rPr>
          <w:rFonts w:ascii="Calibri" w:hAnsi="Calibri"/>
          <w:b/>
          <w:color w:val="7A5A00"/>
        </w:rPr>
        <w:t xml:space="preserve">Critical significance: </w:t>
      </w:r>
      <w:r>
        <w:t>NV sensing is distinctive where spatially resolved, non-invasive, or harsh-environment quantum measurement matters more than near-term commodity cost.</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Barry2020NVdiamond; NVsub10pT2024prapplied; Santagati2019fieldlearning; Zhang2024dnnNVreadout; NVcurrentPPM2023 [preprint]</w:t>
      </w:r>
    </w:p>
    <w:p>
      <w:pPr>
        <w:pStyle w:val="Heading2"/>
      </w:pPr>
      <w:r>
        <w:t>Other emerging and reference families</w:t>
      </w:r>
    </w:p>
    <w:p>
      <w:pPr>
        <w:keepLines/>
        <w:spacing w:before="0" w:after="80" w:line="300" w:lineRule="auto"/>
      </w:pPr>
      <w:r>
        <w:rPr>
          <w:rFonts w:ascii="Calibri" w:hAnsi="Calibri"/>
          <w:b/>
          <w:color w:val="0B2545"/>
        </w:rPr>
        <w:t xml:space="preserve">Evidence synthesis: </w:t>
      </w:r>
      <w:r>
        <w:t>Magnetoelectric composites seek passive or low-power pT-class sensing but remain dominated by resonance, vibration, packaging, and reproducibility challenges. MEMS Lorentz-force devices offer CMOS-compatible resonant transduction but face vacuum/Q-factor and bias-current tradeoffs. Fiber/magneto-optic sensors provide isolation and immunity for power systems, while proton/Overhauser/CPT instruments are especially valuable as absolute or traceability references.</w:t>
      </w:r>
    </w:p>
    <w:p>
      <w:pPr>
        <w:keepLines/>
        <w:spacing w:before="0" w:after="80" w:line="300" w:lineRule="auto"/>
      </w:pPr>
      <w:r>
        <w:rPr>
          <w:rFonts w:ascii="Calibri" w:hAnsi="Calibri"/>
          <w:b/>
          <w:color w:val="7A5A00"/>
        </w:rPr>
        <w:t xml:space="preserve">Critical significance: </w:t>
      </w:r>
      <w:r>
        <w:t>These families should be treated concisely and honestly: they broaden the design space, but their evidence and maturity differ sharply.</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Bichurin2021MEreview; Li2017nemsME; Nan2013selfbiasME; HerreraMay2009memsresonant; Rostami2023fbgreview; Silva2012opticalcurrent; Ge2016overhauser; Kitching2018chipscaleatomic</w:t>
      </w:r>
    </w:p>
    <w:p>
      <w:pPr>
        <w:pStyle w:val="Heading2"/>
      </w:pPr>
      <w:r>
        <w:t>Energy applications</w:t>
      </w:r>
    </w:p>
    <w:p>
      <w:pPr>
        <w:keepLines/>
        <w:spacing w:before="0" w:after="80" w:line="300" w:lineRule="auto"/>
      </w:pPr>
      <w:r>
        <w:rPr>
          <w:rFonts w:ascii="Calibri" w:hAnsi="Calibri"/>
          <w:b/>
          <w:color w:val="0B2545"/>
        </w:rPr>
        <w:t xml:space="preserve">Evidence synthesis: </w:t>
      </w:r>
      <w:r>
        <w:t>Hall and TMR dominate isolated dc and traction-inverter current sensing; search-coil/Rogowski and optical approaches add bandwidth or insulation advantages. Fluxgate supports precision dc metering, while distributed magnetic measurements enable overhead-line monitoring, battery-current estimation, and condition monitoring. Claimed market shares should remain qualitative unless tied to a primary, current source.</w:t>
      </w:r>
    </w:p>
    <w:p>
      <w:pPr>
        <w:keepLines/>
        <w:spacing w:before="0" w:after="80" w:line="300" w:lineRule="auto"/>
      </w:pPr>
      <w:r>
        <w:rPr>
          <w:rFonts w:ascii="Calibri" w:hAnsi="Calibri"/>
          <w:b/>
          <w:color w:val="7A5A00"/>
        </w:rPr>
        <w:t xml:space="preserve">Critical significance: </w:t>
      </w:r>
      <w:r>
        <w:t>Energy systems reward galvanic isolation, bandwidth, low drift, and fault tolerance, making current sensing a major battleground between Hall incumbency and TMR performance.</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Crescentini2022hallcurrent; Khawaja2017overheadlines; Chen2024contactlessOHL; Xu2025TMRsmartgrid; Silva2012opticalcurrent</w:t>
      </w:r>
    </w:p>
    <w:p>
      <w:pPr>
        <w:pStyle w:val="Heading2"/>
      </w:pPr>
      <w:r>
        <w:t>Transportation applications</w:t>
      </w:r>
    </w:p>
    <w:p>
      <w:pPr>
        <w:keepLines/>
        <w:spacing w:before="0" w:after="80" w:line="300" w:lineRule="auto"/>
      </w:pPr>
      <w:r>
        <w:rPr>
          <w:rFonts w:ascii="Calibri" w:hAnsi="Calibri"/>
          <w:b/>
          <w:color w:val="0B2545"/>
        </w:rPr>
        <w:t xml:space="preserve">Evidence synthesis: </w:t>
      </w:r>
      <w:r>
        <w:t>Automotive magnetic sensors support position, angle, speed, wheel sensing, motor commutation, traction-current measurement, and navigation. Hall and xMR win through integration and qualification; fluxgate retains precision navigation/space niches. The key technical frame is not maximum sensitivity but operation across temperature, EMC, stray fields, air gaps, redundancy, and functional-safety diagnostics.</w:t>
      </w:r>
    </w:p>
    <w:p>
      <w:pPr>
        <w:keepLines/>
        <w:spacing w:before="0" w:after="80" w:line="300" w:lineRule="auto"/>
      </w:pPr>
      <w:r>
        <w:rPr>
          <w:rFonts w:ascii="Calibri" w:hAnsi="Calibri"/>
          <w:b/>
          <w:color w:val="7A5A00"/>
        </w:rPr>
        <w:t xml:space="preserve">Critical significance: </w:t>
      </w:r>
      <w:r>
        <w:t>Transportation is the highest-volume proof that packaging, diagnostics, and qualification can matter more than the sensing effect itself.</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Treutler2001automotive; Miles2016fluxgateCubeSat; ISO26262; CISPR25; ISO11452</w:t>
      </w:r>
    </w:p>
    <w:p>
      <w:pPr>
        <w:pStyle w:val="Heading2"/>
      </w:pPr>
      <w:r>
        <w:t>Industrial and manufacturing applications</w:t>
      </w:r>
    </w:p>
    <w:p>
      <w:pPr>
        <w:keepLines/>
        <w:spacing w:before="0" w:after="80" w:line="300" w:lineRule="auto"/>
      </w:pPr>
      <w:r>
        <w:rPr>
          <w:rFonts w:ascii="Calibri" w:hAnsi="Calibri"/>
          <w:b/>
          <w:color w:val="0B2545"/>
        </w:rPr>
        <w:t xml:space="preserve">Evidence synthesis: </w:t>
      </w:r>
      <w:r>
        <w:t>Magnetic flux leakage, eddy-current testing, GMR arrays, motor stray-flux monitoring, encoders, robotics, and proximity sensing convert field patterns into defect, condition, or motion information. Array design, inverse models, calibration, and environmental robustness determine whether laboratory sensitivity becomes actionable maintenance evidence.</w:t>
      </w:r>
    </w:p>
    <w:p>
      <w:pPr>
        <w:keepLines/>
        <w:spacing w:before="0" w:after="80" w:line="300" w:lineRule="auto"/>
      </w:pPr>
      <w:r>
        <w:rPr>
          <w:rFonts w:ascii="Calibri" w:hAnsi="Calibri"/>
          <w:b/>
          <w:color w:val="7A5A00"/>
        </w:rPr>
        <w:t xml:space="preserve">Critical significance: </w:t>
      </w:r>
      <w:r>
        <w:t>This domain is the natural bridge to machine learning because repeatable magnetic signatures can support non-destructive inspection and predictive maintenance.</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Rifai2016GMReddyreview; Bailey2017eddyCUI; Mazaheri2022strayflux; Louzada2025strayfluxML</w:t>
      </w:r>
    </w:p>
    <w:p>
      <w:pPr>
        <w:pStyle w:val="Heading2"/>
      </w:pPr>
      <w:r>
        <w:t>Biomedical applications</w:t>
      </w:r>
    </w:p>
    <w:p>
      <w:pPr>
        <w:keepLines/>
        <w:spacing w:before="0" w:after="80" w:line="300" w:lineRule="auto"/>
      </w:pPr>
      <w:r>
        <w:rPr>
          <w:rFonts w:ascii="Calibri" w:hAnsi="Calibri"/>
          <w:b/>
          <w:color w:val="0B2545"/>
        </w:rPr>
        <w:t xml:space="preserve">Evidence synthesis: </w:t>
      </w:r>
      <w:r>
        <w:t>SQUID and OPM support MEG/MCG, with OPM enabling wearable and bedside geometries. GMR/TMR biosensors detect magnetic labels in lab-on-chip formats; MPI images tracer response; magnetic tracking localizes instruments. Clinical usefulness depends on shielding, calibration, source localization, biocompatibility, workflow, and regulatory evidence, not sensor sensitivity alone.</w:t>
      </w:r>
    </w:p>
    <w:p>
      <w:pPr>
        <w:keepLines/>
        <w:spacing w:before="0" w:after="80" w:line="300" w:lineRule="auto"/>
      </w:pPr>
      <w:r>
        <w:rPr>
          <w:rFonts w:ascii="Calibri" w:hAnsi="Calibri"/>
          <w:b/>
          <w:color w:val="7A5A00"/>
        </w:rPr>
        <w:t xml:space="preserve">Critical significance: </w:t>
      </w:r>
      <w:r>
        <w:t>Biomedicine shows how a sensor becomes a medical system only after the inverse problem, patient interface, and regulatory pathway are solved together.</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Brisinda2023clinicalMCG; Iwata2024bedsideMCG; Brickwedde2024OPMMEG; Pedersen2022OPMepilepsy; Wang2024magbiosensorPOCT; Wu2019MPIneuro; He2025EMtracking</w:t>
      </w:r>
    </w:p>
    <w:p>
      <w:pPr>
        <w:pStyle w:val="Heading1"/>
      </w:pPr>
      <w:r>
        <w:t>Section 3</w:t>
      </w:r>
    </w:p>
    <w:p>
      <w:pPr>
        <w:pStyle w:val="Heading2"/>
      </w:pPr>
      <w:r>
        <w:t>Learned calibration and data-driven models</w:t>
      </w:r>
    </w:p>
    <w:p>
      <w:pPr>
        <w:keepLines/>
        <w:spacing w:before="0" w:after="80" w:line="300" w:lineRule="auto"/>
      </w:pPr>
      <w:r>
        <w:rPr>
          <w:rFonts w:ascii="Calibri" w:hAnsi="Calibri"/>
          <w:b/>
          <w:color w:val="0B2545"/>
        </w:rPr>
        <w:t xml:space="preserve">Evidence synthesis: </w:t>
      </w:r>
      <w:r>
        <w:t>Machine learning can learn cross-axis, temperature, installation, and environmental corrections and can support calibration transfer or inverse reconstruction. It should augment, not replace, physical calibration and front-end offset/noise suppression; distribution shift and traceability must be quantified.</w:t>
      </w:r>
    </w:p>
    <w:p>
      <w:pPr>
        <w:keepLines/>
        <w:spacing w:before="0" w:after="80" w:line="300" w:lineRule="auto"/>
      </w:pPr>
      <w:r>
        <w:rPr>
          <w:rFonts w:ascii="Calibri" w:hAnsi="Calibri"/>
          <w:b/>
          <w:color w:val="7A5A00"/>
        </w:rPr>
        <w:t xml:space="preserve">Critical significance: </w:t>
      </w:r>
      <w:r>
        <w:t>The highest-value near-term use of learning is often turning an imperfect, inexpensive sensor into a stable system rather than improving the sensing material itself.</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Kok2016magcal; Shetty2026AMRcalibNN; Karniadakis2021piml; Kadlec2009softsensor</w:t>
      </w:r>
    </w:p>
    <w:p>
      <w:pPr>
        <w:pStyle w:val="Heading2"/>
      </w:pPr>
      <w:r>
        <w:t>ML-assisted readout, control, and diagnostics</w:t>
      </w:r>
    </w:p>
    <w:p>
      <w:pPr>
        <w:keepLines/>
        <w:spacing w:before="0" w:after="80" w:line="300" w:lineRule="auto"/>
      </w:pPr>
      <w:r>
        <w:rPr>
          <w:rFonts w:ascii="Calibri" w:hAnsi="Calibri"/>
          <w:b/>
          <w:color w:val="0B2545"/>
        </w:rPr>
        <w:t xml:space="preserve">Evidence synthesis: </w:t>
      </w:r>
      <w:r>
        <w:t>Bayesian and neural methods can accelerate quantum readout, denoise classical signals, and classify machine faults. Demonstrated magnetic closed-loop nulling is presently model-based rather than learned, so adaptive biasing should remain an outlook claim; learned aging compensation lacks a peer-reviewed anchor.</w:t>
      </w:r>
    </w:p>
    <w:p>
      <w:pPr>
        <w:keepLines/>
        <w:spacing w:before="0" w:after="80" w:line="300" w:lineRule="auto"/>
      </w:pPr>
      <w:r>
        <w:rPr>
          <w:rFonts w:ascii="Calibri" w:hAnsi="Calibri"/>
          <w:b/>
          <w:color w:val="7A5A00"/>
        </w:rPr>
        <w:t xml:space="preserve">Critical significance: </w:t>
      </w:r>
      <w:r>
        <w:t>This distinction keeps the section forward-looking without presenting prototypes or adjacent methods as production-ready capabilities.</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Santagati2019fieldlearning; Zhang2024dnnNVreadout; Homrighausen2023edgeNV; Sakib2022mcgedgeDL; Holmes2018biplanarnulling; Louzada2025strayfluxML</w:t>
      </w:r>
    </w:p>
    <w:p>
      <w:pPr>
        <w:pStyle w:val="Heading2"/>
      </w:pPr>
      <w:r>
        <w:t>Fusion, arrays, and multi-modality</w:t>
      </w:r>
    </w:p>
    <w:p>
      <w:pPr>
        <w:keepLines/>
        <w:spacing w:before="0" w:after="80" w:line="300" w:lineRule="auto"/>
      </w:pPr>
      <w:r>
        <w:rPr>
          <w:rFonts w:ascii="Calibri" w:hAnsi="Calibri"/>
          <w:b/>
          <w:color w:val="0B2545"/>
        </w:rPr>
        <w:t xml:space="preserve">Evidence synthesis: </w:t>
      </w:r>
      <w:r>
        <w:t>Magnetic-inertial fusion, magnetic-field SLAM, gradiometry, dense arrays, tSSS, and source localization exploit spatial structure that a single sensor cannot observe. Performance depends on map stability, array calibration, synchronization, interference rejection, and an explicit inverse model.</w:t>
      </w:r>
    </w:p>
    <w:p>
      <w:pPr>
        <w:keepLines/>
        <w:spacing w:before="0" w:after="80" w:line="300" w:lineRule="auto"/>
      </w:pPr>
      <w:r>
        <w:rPr>
          <w:rFonts w:ascii="Calibri" w:hAnsi="Calibri"/>
          <w:b/>
          <w:color w:val="7A5A00"/>
        </w:rPr>
        <w:t xml:space="preserve">Critical significance: </w:t>
      </w:r>
      <w:r>
        <w:t>The field's frontier is increasingly a coordinated sensing system that combines modest elements into information unavailable from any single channel.</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KokSolin2018magslam; Viset2022ekfmagslam; Taulu2006tsss; Hamalainen1993meg</w:t>
      </w:r>
    </w:p>
    <w:p>
      <w:pPr>
        <w:pStyle w:val="Heading2"/>
      </w:pPr>
      <w:r>
        <w:t>Digital twins</w:t>
      </w:r>
    </w:p>
    <w:p>
      <w:pPr>
        <w:keepLines/>
        <w:spacing w:before="0" w:after="80" w:line="300" w:lineRule="auto"/>
      </w:pPr>
      <w:r>
        <w:rPr>
          <w:rFonts w:ascii="Calibri" w:hAnsi="Calibri"/>
          <w:b/>
          <w:color w:val="0B2545"/>
        </w:rPr>
        <w:t xml:space="preserve">Evidence synthesis: </w:t>
      </w:r>
      <w:r>
        <w:t>A digital twin must remain linked to a physical asset and update with operational data; a static simulation is not enough. Machine-level twins using magnetic condition signals are demonstrated, but a traceable sensor-level twin that owns calibration state, uncertainty, drift, and health remains largely aspirational.</w:t>
      </w:r>
    </w:p>
    <w:p>
      <w:pPr>
        <w:keepLines/>
        <w:spacing w:before="0" w:after="80" w:line="300" w:lineRule="auto"/>
      </w:pPr>
      <w:r>
        <w:rPr>
          <w:rFonts w:ascii="Calibri" w:hAnsi="Calibri"/>
          <w:b/>
          <w:color w:val="7A5A00"/>
        </w:rPr>
        <w:t xml:space="preserve">Critical significance: </w:t>
      </w:r>
      <w:r>
        <w:t>Using a strict definition prevents the paper from inflating ordinary modeling into a trend claim and identifies a genuine research gap.</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Glaessgen2012dtparadigm; Wright2020modeltwin; Tao2019dtindustry; Rasheed2020dtenablers; Falekas2021dtmachines; EnergiesDT2025faultdiag</w:t>
      </w:r>
    </w:p>
    <w:p>
      <w:pPr>
        <w:pStyle w:val="Heading1"/>
      </w:pPr>
      <w:r>
        <w:t>Section 4</w:t>
      </w:r>
    </w:p>
    <w:p>
      <w:pPr>
        <w:pStyle w:val="Heading2"/>
      </w:pPr>
      <w:r>
        <w:t>Technology readiness and market landscape</w:t>
      </w:r>
    </w:p>
    <w:p>
      <w:pPr>
        <w:keepLines/>
        <w:spacing w:before="0" w:after="80" w:line="300" w:lineRule="auto"/>
      </w:pPr>
      <w:r>
        <w:rPr>
          <w:rFonts w:ascii="Calibri" w:hAnsi="Calibri"/>
          <w:b/>
          <w:color w:val="0B2545"/>
        </w:rPr>
        <w:t xml:space="preserve">Evidence synthesis: </w:t>
      </w:r>
      <w:r>
        <w:t>Mass-market Hall and xMR, established-niche fluxgate/search-coil/SQUID, and pioneering OPM/NV/ME/MEMS occupy different readiness and market-pull positions. TRL ratings are author assessments; market sizes are attributed grey-literature ranges and must not be averaged into false precision. TMR acquisitions and product launches are useful competitive signals, not scientific validation.</w:t>
      </w:r>
    </w:p>
    <w:p>
      <w:pPr>
        <w:keepLines/>
        <w:spacing w:before="0" w:after="80" w:line="300" w:lineRule="auto"/>
      </w:pPr>
      <w:r>
        <w:rPr>
          <w:rFonts w:ascii="Calibri" w:hAnsi="Calibri"/>
          <w:b/>
          <w:color w:val="7A5A00"/>
        </w:rPr>
        <w:t xml:space="preserve">Critical significance: </w:t>
      </w:r>
      <w:r>
        <w:t>This lets technical performance, manufacturing maturity, and commercial evidence be compared without mixing fundamentally different source types.</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GrandView2025magmarket [market]; Allegro2023crocus [press]; TDK2016micronas [press]; Stage60 TRL assessment</w:t>
      </w:r>
    </w:p>
    <w:p>
      <w:pPr>
        <w:pStyle w:val="Heading2"/>
      </w:pPr>
      <w:r>
        <w:t>Automotive functional safety and qualification</w:t>
      </w:r>
    </w:p>
    <w:p>
      <w:pPr>
        <w:keepLines/>
        <w:spacing w:before="0" w:after="80" w:line="300" w:lineRule="auto"/>
      </w:pPr>
      <w:r>
        <w:rPr>
          <w:rFonts w:ascii="Calibri" w:hAnsi="Calibri"/>
          <w:b/>
          <w:color w:val="0B2545"/>
        </w:rPr>
        <w:t xml:space="preserve">Evidence synthesis: </w:t>
      </w:r>
      <w:r>
        <w:t>ISO 26262 structures hazard analysis, ASIL development, diagnostics, and safety cases; IEC 61508 is the broader parent framework. SOTIF, cybersecurity, AI-safety guidance, and EMC standards expand the gate from component reliability to intended-function limitations, connected systems, learned components, and electromagnetic robustness.</w:t>
      </w:r>
    </w:p>
    <w:p>
      <w:pPr>
        <w:keepLines/>
        <w:spacing w:before="0" w:after="80" w:line="300" w:lineRule="auto"/>
      </w:pPr>
      <w:r>
        <w:rPr>
          <w:rFonts w:ascii="Calibri" w:hAnsi="Calibri"/>
          <w:b/>
          <w:color w:val="7A5A00"/>
        </w:rPr>
        <w:t xml:space="preserve">Critical significance: </w:t>
      </w:r>
      <w:r>
        <w:t>Qualification is a market gate: a sensitive element without redundancy, diagnostics, traceable development, and EMC robustness is not an automotive product.</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ISO26262; IEC61508; ISO21448SOTIF; ISOSAE21434; ISOPAS8800; ISOIECTR5469; CISPR25; ISO11452</w:t>
      </w:r>
    </w:p>
    <w:p>
      <w:pPr>
        <w:pStyle w:val="Heading2"/>
      </w:pPr>
      <w:r>
        <w:t>Industrial and energy standards</w:t>
      </w:r>
    </w:p>
    <w:p>
      <w:pPr>
        <w:keepLines/>
        <w:spacing w:before="0" w:after="80" w:line="300" w:lineRule="auto"/>
      </w:pPr>
      <w:r>
        <w:rPr>
          <w:rFonts w:ascii="Calibri" w:hAnsi="Calibri"/>
          <w:b/>
          <w:color w:val="0B2545"/>
        </w:rPr>
        <w:t xml:space="preserve">Evidence synthesis: </w:t>
      </w:r>
      <w:r>
        <w:t>IEC 61508 governs functional-safety lifecycle concepts and IEC 62443 addresses industrial-control cybersecurity. Instrument-transformer, digital-substation, and EMC requirements must be tied to the exact deployment; IEC 61850-9-2 is named in the existing brief but still needs a registry entry.</w:t>
      </w:r>
    </w:p>
    <w:p>
      <w:pPr>
        <w:keepLines/>
        <w:spacing w:before="0" w:after="80" w:line="300" w:lineRule="auto"/>
      </w:pPr>
      <w:r>
        <w:rPr>
          <w:rFonts w:ascii="Calibri" w:hAnsi="Calibri"/>
          <w:b/>
          <w:color w:val="7A5A00"/>
        </w:rPr>
        <w:t xml:space="preserve">Critical significance: </w:t>
      </w:r>
      <w:r>
        <w:t>Industrial adoption depends on interoperable, secure, certifiable systems, so standards mapping should follow the application rather than the sensor family alone.</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IEC61508; IEC62443; IEC 61850-9-2 [registry entry needed]</w:t>
      </w:r>
    </w:p>
    <w:p>
      <w:pPr>
        <w:pStyle w:val="Heading2"/>
      </w:pPr>
      <w:r>
        <w:t>Medical device pathways</w:t>
      </w:r>
    </w:p>
    <w:p>
      <w:pPr>
        <w:keepLines/>
        <w:spacing w:before="0" w:after="80" w:line="300" w:lineRule="auto"/>
      </w:pPr>
      <w:r>
        <w:rPr>
          <w:rFonts w:ascii="Calibri" w:hAnsi="Calibri"/>
          <w:b/>
          <w:color w:val="0B2545"/>
        </w:rPr>
        <w:t xml:space="preserve">Evidence synthesis: </w:t>
      </w:r>
      <w:r>
        <w:t>IEC 60601-1, ISO 13485, and ISO 14971 frame electrical safety, quality management, and risk management. Regulatory pathways such as FDA 510(k) or CE marking require a defined clinical use, system-level verification, and risk controls; the Ricoh MEG clearance is an illustrative commercial precedent, not a general approval shortcut.</w:t>
      </w:r>
    </w:p>
    <w:p>
      <w:pPr>
        <w:keepLines/>
        <w:spacing w:before="0" w:after="80" w:line="300" w:lineRule="auto"/>
      </w:pPr>
      <w:r>
        <w:rPr>
          <w:rFonts w:ascii="Calibri" w:hAnsi="Calibri"/>
          <w:b/>
          <w:color w:val="7A5A00"/>
        </w:rPr>
        <w:t xml:space="preserve">Critical significance: </w:t>
      </w:r>
      <w:r>
        <w:t>Medical translation is governed by the whole measurement workflow and intended use, not by sensor performance in isolation.</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IEC60601; ISO13485; ISO14971; RicohMEG2024clearance [press]</w:t>
      </w:r>
    </w:p>
    <w:p>
      <w:pPr>
        <w:pStyle w:val="Heading2"/>
      </w:pPr>
      <w:r>
        <w:t>Metrology and traceability</w:t>
      </w:r>
    </w:p>
    <w:p>
      <w:pPr>
        <w:keepLines/>
        <w:spacing w:before="0" w:after="80" w:line="300" w:lineRule="auto"/>
      </w:pPr>
      <w:r>
        <w:rPr>
          <w:rFonts w:ascii="Calibri" w:hAnsi="Calibri"/>
          <w:b/>
          <w:color w:val="0B2545"/>
        </w:rPr>
        <w:t xml:space="preserve">Evidence synthesis: </w:t>
      </w:r>
      <w:r>
        <w:t>Traceability requires calibration against recognized field references, an uncertainty budget, controlled environmental conditions, and documented transfer through the measurement chain. NMR/Overhauser methods and PTB/NIST facilities provide anchors; learned corrections introduce model version, training-domain, and change-control questions into that chain.</w:t>
      </w:r>
    </w:p>
    <w:p>
      <w:pPr>
        <w:keepLines/>
        <w:spacing w:before="0" w:after="80" w:line="300" w:lineRule="auto"/>
      </w:pPr>
      <w:r>
        <w:rPr>
          <w:rFonts w:ascii="Calibri" w:hAnsi="Calibri"/>
          <w:b/>
          <w:color w:val="7A5A00"/>
        </w:rPr>
        <w:t xml:space="preserve">Critical significance: </w:t>
      </w:r>
      <w:r>
        <w:t>A computed sensor can only become trusted infrastructure if its algorithmic contribution is calibrated, versioned, and included in uncertainty and conformity evidence.</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Lenicek2022calibstd; PTBmetrology; Ge2016overhauser; ISOIECTR5469</w:t>
      </w:r>
    </w:p>
    <w:p>
      <w:pPr>
        <w:pStyle w:val="Heading2"/>
      </w:pPr>
      <w:r>
        <w:t>Company and investor de-risking</w:t>
      </w:r>
    </w:p>
    <w:p>
      <w:pPr>
        <w:keepLines/>
        <w:spacing w:before="0" w:after="80" w:line="300" w:lineRule="auto"/>
      </w:pPr>
      <w:r>
        <w:rPr>
          <w:rFonts w:ascii="Calibri" w:hAnsi="Calibri"/>
          <w:b/>
          <w:color w:val="0B2545"/>
        </w:rPr>
        <w:t xml:space="preserve">Evidence synthesis: </w:t>
      </w:r>
      <w:r>
        <w:t>The existing seven-question diligence frame should test: real application pull; reproducible performance under operating conditions; manufacturability/yield; calibration burden; qualification pathway; supply-chain concentration; and whether computation improves value without creating unbounded assurance risk. Each conclusion should be labeled as sourced fact or author assessment.</w:t>
      </w:r>
    </w:p>
    <w:p>
      <w:pPr>
        <w:keepLines/>
        <w:spacing w:before="0" w:after="80" w:line="300" w:lineRule="auto"/>
      </w:pPr>
      <w:r>
        <w:rPr>
          <w:rFonts w:ascii="Calibri" w:hAnsi="Calibri"/>
          <w:b/>
          <w:color w:val="7A5A00"/>
        </w:rPr>
        <w:t xml:space="preserve">Critical significance: </w:t>
      </w:r>
      <w:r>
        <w:t>This converts the review from a technology catalogue into a practical decision tool while preserving scholarly boundaries.</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Stage60 risk register; ISO26262; ISO13485; Lenicek2022calibstd; GrandView2025magmarket [market]</w:t>
      </w:r>
    </w:p>
    <w:p>
      <w:pPr>
        <w:pStyle w:val="Heading1"/>
      </w:pPr>
      <w:r>
        <w:t>Section 5</w:t>
      </w:r>
    </w:p>
    <w:p>
      <w:pPr>
        <w:pStyle w:val="Heading2"/>
      </w:pPr>
      <w:r>
        <w:t>Synthesis and outlook</w:t>
      </w:r>
    </w:p>
    <w:p>
      <w:pPr>
        <w:keepLines/>
        <w:spacing w:before="0" w:after="80" w:line="300" w:lineRule="auto"/>
      </w:pPr>
      <w:r>
        <w:rPr>
          <w:rFonts w:ascii="Calibri" w:hAnsi="Calibri"/>
          <w:b/>
          <w:color w:val="0B2545"/>
        </w:rPr>
        <w:t xml:space="preserve">Evidence synthesis: </w:t>
      </w:r>
      <w:r>
        <w:t>The evidence supports three closing claims: no sensor wins across the full trade space; system architecture and computation increasingly determine usable performance; and the major open problems are benchmark data, distribution shift, long-term drift, array calibration, metrological treatment of learned models, and qualification of computed sensing chains. Outlook statements should distinguish demonstrated products, emerging prototypes, and research hypotheses.</w:t>
      </w:r>
    </w:p>
    <w:p>
      <w:pPr>
        <w:keepLines/>
        <w:spacing w:before="0" w:after="80" w:line="300" w:lineRule="auto"/>
      </w:pPr>
      <w:r>
        <w:rPr>
          <w:rFonts w:ascii="Calibri" w:hAnsi="Calibri"/>
          <w:b/>
          <w:color w:val="7A5A00"/>
        </w:rPr>
        <w:t xml:space="preserve">Critical significance: </w:t>
      </w:r>
      <w:r>
        <w:t>This gives the conclusion a defensible message instead of a generic forecast.</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Stage30-60 synthesis; Karniadakis2021piml; Wright2020modeltwin; ISOIECTR5469</w:t>
      </w:r>
    </w:p>
    <w:p>
      <w:r>
        <w:br w:type="page"/>
      </w:r>
    </w:p>
    <w:p>
      <w:pPr>
        <w:keepLines w:val="0"/>
        <w:spacing w:before="0" w:after="120" w:line="300" w:lineRule="auto"/>
      </w:pPr>
      <w:r>
        <w:rPr>
          <w:rFonts w:ascii="Calibri" w:hAnsi="Calibri"/>
          <w:b/>
          <w:color w:val="0B2545"/>
          <w:sz w:val="44"/>
        </w:rPr>
        <w:t>Version 2 — Plain-language importance guide</w:t>
      </w:r>
    </w:p>
    <w:p>
      <w:pPr>
        <w:keepLines w:val="0"/>
        <w:spacing w:before="0" w:after="280" w:line="300" w:lineRule="auto"/>
      </w:pPr>
      <w:r>
        <w:rPr>
          <w:rFonts w:ascii="Calibri" w:hAnsi="Calibri"/>
          <w:i/>
          <w:color w:val="5D6875"/>
          <w:sz w:val="23"/>
        </w:rPr>
        <w:t>The same paper logic explained for non-specialist, business, and investor readers.</w:t>
      </w:r>
    </w:p>
    <w:p>
      <w:pPr>
        <w:pStyle w:val="Heading1"/>
      </w:pPr>
      <w:r>
        <w:t>Section 1</w:t>
      </w:r>
    </w:p>
    <w:p>
      <w:pPr>
        <w:pStyle w:val="Heading2"/>
      </w:pPr>
      <w:r>
        <w:t>The big picture</w:t>
      </w:r>
    </w:p>
    <w:p>
      <w:pPr>
        <w:keepLines/>
        <w:spacing w:before="0" w:after="80" w:line="300" w:lineRule="auto"/>
      </w:pPr>
      <w:r>
        <w:rPr>
          <w:rFonts w:ascii="Calibri" w:hAnsi="Calibri"/>
          <w:b/>
          <w:color w:val="0B2545"/>
        </w:rPr>
        <w:t xml:space="preserve">In plain language: </w:t>
      </w:r>
      <w:r>
        <w:t>Magnetic sensors let us measure electricity, movement, machinery, and even body signals without touching the source. Different jobs demand very different levels of sensitivity, speed, temperature tolerance, cost, and size.</w:t>
      </w:r>
    </w:p>
    <w:p>
      <w:pPr>
        <w:keepLines/>
        <w:spacing w:before="0" w:after="80" w:line="300" w:lineRule="auto"/>
      </w:pPr>
      <w:r>
        <w:rPr>
          <w:rFonts w:ascii="Calibri" w:hAnsi="Calibri"/>
          <w:b/>
          <w:color w:val="7A5A00"/>
        </w:rPr>
        <w:t xml:space="preserve">Why it matters: </w:t>
      </w:r>
      <w:r>
        <w:t>There is no single best sensor. The review matters because it helps readers choose the right compromise for a real job.</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Lenz1990review; Lenz2006magsensors; Murzin2020biomedsensors</w:t>
      </w:r>
    </w:p>
    <w:p>
      <w:pPr>
        <w:pStyle w:val="Heading2"/>
      </w:pPr>
      <w:r>
        <w:t>How to keep the review trustworthy</w:t>
      </w:r>
    </w:p>
    <w:p>
      <w:pPr>
        <w:keepLines/>
        <w:spacing w:before="0" w:after="80" w:line="300" w:lineRule="auto"/>
      </w:pPr>
      <w:r>
        <w:rPr>
          <w:rFonts w:ascii="Calibri" w:hAnsi="Calibri"/>
          <w:b/>
          <w:color w:val="0B2545"/>
        </w:rPr>
        <w:t xml:space="preserve">In plain language: </w:t>
      </w:r>
      <w:r>
        <w:t>Use recent research for the frontier and classic papers for fundamentals. Clearly label peer-reviewed results, standards, company specifications, market estimates, and the authors' own judgments.</w:t>
      </w:r>
    </w:p>
    <w:p>
      <w:pPr>
        <w:keepLines/>
        <w:spacing w:before="0" w:after="80" w:line="300" w:lineRule="auto"/>
      </w:pPr>
      <w:r>
        <w:rPr>
          <w:rFonts w:ascii="Calibri" w:hAnsi="Calibri"/>
          <w:b/>
          <w:color w:val="7A5A00"/>
        </w:rPr>
        <w:t xml:space="preserve">Why it matters: </w:t>
      </w:r>
      <w:r>
        <w:t>Readers can see what is proven, what is commercially claimed, and what is still a forecast.</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PROJECT_BRIEF; 70_bibliography_report</w:t>
      </w:r>
    </w:p>
    <w:p>
      <w:pPr>
        <w:pStyle w:val="Heading2"/>
      </w:pPr>
      <w:r>
        <w:t>The two maps readers need</w:t>
      </w:r>
    </w:p>
    <w:p>
      <w:pPr>
        <w:keepLines/>
        <w:spacing w:before="0" w:after="80" w:line="300" w:lineRule="auto"/>
      </w:pPr>
      <w:r>
        <w:rPr>
          <w:rFonts w:ascii="Calibri" w:hAnsi="Calibri"/>
          <w:b/>
          <w:color w:val="0B2545"/>
        </w:rPr>
        <w:t xml:space="preserve">In plain language: </w:t>
      </w:r>
      <w:r>
        <w:t>One chart should show where each sensor works best. One table should compare performance and maturity, and another should show which industries actually use each family.</w:t>
      </w:r>
    </w:p>
    <w:p>
      <w:pPr>
        <w:keepLines/>
        <w:spacing w:before="0" w:after="80" w:line="300" w:lineRule="auto"/>
      </w:pPr>
      <w:r>
        <w:rPr>
          <w:rFonts w:ascii="Calibri" w:hAnsi="Calibri"/>
          <w:b/>
          <w:color w:val="7A5A00"/>
        </w:rPr>
        <w:t xml:space="preserve">Why it matters: </w:t>
      </w:r>
      <w:r>
        <w:t>These become the paper's practical shortcut for engineers, managers, and investors.</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Stage30 comparison table; Stage40 domain matrix</w:t>
      </w:r>
    </w:p>
    <w:p>
      <w:pPr>
        <w:pStyle w:val="Heading1"/>
      </w:pPr>
      <w:r>
        <w:t>Section 2</w:t>
      </w:r>
    </w:p>
    <w:p>
      <w:pPr>
        <w:pStyle w:val="Heading2"/>
      </w:pPr>
      <w:r>
        <w:t>Hall sensors</w:t>
      </w:r>
    </w:p>
    <w:p>
      <w:pPr>
        <w:keepLines/>
        <w:spacing w:before="0" w:after="80" w:line="300" w:lineRule="auto"/>
      </w:pPr>
      <w:r>
        <w:rPr>
          <w:rFonts w:ascii="Calibri" w:hAnsi="Calibri"/>
          <w:b/>
          <w:color w:val="0B2545"/>
        </w:rPr>
        <w:t xml:space="preserve">In plain language: </w:t>
      </w:r>
      <w:r>
        <w:t>Hall sensors are cheap, rugged, easy to put on a chip, and good for measuring strong fields, position, and electrical current. They are less sensitive than many alternatives and need electronics to cancel offset and drift. GaN versions can work at temperatures where silicon fails, but they are not yet a broad catalog product.</w:t>
      </w:r>
    </w:p>
    <w:p>
      <w:pPr>
        <w:keepLines/>
        <w:spacing w:before="0" w:after="80" w:line="300" w:lineRule="auto"/>
      </w:pPr>
      <w:r>
        <w:rPr>
          <w:rFonts w:ascii="Calibri" w:hAnsi="Calibri"/>
          <w:b/>
          <w:color w:val="7A5A00"/>
        </w:rPr>
        <w:t xml:space="preserve">Why it matters: </w:t>
      </w:r>
      <w:r>
        <w:t>Hall is the incumbent technology: alternatives must beat it on a benefit customers will pay for.</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Popovic2004hallbook; Crescentini2022hallcurrent; Alpert2020gan2deg</w:t>
      </w:r>
    </w:p>
    <w:p>
      <w:pPr>
        <w:pStyle w:val="Heading2"/>
      </w:pPr>
      <w:r>
        <w:t>AMR, GMR, and TMR</w:t>
      </w:r>
    </w:p>
    <w:p>
      <w:pPr>
        <w:keepLines/>
        <w:spacing w:before="0" w:after="80" w:line="300" w:lineRule="auto"/>
      </w:pPr>
      <w:r>
        <w:rPr>
          <w:rFonts w:ascii="Calibri" w:hAnsi="Calibri"/>
          <w:b/>
          <w:color w:val="0B2545"/>
        </w:rPr>
        <w:t xml:space="preserve">In plain language: </w:t>
      </w:r>
      <w:r>
        <w:t>These sensors change resistance when a magnetic field changes the direction of magnetization. AMR is mature and simple, GMR produces a larger signal, and TMR can be much more sensitive and power-efficient. All must manage hysteresis, saturation, temperature, and low-frequency noise.</w:t>
      </w:r>
    </w:p>
    <w:p>
      <w:pPr>
        <w:keepLines/>
        <w:spacing w:before="0" w:after="80" w:line="300" w:lineRule="auto"/>
      </w:pPr>
      <w:r>
        <w:rPr>
          <w:rFonts w:ascii="Calibri" w:hAnsi="Calibri"/>
          <w:b/>
          <w:color w:val="7A5A00"/>
        </w:rPr>
        <w:t xml:space="preserve">Why it matters: </w:t>
      </w:r>
      <w:r>
        <w:t>TMR is the clearest challenger to Hall across cars, power electronics, industry, and biosensing.</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Jogschies2015mrindustrial; Freitas2016spintronic; Zheng2019mrroadmap; Zhou2022TMRchapter</w:t>
      </w:r>
    </w:p>
    <w:p>
      <w:pPr>
        <w:pStyle w:val="Heading2"/>
      </w:pPr>
      <w:r>
        <w:t>Fluxgate</w:t>
      </w:r>
    </w:p>
    <w:p>
      <w:pPr>
        <w:keepLines/>
        <w:spacing w:before="0" w:after="80" w:line="300" w:lineRule="auto"/>
      </w:pPr>
      <w:r>
        <w:rPr>
          <w:rFonts w:ascii="Calibri" w:hAnsi="Calibri"/>
          <w:b/>
          <w:color w:val="0B2545"/>
        </w:rPr>
        <w:t xml:space="preserve">In plain language: </w:t>
      </w:r>
      <w:r>
        <w:t>Fluxgates repeatedly drive a magnetic core and detect how an outside field changes its response. They measure weak, steady fields accurately, but are larger and consume more power than chip-scale sensors.</w:t>
      </w:r>
    </w:p>
    <w:p>
      <w:pPr>
        <w:keepLines/>
        <w:spacing w:before="0" w:after="80" w:line="300" w:lineRule="auto"/>
      </w:pPr>
      <w:r>
        <w:rPr>
          <w:rFonts w:ascii="Calibri" w:hAnsi="Calibri"/>
          <w:b/>
          <w:color w:val="7A5A00"/>
        </w:rPr>
        <w:t xml:space="preserve">Why it matters: </w:t>
      </w:r>
      <w:r>
        <w:t>They are a proven choice when accuracy and stability matter more than minimum size or cost.</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Ripka2003fluxgateadv; Fluxgate2021Sensors</w:t>
      </w:r>
    </w:p>
    <w:p>
      <w:pPr>
        <w:pStyle w:val="Heading2"/>
      </w:pPr>
      <w:r>
        <w:t>Search-coil</w:t>
      </w:r>
    </w:p>
    <w:p>
      <w:pPr>
        <w:keepLines/>
        <w:spacing w:before="0" w:after="80" w:line="300" w:lineRule="auto"/>
      </w:pPr>
      <w:r>
        <w:rPr>
          <w:rFonts w:ascii="Calibri" w:hAnsi="Calibri"/>
          <w:b/>
          <w:color w:val="0B2545"/>
        </w:rPr>
        <w:t xml:space="preserve">In plain language: </w:t>
      </w:r>
      <w:r>
        <w:t>A search coil detects changing magnetic fields. It is passive, robust, and fast, but it cannot directly measure a field that is perfectly still.</w:t>
      </w:r>
    </w:p>
    <w:p>
      <w:pPr>
        <w:keepLines/>
        <w:spacing w:before="0" w:after="80" w:line="300" w:lineRule="auto"/>
      </w:pPr>
      <w:r>
        <w:rPr>
          <w:rFonts w:ascii="Calibri" w:hAnsi="Calibri"/>
          <w:b/>
          <w:color w:val="7A5A00"/>
        </w:rPr>
        <w:t xml:space="preserve">Why it matters: </w:t>
      </w:r>
      <w:r>
        <w:t>For ac power, transient events, and inspection, a simple coil can be the best tool.</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Tumanski2007inductioncoil; Roux2008themisSCM</w:t>
      </w:r>
    </w:p>
    <w:p>
      <w:pPr>
        <w:pStyle w:val="Heading2"/>
      </w:pPr>
      <w:r>
        <w:t>GMI</w:t>
      </w:r>
    </w:p>
    <w:p>
      <w:pPr>
        <w:keepLines/>
        <w:spacing w:before="0" w:after="80" w:line="300" w:lineRule="auto"/>
      </w:pPr>
      <w:r>
        <w:rPr>
          <w:rFonts w:ascii="Calibri" w:hAnsi="Calibri"/>
          <w:b/>
          <w:color w:val="0B2545"/>
        </w:rPr>
        <w:t xml:space="preserve">In plain language: </w:t>
      </w:r>
      <w:r>
        <w:t>GMI devices can be very sensitive by measuring how a soft magnetic material's high-frequency electrical impedance changes with field. They need specialized drive electronics and have less commercial depth than Hall or xMR.</w:t>
      </w:r>
    </w:p>
    <w:p>
      <w:pPr>
        <w:keepLines/>
        <w:spacing w:before="0" w:after="80" w:line="300" w:lineRule="auto"/>
      </w:pPr>
      <w:r>
        <w:rPr>
          <w:rFonts w:ascii="Calibri" w:hAnsi="Calibri"/>
          <w:b/>
          <w:color w:val="7A5A00"/>
        </w:rPr>
        <w:t xml:space="preserve">Why it matters: </w:t>
      </w:r>
      <w:r>
        <w:t>The science is promising, but the product ecosystem still needs proof.</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Phan2008gmiprogress; Uchiyama2020picoteslaMI</w:t>
      </w:r>
    </w:p>
    <w:p>
      <w:pPr>
        <w:pStyle w:val="Heading2"/>
      </w:pPr>
      <w:r>
        <w:t>SQUID</w:t>
      </w:r>
    </w:p>
    <w:p>
      <w:pPr>
        <w:keepLines/>
        <w:spacing w:before="0" w:after="80" w:line="300" w:lineRule="auto"/>
      </w:pPr>
      <w:r>
        <w:rPr>
          <w:rFonts w:ascii="Calibri" w:hAnsi="Calibri"/>
          <w:b/>
          <w:color w:val="0B2545"/>
        </w:rPr>
        <w:t xml:space="preserve">In plain language: </w:t>
      </w:r>
      <w:r>
        <w:t>SQUID systems are among the most sensitive magnetic instruments available. They require superconducting operation, cooling, shielding, and expensive system support.</w:t>
      </w:r>
    </w:p>
    <w:p>
      <w:pPr>
        <w:keepLines/>
        <w:spacing w:before="0" w:after="80" w:line="300" w:lineRule="auto"/>
      </w:pPr>
      <w:r>
        <w:rPr>
          <w:rFonts w:ascii="Calibri" w:hAnsi="Calibri"/>
          <w:b/>
          <w:color w:val="7A5A00"/>
        </w:rPr>
        <w:t xml:space="preserve">Why it matters: </w:t>
      </w:r>
      <w:r>
        <w:t>They set the benchmark for weak-field measurement, but their total system burden creates room for room-temperature alternatives.</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Fagaly2006squidRSI; Clarke2018squidfocus</w:t>
      </w:r>
    </w:p>
    <w:p>
      <w:pPr>
        <w:pStyle w:val="Heading2"/>
      </w:pPr>
      <w:r>
        <w:t>OPM/SERF</w:t>
      </w:r>
    </w:p>
    <w:p>
      <w:pPr>
        <w:keepLines/>
        <w:spacing w:before="0" w:after="80" w:line="300" w:lineRule="auto"/>
      </w:pPr>
      <w:r>
        <w:rPr>
          <w:rFonts w:ascii="Calibri" w:hAnsi="Calibri"/>
          <w:b/>
          <w:color w:val="0B2545"/>
        </w:rPr>
        <w:t xml:space="preserve">In plain language: </w:t>
      </w:r>
      <w:r>
        <w:t>OPMs use atoms and light to measure magnetic fields. They can reach extraordinary sensitivity without cryogenic cooling and can be placed close to a moving person, but they need careful field control, heating, calibration, and multi-sensor coordination.</w:t>
      </w:r>
    </w:p>
    <w:p>
      <w:pPr>
        <w:keepLines/>
        <w:spacing w:before="0" w:after="80" w:line="300" w:lineRule="auto"/>
      </w:pPr>
      <w:r>
        <w:rPr>
          <w:rFonts w:ascii="Calibri" w:hAnsi="Calibri"/>
          <w:b/>
          <w:color w:val="7A5A00"/>
        </w:rPr>
        <w:t xml:space="preserve">Why it matters: </w:t>
      </w:r>
      <w:r>
        <w:t>They could make brain and heart magnetic imaging more wearable and accessible.</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Kominis2003subfemtotesla; Boto2018wearableMEG; Tierney2019OPM</w:t>
      </w:r>
    </w:p>
    <w:p>
      <w:pPr>
        <w:pStyle w:val="Heading2"/>
      </w:pPr>
      <w:r>
        <w:t>NV diamond</w:t>
      </w:r>
    </w:p>
    <w:p>
      <w:pPr>
        <w:keepLines/>
        <w:spacing w:before="0" w:after="80" w:line="300" w:lineRule="auto"/>
      </w:pPr>
      <w:r>
        <w:rPr>
          <w:rFonts w:ascii="Calibri" w:hAnsi="Calibri"/>
          <w:b/>
          <w:color w:val="0B2545"/>
        </w:rPr>
        <w:t xml:space="preserve">In plain language: </w:t>
      </w:r>
      <w:r>
        <w:t>Special defects in diamond behave like tiny quantum compasses that can be read with light. They work at room temperature and can map fields at very small scales, but the optics, microwaves, diamond quality, and manufacturing cost remain demanding.</w:t>
      </w:r>
    </w:p>
    <w:p>
      <w:pPr>
        <w:keepLines/>
        <w:spacing w:before="0" w:after="80" w:line="300" w:lineRule="auto"/>
      </w:pPr>
      <w:r>
        <w:rPr>
          <w:rFonts w:ascii="Calibri" w:hAnsi="Calibri"/>
          <w:b/>
          <w:color w:val="7A5A00"/>
        </w:rPr>
        <w:t xml:space="preserve">Why it matters: </w:t>
      </w:r>
      <w:r>
        <w:t>NV sensors open measurements that combine high spatial resolution with quantum sensitivity.</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Barry2020NVdiamond; NVsub10pT2024prapplied</w:t>
      </w:r>
    </w:p>
    <w:p>
      <w:pPr>
        <w:pStyle w:val="Heading2"/>
      </w:pPr>
      <w:r>
        <w:t>Other emerging and reference sensors</w:t>
      </w:r>
    </w:p>
    <w:p>
      <w:pPr>
        <w:keepLines/>
        <w:spacing w:before="0" w:after="80" w:line="300" w:lineRule="auto"/>
      </w:pPr>
      <w:r>
        <w:rPr>
          <w:rFonts w:ascii="Calibri" w:hAnsi="Calibri"/>
          <w:b/>
          <w:color w:val="0B2545"/>
        </w:rPr>
        <w:t xml:space="preserve">In plain language: </w:t>
      </w:r>
      <w:r>
        <w:t>Magnetoelectric and MEMS devices aim for small, low-power sensing; fiber-optic sensors offer electrical isolation; proton, Overhauser, and atomic resonance instruments provide highly stable references. Their maturity ranges from laboratory research to specialized instruments.</w:t>
      </w:r>
    </w:p>
    <w:p>
      <w:pPr>
        <w:keepLines/>
        <w:spacing w:before="0" w:after="80" w:line="300" w:lineRule="auto"/>
      </w:pPr>
      <w:r>
        <w:rPr>
          <w:rFonts w:ascii="Calibri" w:hAnsi="Calibri"/>
          <w:b/>
          <w:color w:val="7A5A00"/>
        </w:rPr>
        <w:t xml:space="preserve">Why it matters: </w:t>
      </w:r>
      <w:r>
        <w:t>They should be included, but not presented as equally ready for mass adoption.</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Bichurin2021MEreview; HerreraMay2009memsresonant; Rostami2023fbgreview; Ge2016overhauser</w:t>
      </w:r>
    </w:p>
    <w:p>
      <w:pPr>
        <w:pStyle w:val="Heading2"/>
      </w:pPr>
      <w:r>
        <w:t>Energy</w:t>
      </w:r>
    </w:p>
    <w:p>
      <w:pPr>
        <w:keepLines/>
        <w:spacing w:before="0" w:after="80" w:line="300" w:lineRule="auto"/>
      </w:pPr>
      <w:r>
        <w:rPr>
          <w:rFonts w:ascii="Calibri" w:hAnsi="Calibri"/>
          <w:b/>
          <w:color w:val="0B2545"/>
        </w:rPr>
        <w:t xml:space="preserve">In plain language: </w:t>
      </w:r>
      <w:r>
        <w:t>Magnetic sensors measure current in inverters, batteries, power lines, and charging systems without placing a resistor directly in the high-power path. Hall is common; TMR, coils, fluxgate, and optical methods win where sensitivity, speed, accuracy, or insulation matters more.</w:t>
      </w:r>
    </w:p>
    <w:p>
      <w:pPr>
        <w:keepLines/>
        <w:spacing w:before="0" w:after="80" w:line="300" w:lineRule="auto"/>
      </w:pPr>
      <w:r>
        <w:rPr>
          <w:rFonts w:ascii="Calibri" w:hAnsi="Calibri"/>
          <w:b/>
          <w:color w:val="7A5A00"/>
        </w:rPr>
        <w:t xml:space="preserve">Why it matters: </w:t>
      </w:r>
      <w:r>
        <w:t>Better current sensing improves efficiency, protects equipment, and supports safer electrification.</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Crescentini2022hallcurrent; Khawaja2017overheadlines; Xu2025TMRsmartgrid</w:t>
      </w:r>
    </w:p>
    <w:p>
      <w:pPr>
        <w:pStyle w:val="Heading2"/>
      </w:pPr>
      <w:r>
        <w:t>Transportation</w:t>
      </w:r>
    </w:p>
    <w:p>
      <w:pPr>
        <w:keepLines/>
        <w:spacing w:before="0" w:after="80" w:line="300" w:lineRule="auto"/>
      </w:pPr>
      <w:r>
        <w:rPr>
          <w:rFonts w:ascii="Calibri" w:hAnsi="Calibri"/>
          <w:b/>
          <w:color w:val="0B2545"/>
        </w:rPr>
        <w:t xml:space="preserve">In plain language: </w:t>
      </w:r>
      <w:r>
        <w:t>Cars and other vehicles use magnetic sensors for position, speed, steering, motor control, current measurement, and navigation. The winning device must survive heat, vibration, interference, stray fields, and safety checks for years.</w:t>
      </w:r>
    </w:p>
    <w:p>
      <w:pPr>
        <w:keepLines/>
        <w:spacing w:before="0" w:after="80" w:line="300" w:lineRule="auto"/>
      </w:pPr>
      <w:r>
        <w:rPr>
          <w:rFonts w:ascii="Calibri" w:hAnsi="Calibri"/>
          <w:b/>
          <w:color w:val="7A5A00"/>
        </w:rPr>
        <w:t xml:space="preserve">Why it matters: </w:t>
      </w:r>
      <w:r>
        <w:t>This is a huge market, but qualification and reliability are the real barriers to entry.</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Treutler2001automotive; ISO26262; CISPR25</w:t>
      </w:r>
    </w:p>
    <w:p>
      <w:pPr>
        <w:pStyle w:val="Heading2"/>
      </w:pPr>
      <w:r>
        <w:t>Industry and manufacturing</w:t>
      </w:r>
    </w:p>
    <w:p>
      <w:pPr>
        <w:keepLines/>
        <w:spacing w:before="0" w:after="80" w:line="300" w:lineRule="auto"/>
      </w:pPr>
      <w:r>
        <w:rPr>
          <w:rFonts w:ascii="Calibri" w:hAnsi="Calibri"/>
          <w:b/>
          <w:color w:val="0B2545"/>
        </w:rPr>
        <w:t xml:space="preserve">In plain language: </w:t>
      </w:r>
      <w:r>
        <w:t>Sensors can find cracks or corrosion, watch motors and bearings, and measure robotic motion by reading magnetic patterns. A useful system must turn those patterns into a reliable maintenance or control decision.</w:t>
      </w:r>
    </w:p>
    <w:p>
      <w:pPr>
        <w:keepLines/>
        <w:spacing w:before="0" w:after="80" w:line="300" w:lineRule="auto"/>
      </w:pPr>
      <w:r>
        <w:rPr>
          <w:rFonts w:ascii="Calibri" w:hAnsi="Calibri"/>
          <w:b/>
          <w:color w:val="7A5A00"/>
        </w:rPr>
        <w:t xml:space="preserve">Why it matters: </w:t>
      </w:r>
      <w:r>
        <w:t>This is where sensor arrays and machine learning can create clear operational value.</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Rifai2016GMReddyreview; Bailey2017eddyCUI; Mazaheri2022strayflux</w:t>
      </w:r>
    </w:p>
    <w:p>
      <w:pPr>
        <w:pStyle w:val="Heading2"/>
      </w:pPr>
      <w:r>
        <w:t>Biomedicine</w:t>
      </w:r>
    </w:p>
    <w:p>
      <w:pPr>
        <w:keepLines/>
        <w:spacing w:before="0" w:after="80" w:line="300" w:lineRule="auto"/>
      </w:pPr>
      <w:r>
        <w:rPr>
          <w:rFonts w:ascii="Calibri" w:hAnsi="Calibri"/>
          <w:b/>
          <w:color w:val="0B2545"/>
        </w:rPr>
        <w:t xml:space="preserve">In plain language: </w:t>
      </w:r>
      <w:r>
        <w:t>Very sensitive instruments can measure the magnetic fields of the brain and heart. Other magnetic systems detect biological labels, image tracers, or track tools inside the body.</w:t>
      </w:r>
    </w:p>
    <w:p>
      <w:pPr>
        <w:keepLines/>
        <w:spacing w:before="0" w:after="80" w:line="300" w:lineRule="auto"/>
      </w:pPr>
      <w:r>
        <w:rPr>
          <w:rFonts w:ascii="Calibri" w:hAnsi="Calibri"/>
          <w:b/>
          <w:color w:val="7A5A00"/>
        </w:rPr>
        <w:t xml:space="preserve">Why it matters: </w:t>
      </w:r>
      <w:r>
        <w:t>The opportunity is large, but clinical workflow, shielding, algorithms, safety, and regulation matter as much as the sensor.</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Brickwedde2024OPMMEG; Brisinda2023clinicalMCG; Wang2024magbiosensorPOCT; Wu2019MPIneuro</w:t>
      </w:r>
    </w:p>
    <w:p>
      <w:pPr>
        <w:pStyle w:val="Heading1"/>
      </w:pPr>
      <w:r>
        <w:t>Section 3</w:t>
      </w:r>
    </w:p>
    <w:p>
      <w:pPr>
        <w:pStyle w:val="Heading2"/>
      </w:pPr>
      <w:r>
        <w:t>Learning better calibration</w:t>
      </w:r>
    </w:p>
    <w:p>
      <w:pPr>
        <w:keepLines/>
        <w:spacing w:before="0" w:after="80" w:line="300" w:lineRule="auto"/>
      </w:pPr>
      <w:r>
        <w:rPr>
          <w:rFonts w:ascii="Calibri" w:hAnsi="Calibri"/>
          <w:b/>
          <w:color w:val="0B2545"/>
        </w:rPr>
        <w:t xml:space="preserve">In plain language: </w:t>
      </w:r>
      <w:r>
        <w:t>Software can learn how temperature, installation, nearby materials, and cross-axis errors distort a sensor. It can correct those patterns, but only inside conditions that were adequately represented and tested.</w:t>
      </w:r>
    </w:p>
    <w:p>
      <w:pPr>
        <w:keepLines/>
        <w:spacing w:before="0" w:after="80" w:line="300" w:lineRule="auto"/>
      </w:pPr>
      <w:r>
        <w:rPr>
          <w:rFonts w:ascii="Calibri" w:hAnsi="Calibri"/>
          <w:b/>
          <w:color w:val="7A5A00"/>
        </w:rPr>
        <w:t xml:space="preserve">Why it matters: </w:t>
      </w:r>
      <w:r>
        <w:t>This may make inexpensive sensors behave like better systems, reducing calibration cost and drift.</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Kok2016magcal; Shetty2026AMRcalibNN; Karniadakis2021piml</w:t>
      </w:r>
    </w:p>
    <w:p>
      <w:pPr>
        <w:pStyle w:val="Heading2"/>
      </w:pPr>
      <w:r>
        <w:t>Faster readout and smarter diagnostics</w:t>
      </w:r>
    </w:p>
    <w:p>
      <w:pPr>
        <w:keepLines/>
        <w:spacing w:before="0" w:after="80" w:line="300" w:lineRule="auto"/>
      </w:pPr>
      <w:r>
        <w:rPr>
          <w:rFonts w:ascii="Calibri" w:hAnsi="Calibri"/>
          <w:b/>
          <w:color w:val="0B2545"/>
        </w:rPr>
        <w:t xml:space="preserve">In plain language: </w:t>
      </w:r>
      <w:r>
        <w:t>Machine learning can speed quantum measurements, clean noisy signals, and recognize machine-fault patterns. Claims about self-adjusting magnetic control and aging correction are still early and should be labeled as outlook.</w:t>
      </w:r>
    </w:p>
    <w:p>
      <w:pPr>
        <w:keepLines/>
        <w:spacing w:before="0" w:after="80" w:line="300" w:lineRule="auto"/>
      </w:pPr>
      <w:r>
        <w:rPr>
          <w:rFonts w:ascii="Calibri" w:hAnsi="Calibri"/>
          <w:b/>
          <w:color w:val="7A5A00"/>
        </w:rPr>
        <w:t xml:space="preserve">Why it matters: </w:t>
      </w:r>
      <w:r>
        <w:t>The near-term value is decision-quality information, not magical removal of hardware limitations.</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Santagati2019fieldlearning; Zhang2024dnnNVreadout; Sakib2022mcgedgeDL; Louzada2025strayfluxML</w:t>
      </w:r>
    </w:p>
    <w:p>
      <w:pPr>
        <w:pStyle w:val="Heading2"/>
      </w:pPr>
      <w:r>
        <w:t>Fusion and arrays</w:t>
      </w:r>
    </w:p>
    <w:p>
      <w:pPr>
        <w:keepLines/>
        <w:spacing w:before="0" w:after="80" w:line="300" w:lineRule="auto"/>
      </w:pPr>
      <w:r>
        <w:rPr>
          <w:rFonts w:ascii="Calibri" w:hAnsi="Calibri"/>
          <w:b/>
          <w:color w:val="0B2545"/>
        </w:rPr>
        <w:t xml:space="preserve">In plain language: </w:t>
      </w:r>
      <w:r>
        <w:t>Several sensors can work together with inertial, optical, or thermal data to locate sources and reject interference. The challenge is keeping every channel synchronized and calibrated while solving the right mathematical inverse problem.</w:t>
      </w:r>
    </w:p>
    <w:p>
      <w:pPr>
        <w:keepLines/>
        <w:spacing w:before="0" w:after="80" w:line="300" w:lineRule="auto"/>
      </w:pPr>
      <w:r>
        <w:rPr>
          <w:rFonts w:ascii="Calibri" w:hAnsi="Calibri"/>
          <w:b/>
          <w:color w:val="7A5A00"/>
        </w:rPr>
        <w:t xml:space="preserve">Why it matters: </w:t>
      </w:r>
      <w:r>
        <w:t>A coordinated system can reveal information that one very sensitive sensor cannot.</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KokSolin2018magslam; Viset2022ekfmagslam; Taulu2006tsss</w:t>
      </w:r>
    </w:p>
    <w:p>
      <w:pPr>
        <w:pStyle w:val="Heading2"/>
      </w:pPr>
      <w:r>
        <w:t>Digital twins</w:t>
      </w:r>
    </w:p>
    <w:p>
      <w:pPr>
        <w:keepLines/>
        <w:spacing w:before="0" w:after="80" w:line="300" w:lineRule="auto"/>
      </w:pPr>
      <w:r>
        <w:rPr>
          <w:rFonts w:ascii="Calibri" w:hAnsi="Calibri"/>
          <w:b/>
          <w:color w:val="0B2545"/>
        </w:rPr>
        <w:t xml:space="preserve">In plain language: </w:t>
      </w:r>
      <w:r>
        <w:t>A real digital twin stays connected to a physical machine or sensor and updates as the physical system changes. Machine twins that use magnetic condition data exist; complete sensor twins that track calibration and uncertainty are mostly a research goal.</w:t>
      </w:r>
    </w:p>
    <w:p>
      <w:pPr>
        <w:keepLines/>
        <w:spacing w:before="0" w:after="80" w:line="300" w:lineRule="auto"/>
      </w:pPr>
      <w:r>
        <w:rPr>
          <w:rFonts w:ascii="Calibri" w:hAnsi="Calibri"/>
          <w:b/>
          <w:color w:val="7A5A00"/>
        </w:rPr>
        <w:t xml:space="preserve">Why it matters: </w:t>
      </w:r>
      <w:r>
        <w:t>This is an important opportunity, but the paper should not call every simulation a twin.</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Wright2020modeltwin; Tao2019dtindustry; Falekas2021dtmachines</w:t>
      </w:r>
    </w:p>
    <w:p>
      <w:pPr>
        <w:pStyle w:val="Heading1"/>
      </w:pPr>
      <w:r>
        <w:t>Section 4</w:t>
      </w:r>
    </w:p>
    <w:p>
      <w:pPr>
        <w:pStyle w:val="Heading2"/>
      </w:pPr>
      <w:r>
        <w:t>Readiness and markets</w:t>
      </w:r>
    </w:p>
    <w:p>
      <w:pPr>
        <w:keepLines/>
        <w:spacing w:before="0" w:after="80" w:line="300" w:lineRule="auto"/>
      </w:pPr>
      <w:r>
        <w:rPr>
          <w:rFonts w:ascii="Calibri" w:hAnsi="Calibri"/>
          <w:b/>
          <w:color w:val="0B2545"/>
        </w:rPr>
        <w:t xml:space="preserve">In plain language: </w:t>
      </w:r>
      <w:r>
        <w:t>Hall and xMR are mass-market; fluxgate, search-coil, and SQUID serve established niches; OPM, NV, magnetoelectric, and many MEMS concepts are earlier or more specialized. Market reports disagree, so their numbers must be attributed rather than combined.</w:t>
      </w:r>
    </w:p>
    <w:p>
      <w:pPr>
        <w:keepLines/>
        <w:spacing w:before="0" w:after="80" w:line="300" w:lineRule="auto"/>
      </w:pPr>
      <w:r>
        <w:rPr>
          <w:rFonts w:ascii="Calibri" w:hAnsi="Calibri"/>
          <w:b/>
          <w:color w:val="7A5A00"/>
        </w:rPr>
        <w:t xml:space="preserve">Why it matters: </w:t>
      </w:r>
      <w:r>
        <w:t>Investors should distinguish impressive sensitivity from repeatable manufacturing and customer adoption.</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GrandView2025magmarket [market]; Stage60 TRL assessment</w:t>
      </w:r>
    </w:p>
    <w:p>
      <w:pPr>
        <w:pStyle w:val="Heading2"/>
      </w:pPr>
      <w:r>
        <w:t>Automotive rules</w:t>
      </w:r>
    </w:p>
    <w:p>
      <w:pPr>
        <w:keepLines/>
        <w:spacing w:before="0" w:after="80" w:line="300" w:lineRule="auto"/>
      </w:pPr>
      <w:r>
        <w:rPr>
          <w:rFonts w:ascii="Calibri" w:hAnsi="Calibri"/>
          <w:b/>
          <w:color w:val="0B2545"/>
        </w:rPr>
        <w:t xml:space="preserve">In plain language: </w:t>
      </w:r>
      <w:r>
        <w:t>Automotive standards require companies to analyze hazards, design diagnostics and redundancy, control development, resist electromagnetic interference, and increasingly address cybersecurity and AI behavior.</w:t>
      </w:r>
    </w:p>
    <w:p>
      <w:pPr>
        <w:keepLines/>
        <w:spacing w:before="0" w:after="80" w:line="300" w:lineRule="auto"/>
      </w:pPr>
      <w:r>
        <w:rPr>
          <w:rFonts w:ascii="Calibri" w:hAnsi="Calibri"/>
          <w:b/>
          <w:color w:val="7A5A00"/>
        </w:rPr>
        <w:t xml:space="preserve">Why it matters: </w:t>
      </w:r>
      <w:r>
        <w:t>Meeting these rules is often harder and more expensive than making a promising sensor sample.</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ISO26262; ISO21448SOTIF; ISOSAE21434; ISOPAS8800; CISPR25</w:t>
      </w:r>
    </w:p>
    <w:p>
      <w:pPr>
        <w:pStyle w:val="Heading2"/>
      </w:pPr>
      <w:r>
        <w:t>Industrial and energy rules</w:t>
      </w:r>
    </w:p>
    <w:p>
      <w:pPr>
        <w:keepLines/>
        <w:spacing w:before="0" w:after="80" w:line="300" w:lineRule="auto"/>
      </w:pPr>
      <w:r>
        <w:rPr>
          <w:rFonts w:ascii="Calibri" w:hAnsi="Calibri"/>
          <w:b/>
          <w:color w:val="0B2545"/>
        </w:rPr>
        <w:t xml:space="preserve">In plain language: </w:t>
      </w:r>
      <w:r>
        <w:t>Industrial safety and cybersecurity standards govern the complete system, including how measurements are communicated and protected. The exact standard depends on whether the sensor is used in a machine, grid asset, safety loop, or digital substation.</w:t>
      </w:r>
    </w:p>
    <w:p>
      <w:pPr>
        <w:keepLines/>
        <w:spacing w:before="0" w:after="80" w:line="300" w:lineRule="auto"/>
      </w:pPr>
      <w:r>
        <w:rPr>
          <w:rFonts w:ascii="Calibri" w:hAnsi="Calibri"/>
          <w:b/>
          <w:color w:val="7A5A00"/>
        </w:rPr>
        <w:t xml:space="preserve">Why it matters: </w:t>
      </w:r>
      <w:r>
        <w:t>Standards determine whether a device can be integrated into critical infrastructure.</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IEC61508; IEC62443; IEC 61850-9-2 [to add]</w:t>
      </w:r>
    </w:p>
    <w:p>
      <w:pPr>
        <w:pStyle w:val="Heading2"/>
      </w:pPr>
      <w:r>
        <w:t>Medical rules</w:t>
      </w:r>
    </w:p>
    <w:p>
      <w:pPr>
        <w:keepLines/>
        <w:spacing w:before="0" w:after="80" w:line="300" w:lineRule="auto"/>
      </w:pPr>
      <w:r>
        <w:rPr>
          <w:rFonts w:ascii="Calibri" w:hAnsi="Calibri"/>
          <w:b/>
          <w:color w:val="0B2545"/>
        </w:rPr>
        <w:t xml:space="preserve">In plain language: </w:t>
      </w:r>
      <w:r>
        <w:t>Medical products need electrical safety, quality management, risk management, evidence for their intended use, and regulatory clearance. A laboratory magnetometer does not become a medical device automatically.</w:t>
      </w:r>
    </w:p>
    <w:p>
      <w:pPr>
        <w:keepLines/>
        <w:spacing w:before="0" w:after="80" w:line="300" w:lineRule="auto"/>
      </w:pPr>
      <w:r>
        <w:rPr>
          <w:rFonts w:ascii="Calibri" w:hAnsi="Calibri"/>
          <w:b/>
          <w:color w:val="7A5A00"/>
        </w:rPr>
        <w:t xml:space="preserve">Why it matters: </w:t>
      </w:r>
      <w:r>
        <w:t>Commercial success depends on the full clinical system and regulatory pathway.</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IEC60601; ISO13485; ISO14971; RicohMEG2024clearance [press]</w:t>
      </w:r>
    </w:p>
    <w:p>
      <w:pPr>
        <w:pStyle w:val="Heading2"/>
      </w:pPr>
      <w:r>
        <w:t>Calibration and trust</w:t>
      </w:r>
    </w:p>
    <w:p>
      <w:pPr>
        <w:keepLines/>
        <w:spacing w:before="0" w:after="80" w:line="300" w:lineRule="auto"/>
      </w:pPr>
      <w:r>
        <w:rPr>
          <w:rFonts w:ascii="Calibri" w:hAnsi="Calibri"/>
          <w:b/>
          <w:color w:val="0B2545"/>
        </w:rPr>
        <w:t xml:space="preserve">In plain language: </w:t>
      </w:r>
      <w:r>
        <w:t>A trusted measurement must be linked to recognized references and have a documented uncertainty. When software changes the result, its training conditions and version also become part of the measurement chain.</w:t>
      </w:r>
    </w:p>
    <w:p>
      <w:pPr>
        <w:keepLines/>
        <w:spacing w:before="0" w:after="80" w:line="300" w:lineRule="auto"/>
      </w:pPr>
      <w:r>
        <w:rPr>
          <w:rFonts w:ascii="Calibri" w:hAnsi="Calibri"/>
          <w:b/>
          <w:color w:val="7A5A00"/>
        </w:rPr>
        <w:t xml:space="preserve">Why it matters: </w:t>
      </w:r>
      <w:r>
        <w:t>Without traceability, a more accurate-looking number may still be unusable for certification or safety decisions.</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Lenicek2022calibstd; PTBmetrology; Ge2016overhauser</w:t>
      </w:r>
    </w:p>
    <w:p>
      <w:pPr>
        <w:pStyle w:val="Heading2"/>
      </w:pPr>
      <w:r>
        <w:t>Questions for a company or investor</w:t>
      </w:r>
    </w:p>
    <w:p>
      <w:pPr>
        <w:keepLines/>
        <w:spacing w:before="0" w:after="80" w:line="300" w:lineRule="auto"/>
      </w:pPr>
      <w:r>
        <w:rPr>
          <w:rFonts w:ascii="Calibri" w:hAnsi="Calibri"/>
          <w:b/>
          <w:color w:val="0B2545"/>
        </w:rPr>
        <w:t xml:space="preserve">In plain language: </w:t>
      </w:r>
      <w:r>
        <w:t>Ask whether customers truly need the capability, whether performance survives real conditions, whether manufacturing is repeatable, how expensive calibration is, what qualification is required, where the supply chain is fragile, and whether software adds controllable value.</w:t>
      </w:r>
    </w:p>
    <w:p>
      <w:pPr>
        <w:keepLines/>
        <w:spacing w:before="0" w:after="80" w:line="300" w:lineRule="auto"/>
      </w:pPr>
      <w:r>
        <w:rPr>
          <w:rFonts w:ascii="Calibri" w:hAnsi="Calibri"/>
          <w:b/>
          <w:color w:val="7A5A00"/>
        </w:rPr>
        <w:t xml:space="preserve">Why it matters: </w:t>
      </w:r>
      <w:r>
        <w:t>These questions expose the difference between a good paper, a good prototype, and a good business.</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Stage60 risk register</w:t>
      </w:r>
    </w:p>
    <w:p>
      <w:pPr>
        <w:pStyle w:val="Heading1"/>
      </w:pPr>
      <w:r>
        <w:t>Section 5</w:t>
      </w:r>
    </w:p>
    <w:p>
      <w:pPr>
        <w:pStyle w:val="Heading2"/>
      </w:pPr>
      <w:r>
        <w:t>The takeaway</w:t>
      </w:r>
    </w:p>
    <w:p>
      <w:pPr>
        <w:keepLines/>
        <w:spacing w:before="0" w:after="80" w:line="300" w:lineRule="auto"/>
      </w:pPr>
      <w:r>
        <w:rPr>
          <w:rFonts w:ascii="Calibri" w:hAnsi="Calibri"/>
          <w:b/>
          <w:color w:val="0B2545"/>
        </w:rPr>
        <w:t xml:space="preserve">In plain language: </w:t>
      </w:r>
      <w:r>
        <w:t>No technology wins everywhere. The strongest future products will combine a suitable sensing element with packaging, calibration, arrays, algorithms, standards, and a clear use case.</w:t>
      </w:r>
    </w:p>
    <w:p>
      <w:pPr>
        <w:keepLines/>
        <w:spacing w:before="0" w:after="80" w:line="300" w:lineRule="auto"/>
      </w:pPr>
      <w:r>
        <w:rPr>
          <w:rFonts w:ascii="Calibri" w:hAnsi="Calibri"/>
          <w:b/>
          <w:color w:val="7A5A00"/>
        </w:rPr>
        <w:t xml:space="preserve">Why it matters: </w:t>
      </w:r>
      <w:r>
        <w:t>The review's most important message is that usable systems—not headline sensitivity alone—create scientific and commercial impact.</w:t>
      </w:r>
    </w:p>
    <w:p>
      <w:pPr>
        <w:pStyle w:val="Evidence"/>
        <w:keepLines/>
        <w:spacing w:before="0" w:after="160" w:line="276" w:lineRule="auto"/>
      </w:pPr>
      <w:r>
        <w:rPr>
          <w:rFonts w:ascii="Calibri" w:hAnsi="Calibri"/>
          <w:b/>
          <w:color w:val="5D6875"/>
          <w:sz w:val="19"/>
        </w:rPr>
        <w:t xml:space="preserve">Key literature: </w:t>
      </w:r>
      <w:r>
        <w:rPr>
          <w:rFonts w:ascii="Calibri" w:hAnsi="Calibri"/>
          <w:color w:val="5D6875"/>
          <w:sz w:val="19"/>
        </w:rPr>
        <w:t>Stage30-60 synthesis</w:t>
      </w:r>
    </w:p>
    <w:p>
      <w:r>
        <w:br w:type="page"/>
      </w:r>
    </w:p>
    <w:p>
      <w:pPr>
        <w:pStyle w:val="Heading1"/>
      </w:pPr>
      <w:r>
        <w:t>Appendix A. Complete literature inventory</w:t>
      </w:r>
    </w:p>
    <w:p>
      <w:pPr>
        <w:keepLines w:val="0"/>
        <w:spacing w:before="0" w:after="200" w:line="300" w:lineRule="auto"/>
      </w:pPr>
      <w:r>
        <w:t xml:space="preserve">All 122 entries in </w:t>
      </w:r>
      <w:r>
        <w:rPr>
          <w:i/>
        </w:rPr>
        <w:t>reference_registry.csv</w:t>
      </w:r>
      <w:r>
        <w:t xml:space="preserve"> are included below. DOI and source-status information is preserved so each version of the summary can be traced to the same evidence base.</w:t>
      </w:r>
    </w:p>
    <w:p>
      <w:pPr>
        <w:pStyle w:val="Heading2"/>
      </w:pPr>
      <w:r>
        <w:t>Introduction and cross-family framing</w:t>
      </w:r>
    </w:p>
    <w:tbl>
      <w:tblPr>
        <w:tblW w:type="dxa" w:w="9360"/>
        <w:jc w:val="left"/>
        <w:tblLayout w:type="fixed"/>
        <w:tblLook w:firstColumn="1" w:firstRow="1" w:lastColumn="0" w:lastRow="0" w:noHBand="0" w:noVBand="1" w:val="04A0"/>
        <w:tblInd w:w="120" w:type="dxa"/>
      </w:tblPr>
      <w:tblGrid>
        <w:gridCol w:w="1600"/>
        <w:gridCol w:w="600"/>
        <w:gridCol w:w="1100"/>
        <w:gridCol w:w="4060"/>
        <w:gridCol w:w="2000"/>
      </w:tblGrid>
      <w:tr>
        <w:trPr>
          <w:tblHeader w:val="true"/>
        </w:trPr>
        <w:tc>
          <w:tcPr>
            <w:tcW w:type="dxa" w:w="1600"/>
            <w:shd w:fill="2E74B5"/>
            <w:tcMar>
              <w:top w:w="80" w:type="dxa"/>
              <w:start w:w="120" w:type="dxa"/>
              <w:bottom w:w="80" w:type="dxa"/>
              <w:end w:w="120" w:type="dxa"/>
            </w:tcMar>
            <w:vAlign w:val="center"/>
          </w:tcPr>
          <w:p>
            <w:r>
              <w:rPr>
                <w:rFonts w:ascii="Calibri" w:hAnsi="Calibri"/>
                <w:b/>
                <w:color w:val="FFFFFF"/>
                <w:sz w:val="16"/>
              </w:rPr>
              <w:t>Key</w:t>
            </w:r>
          </w:p>
        </w:tc>
        <w:tc>
          <w:tcPr>
            <w:tcW w:type="dxa" w:w="600"/>
            <w:shd w:fill="2E74B5"/>
            <w:tcMar>
              <w:top w:w="80" w:type="dxa"/>
              <w:start w:w="120" w:type="dxa"/>
              <w:bottom w:w="80" w:type="dxa"/>
              <w:end w:w="120" w:type="dxa"/>
            </w:tcMar>
            <w:vAlign w:val="center"/>
          </w:tcPr>
          <w:p>
            <w:r>
              <w:rPr>
                <w:rFonts w:ascii="Calibri" w:hAnsi="Calibri"/>
                <w:b/>
                <w:color w:val="FFFFFF"/>
                <w:sz w:val="16"/>
              </w:rPr>
              <w:t>Year</w:t>
            </w:r>
          </w:p>
        </w:tc>
        <w:tc>
          <w:tcPr>
            <w:tcW w:type="dxa" w:w="1100"/>
            <w:shd w:fill="2E74B5"/>
            <w:tcMar>
              <w:top w:w="80" w:type="dxa"/>
              <w:start w:w="120" w:type="dxa"/>
              <w:bottom w:w="80" w:type="dxa"/>
              <w:end w:w="120" w:type="dxa"/>
            </w:tcMar>
            <w:vAlign w:val="center"/>
          </w:tcPr>
          <w:p>
            <w:r>
              <w:rPr>
                <w:rFonts w:ascii="Calibri" w:hAnsi="Calibri"/>
                <w:b/>
                <w:color w:val="FFFFFF"/>
                <w:sz w:val="16"/>
              </w:rPr>
              <w:t>Type</w:t>
            </w:r>
          </w:p>
        </w:tc>
        <w:tc>
          <w:tcPr>
            <w:tcW w:type="dxa" w:w="4060"/>
            <w:shd w:fill="2E74B5"/>
            <w:tcMar>
              <w:top w:w="80" w:type="dxa"/>
              <w:start w:w="120" w:type="dxa"/>
              <w:bottom w:w="80" w:type="dxa"/>
              <w:end w:w="120" w:type="dxa"/>
            </w:tcMar>
            <w:vAlign w:val="center"/>
          </w:tcPr>
          <w:p>
            <w:r>
              <w:rPr>
                <w:rFonts w:ascii="Calibri" w:hAnsi="Calibri"/>
                <w:b/>
                <w:color w:val="FFFFFF"/>
                <w:sz w:val="16"/>
              </w:rPr>
              <w:t>Title / venue</w:t>
            </w:r>
          </w:p>
        </w:tc>
        <w:tc>
          <w:tcPr>
            <w:tcW w:type="dxa" w:w="2000"/>
            <w:shd w:fill="2E74B5"/>
            <w:tcMar>
              <w:top w:w="80" w:type="dxa"/>
              <w:start w:w="120" w:type="dxa"/>
              <w:bottom w:w="80" w:type="dxa"/>
              <w:end w:w="120" w:type="dxa"/>
            </w:tcMar>
            <w:vAlign w:val="center"/>
          </w:tcPr>
          <w:p>
            <w:r>
              <w:rPr>
                <w:rFonts w:ascii="Calibri" w:hAnsi="Calibri"/>
                <w:b/>
                <w:color w:val="FFFFFF"/>
                <w:sz w:val="16"/>
              </w:rPr>
              <w:t>DOI or evidence note</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MDPI2024RefGuideV10</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2024</w:t>
            </w:r>
          </w:p>
        </w:tc>
        <w:tc>
          <w:tcPr>
            <w:tcW w:type="dxa" w:w="1100"/>
            <w:shd w:fill="FFF4D6"/>
            <w:tcMar>
              <w:top w:w="80" w:type="dxa"/>
              <w:start w:w="120" w:type="dxa"/>
              <w:bottom w:w="80" w:type="dxa"/>
              <w:end w:w="120" w:type="dxa"/>
            </w:tcMar>
            <w:vAlign w:val="center"/>
          </w:tcPr>
          <w:p>
            <w:pPr>
              <w:keepLines w:val="0"/>
              <w:spacing w:before="0" w:after="0" w:line="245" w:lineRule="auto"/>
            </w:pPr>
            <w:r>
              <w:rPr>
                <w:rFonts w:ascii="Calibri" w:hAnsi="Calibri"/>
                <w:sz w:val="15"/>
              </w:rPr>
              <w:t>Vendor</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MDPI Reference List and Citations Style Guide, 10th Edition — MDPI (publisher policy page)</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No DOI; vendor</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MDPI2026AIAuthorship</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2026</w:t>
            </w:r>
          </w:p>
        </w:tc>
        <w:tc>
          <w:tcPr>
            <w:tcW w:type="dxa" w:w="1100"/>
            <w:shd w:fill="FFF4D6"/>
            <w:tcMar>
              <w:top w:w="80" w:type="dxa"/>
              <w:start w:w="120" w:type="dxa"/>
              <w:bottom w:w="80" w:type="dxa"/>
              <w:end w:w="120" w:type="dxa"/>
            </w:tcMar>
            <w:vAlign w:val="center"/>
          </w:tcPr>
          <w:p>
            <w:pPr>
              <w:keepLines w:val="0"/>
              <w:spacing w:before="0" w:after="0" w:line="245" w:lineRule="auto"/>
            </w:pPr>
            <w:r>
              <w:rPr>
                <w:rFonts w:ascii="Calibri" w:hAnsi="Calibri"/>
                <w:sz w:val="15"/>
              </w:rPr>
              <w:t>Vendor</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Updated Guidelines on Artificial Intelligence and Authorship — MDPI (publisher announcement)</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No DOI; vendor</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MDPI2026SensorsAPC</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2026</w:t>
            </w:r>
          </w:p>
        </w:tc>
        <w:tc>
          <w:tcPr>
            <w:tcW w:type="dxa" w:w="1100"/>
            <w:shd w:fill="FFF4D6"/>
            <w:tcMar>
              <w:top w:w="80" w:type="dxa"/>
              <w:start w:w="120" w:type="dxa"/>
              <w:bottom w:w="80" w:type="dxa"/>
              <w:end w:w="120" w:type="dxa"/>
            </w:tcMar>
            <w:vAlign w:val="center"/>
          </w:tcPr>
          <w:p>
            <w:pPr>
              <w:keepLines w:val="0"/>
              <w:spacing w:before="0" w:after="0" w:line="245" w:lineRule="auto"/>
            </w:pPr>
            <w:r>
              <w:rPr>
                <w:rFonts w:ascii="Calibri" w:hAnsi="Calibri"/>
                <w:sz w:val="15"/>
              </w:rPr>
              <w:t>Vendor</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Sensors - Open Access and Article Processing Charge (APC) — MDPI (publisher policy page)</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No DOI; vendor</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MDPI2026SensorsIfA</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2026</w:t>
            </w:r>
          </w:p>
        </w:tc>
        <w:tc>
          <w:tcPr>
            <w:tcW w:type="dxa" w:w="1100"/>
            <w:shd w:fill="FFF4D6"/>
            <w:tcMar>
              <w:top w:w="80" w:type="dxa"/>
              <w:start w:w="120" w:type="dxa"/>
              <w:bottom w:w="80" w:type="dxa"/>
              <w:end w:w="120" w:type="dxa"/>
            </w:tcMar>
            <w:vAlign w:val="center"/>
          </w:tcPr>
          <w:p>
            <w:pPr>
              <w:keepLines w:val="0"/>
              <w:spacing w:before="0" w:after="0" w:line="245" w:lineRule="auto"/>
            </w:pPr>
            <w:r>
              <w:rPr>
                <w:rFonts w:ascii="Calibri" w:hAnsi="Calibri"/>
                <w:sz w:val="15"/>
              </w:rPr>
              <w:t>Vendor</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Sensors - Instructions for Authors — MDPI (publisher policy page)</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No DOI; vendor</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MDPI2026SensorsPublguid</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2026</w:t>
            </w:r>
          </w:p>
        </w:tc>
        <w:tc>
          <w:tcPr>
            <w:tcW w:type="dxa" w:w="1100"/>
            <w:shd w:fill="FFF4D6"/>
            <w:tcMar>
              <w:top w:w="80" w:type="dxa"/>
              <w:start w:w="120" w:type="dxa"/>
              <w:bottom w:w="80" w:type="dxa"/>
              <w:end w:w="120" w:type="dxa"/>
            </w:tcMar>
            <w:vAlign w:val="center"/>
          </w:tcPr>
          <w:p>
            <w:pPr>
              <w:keepLines w:val="0"/>
              <w:spacing w:before="0" w:after="0" w:line="245" w:lineRule="auto"/>
            </w:pPr>
            <w:r>
              <w:rPr>
                <w:rFonts w:ascii="Calibri" w:hAnsi="Calibri"/>
                <w:sz w:val="15"/>
              </w:rPr>
              <w:t>Vendor</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Sensors - Instructions for Authors (mirror) — MDPI (publisher policy page)</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No DOI; vendor</w:t>
            </w:r>
          </w:p>
        </w:tc>
      </w:tr>
    </w:tbl>
    <w:p>
      <w:pPr>
        <w:keepLines w:val="0"/>
        <w:spacing w:before="0" w:after="80" w:line="300" w:lineRule="auto"/>
      </w:pPr>
    </w:p>
    <w:p>
      <w:pPr>
        <w:pStyle w:val="Heading2"/>
      </w:pPr>
      <w:r>
        <w:t>Sensor families and operating principles</w:t>
      </w:r>
    </w:p>
    <w:tbl>
      <w:tblPr>
        <w:tblW w:type="dxa" w:w="9360"/>
        <w:jc w:val="left"/>
        <w:tblLayout w:type="fixed"/>
        <w:tblLook w:firstColumn="1" w:firstRow="1" w:lastColumn="0" w:lastRow="0" w:noHBand="0" w:noVBand="1" w:val="04A0"/>
        <w:tblInd w:w="120" w:type="dxa"/>
      </w:tblPr>
      <w:tblGrid>
        <w:gridCol w:w="1600"/>
        <w:gridCol w:w="600"/>
        <w:gridCol w:w="1100"/>
        <w:gridCol w:w="4060"/>
        <w:gridCol w:w="2000"/>
      </w:tblGrid>
      <w:tr>
        <w:trPr>
          <w:tblHeader w:val="true"/>
        </w:trPr>
        <w:tc>
          <w:tcPr>
            <w:tcW w:type="dxa" w:w="1600"/>
            <w:shd w:fill="2E74B5"/>
            <w:tcMar>
              <w:top w:w="80" w:type="dxa"/>
              <w:start w:w="120" w:type="dxa"/>
              <w:bottom w:w="80" w:type="dxa"/>
              <w:end w:w="120" w:type="dxa"/>
            </w:tcMar>
            <w:vAlign w:val="center"/>
          </w:tcPr>
          <w:p>
            <w:r>
              <w:rPr>
                <w:rFonts w:ascii="Calibri" w:hAnsi="Calibri"/>
                <w:b/>
                <w:color w:val="FFFFFF"/>
                <w:sz w:val="16"/>
              </w:rPr>
              <w:t>Key</w:t>
            </w:r>
          </w:p>
        </w:tc>
        <w:tc>
          <w:tcPr>
            <w:tcW w:type="dxa" w:w="600"/>
            <w:shd w:fill="2E74B5"/>
            <w:tcMar>
              <w:top w:w="80" w:type="dxa"/>
              <w:start w:w="120" w:type="dxa"/>
              <w:bottom w:w="80" w:type="dxa"/>
              <w:end w:w="120" w:type="dxa"/>
            </w:tcMar>
            <w:vAlign w:val="center"/>
          </w:tcPr>
          <w:p>
            <w:r>
              <w:rPr>
                <w:rFonts w:ascii="Calibri" w:hAnsi="Calibri"/>
                <w:b/>
                <w:color w:val="FFFFFF"/>
                <w:sz w:val="16"/>
              </w:rPr>
              <w:t>Year</w:t>
            </w:r>
          </w:p>
        </w:tc>
        <w:tc>
          <w:tcPr>
            <w:tcW w:type="dxa" w:w="1100"/>
            <w:shd w:fill="2E74B5"/>
            <w:tcMar>
              <w:top w:w="80" w:type="dxa"/>
              <w:start w:w="120" w:type="dxa"/>
              <w:bottom w:w="80" w:type="dxa"/>
              <w:end w:w="120" w:type="dxa"/>
            </w:tcMar>
            <w:vAlign w:val="center"/>
          </w:tcPr>
          <w:p>
            <w:r>
              <w:rPr>
                <w:rFonts w:ascii="Calibri" w:hAnsi="Calibri"/>
                <w:b/>
                <w:color w:val="FFFFFF"/>
                <w:sz w:val="16"/>
              </w:rPr>
              <w:t>Type</w:t>
            </w:r>
          </w:p>
        </w:tc>
        <w:tc>
          <w:tcPr>
            <w:tcW w:type="dxa" w:w="4060"/>
            <w:shd w:fill="2E74B5"/>
            <w:tcMar>
              <w:top w:w="80" w:type="dxa"/>
              <w:start w:w="120" w:type="dxa"/>
              <w:bottom w:w="80" w:type="dxa"/>
              <w:end w:w="120" w:type="dxa"/>
            </w:tcMar>
            <w:vAlign w:val="center"/>
          </w:tcPr>
          <w:p>
            <w:r>
              <w:rPr>
                <w:rFonts w:ascii="Calibri" w:hAnsi="Calibri"/>
                <w:b/>
                <w:color w:val="FFFFFF"/>
                <w:sz w:val="16"/>
              </w:rPr>
              <w:t>Title / venue</w:t>
            </w:r>
          </w:p>
        </w:tc>
        <w:tc>
          <w:tcPr>
            <w:tcW w:type="dxa" w:w="2000"/>
            <w:shd w:fill="2E74B5"/>
            <w:tcMar>
              <w:top w:w="80" w:type="dxa"/>
              <w:start w:w="120" w:type="dxa"/>
              <w:bottom w:w="80" w:type="dxa"/>
              <w:end w:w="120" w:type="dxa"/>
            </w:tcMar>
            <w:vAlign w:val="center"/>
          </w:tcPr>
          <w:p>
            <w:r>
              <w:rPr>
                <w:rFonts w:ascii="Calibri" w:hAnsi="Calibri"/>
                <w:b/>
                <w:color w:val="FFFFFF"/>
                <w:sz w:val="16"/>
              </w:rPr>
              <w:t>DOI or evidence note</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GEMOverhauserVendor</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0</w:t>
            </w:r>
          </w:p>
        </w:tc>
        <w:tc>
          <w:tcPr>
            <w:tcW w:type="dxa" w:w="1100"/>
            <w:shd w:fill="FFF4D6"/>
            <w:tcMar>
              <w:top w:w="80" w:type="dxa"/>
              <w:start w:w="120" w:type="dxa"/>
              <w:bottom w:w="80" w:type="dxa"/>
              <w:end w:w="120" w:type="dxa"/>
            </w:tcMar>
            <w:vAlign w:val="center"/>
          </w:tcPr>
          <w:p>
            <w:pPr>
              <w:keepLines w:val="0"/>
              <w:spacing w:before="0" w:after="0" w:line="245" w:lineRule="auto"/>
            </w:pPr>
            <w:r>
              <w:rPr>
                <w:rFonts w:ascii="Calibri" w:hAnsi="Calibri"/>
                <w:sz w:val="15"/>
              </w:rPr>
              <w:t>Vendor</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Overhauser Magnetometers for Measurement of the Earth's Magnetic Field (undated vendor overview) — GEM Systems</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No DOI; vendor</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Lenz1990review</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1990</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A Review of Magnetic Sensors — Proceedings of the IEEE</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10.1109/5.56910</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Munter1990spinning</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1990</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A low-offset spinning-current Hall plate — Sensors and Actuators A: Physical</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10.1016/0924-4247(89)80069-X</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Treutler2001automotive</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2001</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Magnetic sensors for automotive applications — Sensors and Actuators A: Physical</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10.1016/S0924-4247(01)00621-5</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Kominis2003subfemtotesla</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2003</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A subfemtotesla multichannel atomic magnetometer — Nature</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10.1038/nature01484</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Ripka2003fluxgateadv</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2003</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Advances in fluxgate sensors — Sensors and Actuators A: Physical</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10.1016/S0924-4247(03)00094-3</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Popovic2004hallbook</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2004</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Book</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Hall Effect Devices, 2nd ed. — Institute of Physics Publishing</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10.1887/0750308559</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Fagaly2006squidRSI</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2006</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Superconducting quantum interference device instruments and applications — Review of Scientific Instruments</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10.1063/1.2354545</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Lenz2006magsensors</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2006</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Magnetic Sensors and Their Applications — IEEE Sensors Journal</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10.1109/JSEN.2006.874493</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Shah2007microfabvapor</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2007</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Subpicotesla atomic magnetometry with a microfabricated vapour cell — Nature Photonics</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10.1038/nphoton.2007.201</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Tumanski2007inductioncoil</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2007</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Induction coil sensors - a review — Measurement Science and Technology</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10.1088/0957-0233/18/3/R01</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Phan2008gmiprogress</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2008</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Giant magnetoimpedance materials: Fundamentals and applications — Progress in Materials Science</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10.1016/j.pmatsci.2007.05.003</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Roux2008themisSCM</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2008</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The Search Coil Magnetometer for THEMIS — Space Science Reviews</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10.1007/s11214-008-9455-8</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Egelhoff2009picoteslaMTJ</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2009</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Critical challenges for picoTesla magnetic-tunnel-junction sensors — Sensors and Actuators A: Physical</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10.1016/j.sna.2009.08.016</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HerreraMay2009memsresonant</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2009</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Resonant Magnetic Field Sensors Based On MEMS Technology — Sensors</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10.3390/s91007785</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Coillot2010dualband</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2010</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Principle and Performance of a Dual-Band Search Coil Magnetometer: A New Instrument to Investigate Fluctuating Magnetic Fields in Space — IEEE Sensors Journal</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10.1109/JSEN.2009.2030977</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Ripka2010advancesIEEE</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2010</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Advances in Magnetic Field Sensors — IEEE Sensors Journal</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10.1109/JSEN.2010.2043429</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GaNHEMThall2012jpcs</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2012</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Conference</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High Temperature Hall sensors using AlGaN/GaN HEMT Structures — Journal of Physics: Conference Series</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10.1088/1742-6596/352/1/012009</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Nan2013selfbiasME</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2013</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Self-Biased 215 MHz Magnetoelectric NEMS Resonator for Ultra-Sensitive DC Magnetic Field Detection — Scientific Reports</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10.1038/srep01985</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Tumanski2013modern</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2013</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Modern magnetic field sensors - a review — Przeglad Elektrotechniczny</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No DOI; journal</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Jogschies2015mrindustrial</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2015</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Recent Developments of Magnetoresistive Sensors for Industrial Applications — Sensors</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10.3390/s151128665</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Dolabdjian2016gmichapter</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2016</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Book</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Giant Magneto-Impedance (GMI) Magnetometers — High Sensitivity Magnetometers; Springer</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10.1007/978-3-319-34070-8_4</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Freitas2016spintronic</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2016</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Spintronic Sensors — Proceedings of the IEEE</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10.1109/JPROC.2016.2578303</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Ge2016overhauser</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2016</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Overhauser Geomagnetic Sensor Based on the Dynamic Nuclear Polarization Effect for Magnetic Prospecting — Sensors</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10.3390/s16060806</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Li2017nemsME</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2017</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Ultra-sensitive NEMS magnetoelectric sensor for picotesla DC magnetic field detection — Applied Physics Letters</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10.1063/1.4979694</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Boto2018wearableMEG</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2018</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Moving magnetoencephalography towards real-world applications with a wearable system — Nature</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10.1038/nature26147</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Clarke2018squidfocus</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2018</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Focus on SQUIDs in Biomagnetism — Superconductor Science and Technology</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10.1088/1361-6668/aacb14</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Kitching2018chipscaleatomic</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2018</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Chip-scale atomic devices — Applied Physics Reviews</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10.1063/1.5026238</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JEET2019lownoisehall</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2019</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A Low Noise Offset Cancellation Method for Improving Sensitivity of CMOS Hall Sensor — Journal of Electrical Engineering &amp; Technology</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10.1007/s42835-018-00031-7</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Tierney2019OPM</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2019</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Optically pumped magnetometers: From quantum origins to multi-channel magnetoencephalography — NeuroImage</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10.1016/j.neuroimage.2019.05.049</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Zheng2019mrroadmap</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2019</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Magnetoresistive Sensor Development Roadmap (Non-Recording Applications) — IEEE Transactions on Magnetics</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10.1109/TMAG.2019.2896036</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Alpert2020gan2deg</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2020</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Sensitivity of 2DEG-based Hall-effect sensors at high temperatures — Review of Scientific Instruments</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10.1063/1.5139911</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Barry2020NVdiamond</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2020</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Sensitivity optimization for NV-diamond magnetometry — Reviews of Modern Physics</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10.1103/RevModPhys.92.015004</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Murzin2020biomedsensors</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2020</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Ultrasensitive Magnetic Field Sensors for Biomedical Applications — Sensors</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10.3390/s20061569</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SerialMTJ2020sensors</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2020</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Detection of Small Magnetic Fields Using Serial Magnetic Tunnel Junctions with Various Geometrical Characteristics — Sensors</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10.3390/s20195704</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Uchiyama2020picoteslaMI</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2020</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Development of pico tesla resolution amorphous wire magneto-impedance sensor for bio-magnetic field measurements — Journal of Magnetism and Magnetic Materials</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10.1016/j.jmmm.2020.167148</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Bichurin2021MEreview</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2021</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Magnetoelectric Magnetic Field Sensors: A Review — Sensors</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10.3390/s21186232</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Dressler2021orthofluxgate</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2021</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Reduction of magnetic noise limits of orthogonal fluxgate sensor — AIP Advances</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10.1063/9.0000231</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Fluxgate2021Sensors</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2021</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Recent Progress of Fluxgate Magnetic Sensors: Basic Research and Application — Sensors</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10.3390/s21041500</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MagSensorsReview2021ERX</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2021</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Magnetic sensors - A review and recent technologies — Engineering Research Express</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10.1088/2631-8695/ac0838</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Crescentini2022hallcurrent</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2022</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Hall-Effect Current Sensors: Principles of Operation and Implementation Techniques — IEEE Sensors Journal</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10.1109/JSEN.2021.3119766</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QuartzME2022symmetry</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2022</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A Symmetrical Quartz-Based Magnetoelectric Sensor for Pico-Tesla Magnetic Field Detection — Symmetry</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10.3390/sym14102130</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Zhou2022TMRchapter</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2022</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Book</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Tunneling Magnetoresistance (TMR) Materials and Devices for Magnetic Sensors — Spintronics: Materials, Devices, and Applications (Wiley)</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10.1002/9781119698968.ch3</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NVmicrowave2023prapplied</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2023</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Solid-State Microwave Magnetometer with Picotesla-Level Sensitivity — Physical Review Applied</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10.1103/PhysRevApplied.19.054095</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Rostami2023fbgreview</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2023</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Advances in fibre Bragg grating technology for magnetic field sensing: A review — Measurement</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10.1016/j.measurement.2023.113482</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NVsub10pT2024prapplied</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2024</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Diamond quantum magnetometer with dc sensitivity of sub-10 pT toward measurement of biomagnetic field — Physical Review Applied</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10.1103/PhysRevApplied.21.064010</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SERFhybridcell2024msn</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2024</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Ultrasensitive SERF atomic magnetometer with a miniaturized hybrid vapor cell — Microsystems &amp; Nanoengineering</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10.1038/s41378-024-00758-6</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Spintronic2024npj</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2024</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Enhanced performance and functionality in spintronic sensors — npj Spintronics</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10.1038/s44306-024-00058-9</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SiHall3axis2025msn</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2025</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Inverted pyramid 3-axis silicon Hall-effect magnetic sensor with offset cancellation — Microsystems &amp; Nanoengineering</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10.1038/s41378-025-00876-9</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TMRsubpT2025APL</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2025</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Tunnel-magnetoresistance sensors with sub-pT detectivity for detecting bio-magnetic fields — Applied Physics Letters</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10.1063/5.0263879</w:t>
            </w:r>
          </w:p>
        </w:tc>
      </w:tr>
    </w:tbl>
    <w:p>
      <w:pPr>
        <w:keepLines w:val="0"/>
        <w:spacing w:before="0" w:after="80" w:line="300" w:lineRule="auto"/>
      </w:pPr>
    </w:p>
    <w:p>
      <w:pPr>
        <w:pStyle w:val="Heading2"/>
      </w:pPr>
      <w:r>
        <w:t>Current application domains</w:t>
      </w:r>
    </w:p>
    <w:tbl>
      <w:tblPr>
        <w:tblW w:type="dxa" w:w="9360"/>
        <w:jc w:val="left"/>
        <w:tblLayout w:type="fixed"/>
        <w:tblLook w:firstColumn="1" w:firstRow="1" w:lastColumn="0" w:lastRow="0" w:noHBand="0" w:noVBand="1" w:val="04A0"/>
        <w:tblInd w:w="120" w:type="dxa"/>
      </w:tblPr>
      <w:tblGrid>
        <w:gridCol w:w="1600"/>
        <w:gridCol w:w="600"/>
        <w:gridCol w:w="1100"/>
        <w:gridCol w:w="4060"/>
        <w:gridCol w:w="2000"/>
      </w:tblGrid>
      <w:tr>
        <w:trPr>
          <w:tblHeader w:val="true"/>
        </w:trPr>
        <w:tc>
          <w:tcPr>
            <w:tcW w:type="dxa" w:w="1600"/>
            <w:shd w:fill="2E74B5"/>
            <w:tcMar>
              <w:top w:w="80" w:type="dxa"/>
              <w:start w:w="120" w:type="dxa"/>
              <w:bottom w:w="80" w:type="dxa"/>
              <w:end w:w="120" w:type="dxa"/>
            </w:tcMar>
            <w:vAlign w:val="center"/>
          </w:tcPr>
          <w:p>
            <w:r>
              <w:rPr>
                <w:rFonts w:ascii="Calibri" w:hAnsi="Calibri"/>
                <w:b/>
                <w:color w:val="FFFFFF"/>
                <w:sz w:val="16"/>
              </w:rPr>
              <w:t>Key</w:t>
            </w:r>
          </w:p>
        </w:tc>
        <w:tc>
          <w:tcPr>
            <w:tcW w:type="dxa" w:w="600"/>
            <w:shd w:fill="2E74B5"/>
            <w:tcMar>
              <w:top w:w="80" w:type="dxa"/>
              <w:start w:w="120" w:type="dxa"/>
              <w:bottom w:w="80" w:type="dxa"/>
              <w:end w:w="120" w:type="dxa"/>
            </w:tcMar>
            <w:vAlign w:val="center"/>
          </w:tcPr>
          <w:p>
            <w:r>
              <w:rPr>
                <w:rFonts w:ascii="Calibri" w:hAnsi="Calibri"/>
                <w:b/>
                <w:color w:val="FFFFFF"/>
                <w:sz w:val="16"/>
              </w:rPr>
              <w:t>Year</w:t>
            </w:r>
          </w:p>
        </w:tc>
        <w:tc>
          <w:tcPr>
            <w:tcW w:type="dxa" w:w="1100"/>
            <w:shd w:fill="2E74B5"/>
            <w:tcMar>
              <w:top w:w="80" w:type="dxa"/>
              <w:start w:w="120" w:type="dxa"/>
              <w:bottom w:w="80" w:type="dxa"/>
              <w:end w:w="120" w:type="dxa"/>
            </w:tcMar>
            <w:vAlign w:val="center"/>
          </w:tcPr>
          <w:p>
            <w:r>
              <w:rPr>
                <w:rFonts w:ascii="Calibri" w:hAnsi="Calibri"/>
                <w:b/>
                <w:color w:val="FFFFFF"/>
                <w:sz w:val="16"/>
              </w:rPr>
              <w:t>Type</w:t>
            </w:r>
          </w:p>
        </w:tc>
        <w:tc>
          <w:tcPr>
            <w:tcW w:type="dxa" w:w="4060"/>
            <w:shd w:fill="2E74B5"/>
            <w:tcMar>
              <w:top w:w="80" w:type="dxa"/>
              <w:start w:w="120" w:type="dxa"/>
              <w:bottom w:w="80" w:type="dxa"/>
              <w:end w:w="120" w:type="dxa"/>
            </w:tcMar>
            <w:vAlign w:val="center"/>
          </w:tcPr>
          <w:p>
            <w:r>
              <w:rPr>
                <w:rFonts w:ascii="Calibri" w:hAnsi="Calibri"/>
                <w:b/>
                <w:color w:val="FFFFFF"/>
                <w:sz w:val="16"/>
              </w:rPr>
              <w:t>Title / venue</w:t>
            </w:r>
          </w:p>
        </w:tc>
        <w:tc>
          <w:tcPr>
            <w:tcW w:type="dxa" w:w="2000"/>
            <w:shd w:fill="2E74B5"/>
            <w:tcMar>
              <w:top w:w="80" w:type="dxa"/>
              <w:start w:w="120" w:type="dxa"/>
              <w:bottom w:w="80" w:type="dxa"/>
              <w:end w:w="120" w:type="dxa"/>
            </w:tcMar>
            <w:vAlign w:val="center"/>
          </w:tcPr>
          <w:p>
            <w:r>
              <w:rPr>
                <w:rFonts w:ascii="Calibri" w:hAnsi="Calibri"/>
                <w:b/>
                <w:color w:val="FFFFFF"/>
                <w:sz w:val="16"/>
              </w:rPr>
              <w:t>DOI or evidence note</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Silva2012opticalcurrent</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2012</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Optical Current Sensors for High Power Systems: A Review — Applied Sciences</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10.3390/app2030602</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Miles2016fluxgateCubeSat</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2016</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A miniature, low-power scientific fluxgate magnetometer: A stepping-stone to cube-satellite constellation missions — Journal of Geophysical Research: Space Physics</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10.1002/2016JA023147</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Rifai2016GMReddyreview</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2016</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Giant Magnetoresistance Sensors: A Review on Structures and Non-Destructive Eddy Current Testing Applications — Sensors</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10.3390/s16030298</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Bailey2017eddyCUI</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2017</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Eddy Current Testing with Giant Magnetoresistance (GMR) Sensors and a Pipe-Encircling Excitation for Evaluation of Corrosion under Insulation — Sensors</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10.3390/s17102229</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Khawaja2017overheadlines</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2017</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Monitoring of Overhead Transmission Lines: A Review from the Perspective of Contactless Technologies — Sensing and Imaging</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10.1007/s11220-017-0172-9</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Wu2019MPIneuro</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2019</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A Review of Magnetic Particle Imaging and Perspectives on Neuroimaging — American Journal of Neuroradiology</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10.3174/ajnr.A5896</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Mazaheri2022strayflux</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2022</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Airgap and stray magnetic flux monitoring techniques for fault diagnosis of electrical machines: An overview — IET Electric Power Applications</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10.1049/elp2.12157</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Pedersen2022OPMepilepsy</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2022</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Wearable OPM-MEG: A changing landscape for epilepsy — Epilepsia</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10.1111/epi.17368</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AllegroABSVendor</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2023</w:t>
            </w:r>
          </w:p>
        </w:tc>
        <w:tc>
          <w:tcPr>
            <w:tcW w:type="dxa" w:w="1100"/>
            <w:shd w:fill="FFF4D6"/>
            <w:tcMar>
              <w:top w:w="80" w:type="dxa"/>
              <w:start w:w="120" w:type="dxa"/>
              <w:bottom w:w="80" w:type="dxa"/>
              <w:end w:w="120" w:type="dxa"/>
            </w:tcMar>
            <w:vAlign w:val="center"/>
          </w:tcPr>
          <w:p>
            <w:pPr>
              <w:keepLines w:val="0"/>
              <w:spacing w:before="0" w:after="0" w:line="245" w:lineRule="auto"/>
            </w:pPr>
            <w:r>
              <w:rPr>
                <w:rFonts w:ascii="Calibri" w:hAnsi="Calibri"/>
                <w:sz w:val="15"/>
              </w:rPr>
              <w:t>Vendor</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Hall-effect wheel-speed / ABS sensor ICs (A1688-class, back-biased ring/gear) — Allegro / Vehicle Electronics (product)</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No DOI; vendor</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Brisinda2023clinicalMCG</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2023</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Clinical magnetocardiography: the unshielded bet-past, present, and future — Frontiers in Cardiovascular Medicine</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10.3389/fcvm.2023.1232882</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MDTangleVendor</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2023</w:t>
            </w:r>
          </w:p>
        </w:tc>
        <w:tc>
          <w:tcPr>
            <w:tcW w:type="dxa" w:w="1100"/>
            <w:shd w:fill="FFF4D6"/>
            <w:tcMar>
              <w:top w:w="80" w:type="dxa"/>
              <w:start w:w="120" w:type="dxa"/>
              <w:bottom w:w="80" w:type="dxa"/>
              <w:end w:w="120" w:type="dxa"/>
            </w:tcMar>
            <w:vAlign w:val="center"/>
          </w:tcPr>
          <w:p>
            <w:pPr>
              <w:keepLines w:val="0"/>
              <w:spacing w:before="0" w:after="0" w:line="245" w:lineRule="auto"/>
            </w:pPr>
            <w:r>
              <w:rPr>
                <w:rFonts w:ascii="Calibri" w:hAnsi="Calibri"/>
                <w:sz w:val="15"/>
              </w:rPr>
              <w:t>Vendor</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TMR308x automotive angle sensor (dual TMR bridge) — MDT / Magnetics Magazine (product)</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No DOI; vendor</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NVcurrentPPM2023</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2023</w:t>
            </w:r>
          </w:p>
        </w:tc>
        <w:tc>
          <w:tcPr>
            <w:tcW w:type="dxa" w:w="1100"/>
            <w:shd w:fill="FFF4D6"/>
            <w:tcMar>
              <w:top w:w="80" w:type="dxa"/>
              <w:start w:w="120" w:type="dxa"/>
              <w:bottom w:w="80" w:type="dxa"/>
              <w:end w:w="120" w:type="dxa"/>
            </w:tcMar>
            <w:vAlign w:val="center"/>
          </w:tcPr>
          <w:p>
            <w:pPr>
              <w:keepLines w:val="0"/>
              <w:spacing w:before="0" w:after="0" w:line="245" w:lineRule="auto"/>
            </w:pPr>
            <w:r>
              <w:rPr>
                <w:rFonts w:ascii="Calibri" w:hAnsi="Calibri"/>
                <w:sz w:val="15"/>
              </w:rPr>
              <w:t>Preprint</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High dynamic range open-loop current measurement based on diamond quantum magnetometer achieving ppm scale precision — arXiv</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No DOI; preprint</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AllegroTMRcurrentVendor</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2024</w:t>
            </w:r>
          </w:p>
        </w:tc>
        <w:tc>
          <w:tcPr>
            <w:tcW w:type="dxa" w:w="1100"/>
            <w:shd w:fill="FFF4D6"/>
            <w:tcMar>
              <w:top w:w="80" w:type="dxa"/>
              <w:start w:w="120" w:type="dxa"/>
              <w:bottom w:w="80" w:type="dxa"/>
              <w:end w:w="120" w:type="dxa"/>
            </w:tcMar>
            <w:vAlign w:val="center"/>
          </w:tcPr>
          <w:p>
            <w:pPr>
              <w:keepLines w:val="0"/>
              <w:spacing w:before="0" w:after="0" w:line="245" w:lineRule="auto"/>
            </w:pPr>
            <w:r>
              <w:rPr>
                <w:rFonts w:ascii="Calibri" w:hAnsi="Calibri"/>
                <w:sz w:val="15"/>
              </w:rPr>
              <w:t>Vendor</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XtremeSense TMR current sensors (ACS37xxx family) for EV/clean-energy power conversion — Allegro MicroSystems (product/newswire)</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No DOI; vendor</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Brickwedde2024OPMMEG</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2024</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Applications of OPM-MEG for translational neuroscience: a perspective — Translational Psychiatry</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10.1038/s41398-024-03047-y</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Chen2024contactlessOHL</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2024</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Contactless current measurement for suspended overhead lines using a magnetic field sensor array — IET Generation, Transmission &amp; Distribution</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10.1049/gtd2.13128</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InfineonCurrentSensorVendor</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2024</w:t>
            </w:r>
          </w:p>
        </w:tc>
        <w:tc>
          <w:tcPr>
            <w:tcW w:type="dxa" w:w="1100"/>
            <w:shd w:fill="FFF4D6"/>
            <w:tcMar>
              <w:top w:w="80" w:type="dxa"/>
              <w:start w:w="120" w:type="dxa"/>
              <w:bottom w:w="80" w:type="dxa"/>
              <w:end w:w="120" w:type="dxa"/>
            </w:tcMar>
            <w:vAlign w:val="center"/>
          </w:tcPr>
          <w:p>
            <w:pPr>
              <w:keepLines w:val="0"/>
              <w:spacing w:before="0" w:after="0" w:line="245" w:lineRule="auto"/>
            </w:pPr>
            <w:r>
              <w:rPr>
                <w:rFonts w:ascii="Calibri" w:hAnsi="Calibri"/>
                <w:sz w:val="15"/>
              </w:rPr>
              <w:t>Vendor</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XENSIV Hall-effect and TMR coreless current sensors — Infineon Technologies (product overview)</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No DOI; vendor</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Iwata2024bedsideMCG</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2024</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Bedside Magnetocardiography with a Scalar Sensor Array — Sensors</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10.3390/s24165402</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LEMbatterycurrentVendor</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2024</w:t>
            </w:r>
          </w:p>
        </w:tc>
        <w:tc>
          <w:tcPr>
            <w:tcW w:type="dxa" w:w="1100"/>
            <w:shd w:fill="FFF4D6"/>
            <w:tcMar>
              <w:top w:w="80" w:type="dxa"/>
              <w:start w:w="120" w:type="dxa"/>
              <w:bottom w:w="80" w:type="dxa"/>
              <w:end w:w="120" w:type="dxa"/>
            </w:tcMar>
            <w:vAlign w:val="center"/>
          </w:tcPr>
          <w:p>
            <w:pPr>
              <w:keepLines w:val="0"/>
              <w:spacing w:before="0" w:after="0" w:line="245" w:lineRule="auto"/>
            </w:pPr>
            <w:r>
              <w:rPr>
                <w:rFonts w:ascii="Calibri" w:hAnsi="Calibri"/>
                <w:sz w:val="15"/>
              </w:rPr>
              <w:t>Vendor</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Battery current sensors for EV energy management (Hall and fluxgate) — LEM (application/product literature)</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No DOI; vendor</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MRFRautomotivemarket</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2024</w:t>
            </w:r>
          </w:p>
        </w:tc>
        <w:tc>
          <w:tcPr>
            <w:tcW w:type="dxa" w:w="1100"/>
            <w:shd w:fill="FFF4D6"/>
            <w:tcMar>
              <w:top w:w="80" w:type="dxa"/>
              <w:start w:w="120" w:type="dxa"/>
              <w:bottom w:w="80" w:type="dxa"/>
              <w:end w:w="120" w:type="dxa"/>
            </w:tcMar>
            <w:vAlign w:val="center"/>
          </w:tcPr>
          <w:p>
            <w:pPr>
              <w:keepLines w:val="0"/>
              <w:spacing w:before="0" w:after="0" w:line="245" w:lineRule="auto"/>
            </w:pPr>
            <w:r>
              <w:rPr>
                <w:rFonts w:ascii="Calibri" w:hAnsi="Calibri"/>
                <w:sz w:val="15"/>
              </w:rPr>
              <w:t>Market</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Automotive Magnetic Sensor Market Size, Growth Report — Market Research Future (market analysis)</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No DOI; market</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STeCompassVendor</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2024</w:t>
            </w:r>
          </w:p>
        </w:tc>
        <w:tc>
          <w:tcPr>
            <w:tcW w:type="dxa" w:w="1100"/>
            <w:shd w:fill="FFF4D6"/>
            <w:tcMar>
              <w:top w:w="80" w:type="dxa"/>
              <w:start w:w="120" w:type="dxa"/>
              <w:bottom w:w="80" w:type="dxa"/>
              <w:end w:w="120" w:type="dxa"/>
            </w:tcMar>
            <w:vAlign w:val="center"/>
          </w:tcPr>
          <w:p>
            <w:pPr>
              <w:keepLines w:val="0"/>
              <w:spacing w:before="0" w:after="0" w:line="245" w:lineRule="auto"/>
            </w:pPr>
            <w:r>
              <w:rPr>
                <w:rFonts w:ascii="Calibri" w:hAnsi="Calibri"/>
                <w:sz w:val="15"/>
              </w:rPr>
              <w:t>Vendor</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e-Compass 3-axis magnetometer modules for heading/navigation — STMicroelectronics (product overview)</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No DOI; vendor</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Wang2024magbiosensorPOCT</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2024</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Advancements in magnetic nanoparticle-based biosensors for point-of-care testing — Frontiers in Bioengineering and Biotechnology</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10.3389/fbioe.2024.1393789</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He2025EMtracking</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2025</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Electromagnetic Tracking System for Medical Micro Devices: A Review — Micromachines</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10.3390/mi16101175</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Xu2025TMRsmartgrid</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2025</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High-Precision Tunneling Magnetoresistance (TMR) Current Sensor for Weak Current Measurement in Smart Grid Applications — Micromachines</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10.3390/mi16020136</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MDTencoderVendor</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2026</w:t>
            </w:r>
          </w:p>
        </w:tc>
        <w:tc>
          <w:tcPr>
            <w:tcW w:type="dxa" w:w="1100"/>
            <w:shd w:fill="FFF4D6"/>
            <w:tcMar>
              <w:top w:w="80" w:type="dxa"/>
              <w:start w:w="120" w:type="dxa"/>
              <w:bottom w:w="80" w:type="dxa"/>
              <w:end w:w="120" w:type="dxa"/>
            </w:tcMar>
            <w:vAlign w:val="center"/>
          </w:tcPr>
          <w:p>
            <w:pPr>
              <w:keepLines w:val="0"/>
              <w:spacing w:before="0" w:after="0" w:line="245" w:lineRule="auto"/>
            </w:pPr>
            <w:r>
              <w:rPr>
                <w:rFonts w:ascii="Calibri" w:hAnsi="Calibri"/>
                <w:sz w:val="15"/>
              </w:rPr>
              <w:t>Vendor</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TMR3111D TMR magnetic rotary encoder IC — MDT / PR Newswire (product)</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No DOI; vendor</w:t>
            </w:r>
          </w:p>
        </w:tc>
      </w:tr>
    </w:tbl>
    <w:p>
      <w:pPr>
        <w:keepLines w:val="0"/>
        <w:spacing w:before="0" w:after="80" w:line="300" w:lineRule="auto"/>
      </w:pPr>
    </w:p>
    <w:p>
      <w:pPr>
        <w:pStyle w:val="Heading2"/>
      </w:pPr>
      <w:r>
        <w:t>Applications plus business/standards</w:t>
      </w:r>
    </w:p>
    <w:tbl>
      <w:tblPr>
        <w:tblW w:type="dxa" w:w="9360"/>
        <w:jc w:val="left"/>
        <w:tblLayout w:type="fixed"/>
        <w:tblLook w:firstColumn="1" w:firstRow="1" w:lastColumn="0" w:lastRow="0" w:noHBand="0" w:noVBand="1" w:val="04A0"/>
        <w:tblInd w:w="120" w:type="dxa"/>
      </w:tblPr>
      <w:tblGrid>
        <w:gridCol w:w="1600"/>
        <w:gridCol w:w="600"/>
        <w:gridCol w:w="1100"/>
        <w:gridCol w:w="4060"/>
        <w:gridCol w:w="2000"/>
      </w:tblGrid>
      <w:tr>
        <w:trPr>
          <w:tblHeader w:val="true"/>
        </w:trPr>
        <w:tc>
          <w:tcPr>
            <w:tcW w:type="dxa" w:w="1600"/>
            <w:shd w:fill="2E74B5"/>
            <w:tcMar>
              <w:top w:w="80" w:type="dxa"/>
              <w:start w:w="120" w:type="dxa"/>
              <w:bottom w:w="80" w:type="dxa"/>
              <w:end w:w="120" w:type="dxa"/>
            </w:tcMar>
            <w:vAlign w:val="center"/>
          </w:tcPr>
          <w:p>
            <w:r>
              <w:rPr>
                <w:rFonts w:ascii="Calibri" w:hAnsi="Calibri"/>
                <w:b/>
                <w:color w:val="FFFFFF"/>
                <w:sz w:val="16"/>
              </w:rPr>
              <w:t>Key</w:t>
            </w:r>
          </w:p>
        </w:tc>
        <w:tc>
          <w:tcPr>
            <w:tcW w:type="dxa" w:w="600"/>
            <w:shd w:fill="2E74B5"/>
            <w:tcMar>
              <w:top w:w="80" w:type="dxa"/>
              <w:start w:w="120" w:type="dxa"/>
              <w:bottom w:w="80" w:type="dxa"/>
              <w:end w:w="120" w:type="dxa"/>
            </w:tcMar>
            <w:vAlign w:val="center"/>
          </w:tcPr>
          <w:p>
            <w:r>
              <w:rPr>
                <w:rFonts w:ascii="Calibri" w:hAnsi="Calibri"/>
                <w:b/>
                <w:color w:val="FFFFFF"/>
                <w:sz w:val="16"/>
              </w:rPr>
              <w:t>Year</w:t>
            </w:r>
          </w:p>
        </w:tc>
        <w:tc>
          <w:tcPr>
            <w:tcW w:type="dxa" w:w="1100"/>
            <w:shd w:fill="2E74B5"/>
            <w:tcMar>
              <w:top w:w="80" w:type="dxa"/>
              <w:start w:w="120" w:type="dxa"/>
              <w:bottom w:w="80" w:type="dxa"/>
              <w:end w:w="120" w:type="dxa"/>
            </w:tcMar>
            <w:vAlign w:val="center"/>
          </w:tcPr>
          <w:p>
            <w:r>
              <w:rPr>
                <w:rFonts w:ascii="Calibri" w:hAnsi="Calibri"/>
                <w:b/>
                <w:color w:val="FFFFFF"/>
                <w:sz w:val="16"/>
              </w:rPr>
              <w:t>Type</w:t>
            </w:r>
          </w:p>
        </w:tc>
        <w:tc>
          <w:tcPr>
            <w:tcW w:type="dxa" w:w="4060"/>
            <w:shd w:fill="2E74B5"/>
            <w:tcMar>
              <w:top w:w="80" w:type="dxa"/>
              <w:start w:w="120" w:type="dxa"/>
              <w:bottom w:w="80" w:type="dxa"/>
              <w:end w:w="120" w:type="dxa"/>
            </w:tcMar>
            <w:vAlign w:val="center"/>
          </w:tcPr>
          <w:p>
            <w:r>
              <w:rPr>
                <w:rFonts w:ascii="Calibri" w:hAnsi="Calibri"/>
                <w:b/>
                <w:color w:val="FFFFFF"/>
                <w:sz w:val="16"/>
              </w:rPr>
              <w:t>Title / venue</w:t>
            </w:r>
          </w:p>
        </w:tc>
        <w:tc>
          <w:tcPr>
            <w:tcW w:type="dxa" w:w="2000"/>
            <w:shd w:fill="2E74B5"/>
            <w:tcMar>
              <w:top w:w="80" w:type="dxa"/>
              <w:start w:w="120" w:type="dxa"/>
              <w:bottom w:w="80" w:type="dxa"/>
              <w:end w:w="120" w:type="dxa"/>
            </w:tcMar>
            <w:vAlign w:val="center"/>
          </w:tcPr>
          <w:p>
            <w:r>
              <w:rPr>
                <w:rFonts w:ascii="Calibri" w:hAnsi="Calibri"/>
                <w:b/>
                <w:color w:val="FFFFFF"/>
                <w:sz w:val="16"/>
              </w:rPr>
              <w:t>DOI or evidence note</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GrandView2025magmarket</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2025</w:t>
            </w:r>
          </w:p>
        </w:tc>
        <w:tc>
          <w:tcPr>
            <w:tcW w:type="dxa" w:w="1100"/>
            <w:shd w:fill="FFF4D6"/>
            <w:tcMar>
              <w:top w:w="80" w:type="dxa"/>
              <w:start w:w="120" w:type="dxa"/>
              <w:bottom w:w="80" w:type="dxa"/>
              <w:end w:w="120" w:type="dxa"/>
            </w:tcMar>
            <w:vAlign w:val="center"/>
          </w:tcPr>
          <w:p>
            <w:pPr>
              <w:keepLines w:val="0"/>
              <w:spacing w:before="0" w:after="0" w:line="245" w:lineRule="auto"/>
            </w:pPr>
            <w:r>
              <w:rPr>
                <w:rFonts w:ascii="Calibri" w:hAnsi="Calibri"/>
                <w:sz w:val="15"/>
              </w:rPr>
              <w:t>Market</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Magnetic Sensor Market Size &amp; Share Report, 2030 — Grand View Research (market report)</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No DOI; market</w:t>
            </w:r>
          </w:p>
        </w:tc>
      </w:tr>
    </w:tbl>
    <w:p>
      <w:pPr>
        <w:keepLines w:val="0"/>
        <w:spacing w:before="0" w:after="80" w:line="300" w:lineRule="auto"/>
      </w:pPr>
    </w:p>
    <w:p>
      <w:pPr>
        <w:pStyle w:val="Heading2"/>
      </w:pPr>
      <w:r>
        <w:t>Future methods, fusion, and digital twins</w:t>
      </w:r>
    </w:p>
    <w:tbl>
      <w:tblPr>
        <w:tblW w:type="dxa" w:w="9360"/>
        <w:jc w:val="left"/>
        <w:tblLayout w:type="fixed"/>
        <w:tblLook w:firstColumn="1" w:firstRow="1" w:lastColumn="0" w:lastRow="0" w:noHBand="0" w:noVBand="1" w:val="04A0"/>
        <w:tblInd w:w="120" w:type="dxa"/>
      </w:tblPr>
      <w:tblGrid>
        <w:gridCol w:w="1600"/>
        <w:gridCol w:w="600"/>
        <w:gridCol w:w="1100"/>
        <w:gridCol w:w="4060"/>
        <w:gridCol w:w="2000"/>
      </w:tblGrid>
      <w:tr>
        <w:trPr>
          <w:tblHeader w:val="true"/>
        </w:trPr>
        <w:tc>
          <w:tcPr>
            <w:tcW w:type="dxa" w:w="1600"/>
            <w:shd w:fill="2E74B5"/>
            <w:tcMar>
              <w:top w:w="80" w:type="dxa"/>
              <w:start w:w="120" w:type="dxa"/>
              <w:bottom w:w="80" w:type="dxa"/>
              <w:end w:w="120" w:type="dxa"/>
            </w:tcMar>
            <w:vAlign w:val="center"/>
          </w:tcPr>
          <w:p>
            <w:r>
              <w:rPr>
                <w:rFonts w:ascii="Calibri" w:hAnsi="Calibri"/>
                <w:b/>
                <w:color w:val="FFFFFF"/>
                <w:sz w:val="16"/>
              </w:rPr>
              <w:t>Key</w:t>
            </w:r>
          </w:p>
        </w:tc>
        <w:tc>
          <w:tcPr>
            <w:tcW w:type="dxa" w:w="600"/>
            <w:shd w:fill="2E74B5"/>
            <w:tcMar>
              <w:top w:w="80" w:type="dxa"/>
              <w:start w:w="120" w:type="dxa"/>
              <w:bottom w:w="80" w:type="dxa"/>
              <w:end w:w="120" w:type="dxa"/>
            </w:tcMar>
            <w:vAlign w:val="center"/>
          </w:tcPr>
          <w:p>
            <w:r>
              <w:rPr>
                <w:rFonts w:ascii="Calibri" w:hAnsi="Calibri"/>
                <w:b/>
                <w:color w:val="FFFFFF"/>
                <w:sz w:val="16"/>
              </w:rPr>
              <w:t>Year</w:t>
            </w:r>
          </w:p>
        </w:tc>
        <w:tc>
          <w:tcPr>
            <w:tcW w:type="dxa" w:w="1100"/>
            <w:shd w:fill="2E74B5"/>
            <w:tcMar>
              <w:top w:w="80" w:type="dxa"/>
              <w:start w:w="120" w:type="dxa"/>
              <w:bottom w:w="80" w:type="dxa"/>
              <w:end w:w="120" w:type="dxa"/>
            </w:tcMar>
            <w:vAlign w:val="center"/>
          </w:tcPr>
          <w:p>
            <w:r>
              <w:rPr>
                <w:rFonts w:ascii="Calibri" w:hAnsi="Calibri"/>
                <w:b/>
                <w:color w:val="FFFFFF"/>
                <w:sz w:val="16"/>
              </w:rPr>
              <w:t>Type</w:t>
            </w:r>
          </w:p>
        </w:tc>
        <w:tc>
          <w:tcPr>
            <w:tcW w:type="dxa" w:w="4060"/>
            <w:shd w:fill="2E74B5"/>
            <w:tcMar>
              <w:top w:w="80" w:type="dxa"/>
              <w:start w:w="120" w:type="dxa"/>
              <w:bottom w:w="80" w:type="dxa"/>
              <w:end w:w="120" w:type="dxa"/>
            </w:tcMar>
            <w:vAlign w:val="center"/>
          </w:tcPr>
          <w:p>
            <w:r>
              <w:rPr>
                <w:rFonts w:ascii="Calibri" w:hAnsi="Calibri"/>
                <w:b/>
                <w:color w:val="FFFFFF"/>
                <w:sz w:val="16"/>
              </w:rPr>
              <w:t>Title / venue</w:t>
            </w:r>
          </w:p>
        </w:tc>
        <w:tc>
          <w:tcPr>
            <w:tcW w:type="dxa" w:w="2000"/>
            <w:shd w:fill="2E74B5"/>
            <w:tcMar>
              <w:top w:w="80" w:type="dxa"/>
              <w:start w:w="120" w:type="dxa"/>
              <w:bottom w:w="80" w:type="dxa"/>
              <w:end w:w="120" w:type="dxa"/>
            </w:tcMar>
            <w:vAlign w:val="center"/>
          </w:tcPr>
          <w:p>
            <w:r>
              <w:rPr>
                <w:rFonts w:ascii="Calibri" w:hAnsi="Calibri"/>
                <w:b/>
                <w:color w:val="FFFFFF"/>
                <w:sz w:val="16"/>
              </w:rPr>
              <w:t>DOI or evidence note</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Hamalainen1993meg</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1993</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Magnetoencephalography-theory, instrumentation, and applications to noninvasive studies of the working human brain — Reviews of Modern Physics</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10.1103/RevModPhys.65.413</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Taulu2006tsss</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2006</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Spatiotemporal signal space separation method for rejecting nearby interference in MEG measurements — Physics in Medicine and Biology</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10.1088/0031-9155/51/7/008</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Kadlec2009softsensor</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2009</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Data-driven Soft Sensors in the process industry — Computers &amp; Chemical Engineering</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10.1016/j.compchemeng.2008.12.012</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Glaessgen2012dtparadigm</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2012</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Conference</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The Digital Twin Paradigm for Future NASA and U.S. Air Force Vehicles — 53rd AIAA/ASME/ASCE/AHS/ASC Structures, Structural Dynamics and Materials Conference</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10.2514/6.2012-1818</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Kok2016magcal</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2016</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Magnetometer Calibration Using Inertial Sensors — IEEE Sensors Journal</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10.1109/JSEN.2016.2569160</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Holmes2018biplanarnulling</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2018</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A bi-planar coil system for nulling background magnetic fields in scalp mounted magnetoencephalography — NeuroImage</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10.1016/j.neuroimage.2018.07.028</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KokSolin2018magslam</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2018</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Conference</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Scalable Magnetic Field SLAM in 3D Using Gaussian Process Maps — 21st International Conference on Information Fusion (FUSION)</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10.23919/ICIF.2018.8455789</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Santagati2019fieldlearning</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2019</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Magnetic-Field Learning Using a Single Electronic Spin in Diamond with One-Photon Readout at Room Temperature — Physical Review X</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10.1103/PhysRevX.9.021019</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Tao2019dtindustry</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2019</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Digital Twin in Industry: State-of-the-Art — IEEE Transactions on Industrial Informatics</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10.1109/TII.2018.2873186</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Rasheed2020dtenablers</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2020</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Digital Twin: Values, Challenges and Enablers From a Modeling Perspective — IEEE Access</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10.1109/ACCESS.2020.2970143</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Wright2020modeltwin</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2020</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How to tell the difference between a model and a digital twin — Advanced Modeling and Simulation in Engineering Sciences</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10.1186/s40323-020-00147-4</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Falekas2021dtmachines</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2021</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Digital Twin in Electrical Machine Control and Predictive Maintenance: State-of-the-Art and Future Prospects — Energies</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10.3390/en14185933</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Karniadakis2021piml</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2021</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Physics-informed machine learning — Nature Reviews Physics</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10.1038/s42254-021-00314-5</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Gnadt2022magnavcal</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2022</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Conference</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Machine Learning-Enhanced Magnetic Calibration for Airborne Magnetic Anomaly Navigation — AIAA SciTech 2022 Forum</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10.2514/6.2022-1760</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Sakib2022mcgedgeDL</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2022</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Deep Learning Models for Magnetic Cardiography Edge Sensors Implementing Noise Processing and Diagnostics — IEEE Access</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10.1109/ACCESS.2021.3138976</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Viset2022ekfmagslam</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2022</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An Extended Kalman Filter for Magnetic Field SLAM Using Gaussian Process Regression — Sensors</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10.3390/s22082833</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Homrighausen2023edgeNV</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2023</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Edge-Machine-Learning-Assisted Robust Magnetometer Based on Randomly Oriented NV-Ensembles in Diamond — Sensors</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10.3390/s23031119</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PGTLNet2024preprint</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2024</w:t>
            </w:r>
          </w:p>
        </w:tc>
        <w:tc>
          <w:tcPr>
            <w:tcW w:type="dxa" w:w="1100"/>
            <w:shd w:fill="FFF4D6"/>
            <w:tcMar>
              <w:top w:w="80" w:type="dxa"/>
              <w:start w:w="120" w:type="dxa"/>
              <w:bottom w:w="80" w:type="dxa"/>
              <w:end w:w="120" w:type="dxa"/>
            </w:tcMar>
            <w:vAlign w:val="center"/>
          </w:tcPr>
          <w:p>
            <w:pPr>
              <w:keepLines w:val="0"/>
              <w:spacing w:before="0" w:after="0" w:line="245" w:lineRule="auto"/>
            </w:pPr>
            <w:r>
              <w:rPr>
                <w:rFonts w:ascii="Calibri" w:hAnsi="Calibri"/>
                <w:sz w:val="15"/>
              </w:rPr>
              <w:t>Preprint</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Physics-Informed Calibration of Aeromagnetic Compensation in Magnetic Navigation Systems using Liquid Time-Constant Networks — arXiv</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No DOI; preprint</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Zhang2024dnnNVreadout</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2024</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Deep-neural-network-based magnetic-field acquisition method for quantum sensing with nitrogen-vacancy centers — Physical Review A</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10.1103/PhysRevA.110.052417</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EnergiesDT2025faultdiag</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2025</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Real-Time Digital Twins for Intelligent Fault Diagnosis and Condition-Based Monitoring of Electrical Machines — Energies</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10.3390/en18174637</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Louzada2025strayfluxML</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2025</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Detection of Stator Faults in Three-Phase Induction Motors Using Stray Flux and Machine Learning — Energies</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10.3390/en18061516</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Jauch2026mlquantmag</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2026</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Quantum magnetometry enhanced by machine learning — Quantum Science and Technology</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10.1088/2058-9565/ae3acf</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SLCAMma2026preprint</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2026</w:t>
            </w:r>
          </w:p>
        </w:tc>
        <w:tc>
          <w:tcPr>
            <w:tcW w:type="dxa" w:w="1100"/>
            <w:shd w:fill="FFF4D6"/>
            <w:tcMar>
              <w:top w:w="80" w:type="dxa"/>
              <w:start w:w="120" w:type="dxa"/>
              <w:bottom w:w="80" w:type="dxa"/>
              <w:end w:w="120" w:type="dxa"/>
            </w:tcMar>
            <w:vAlign w:val="center"/>
          </w:tcPr>
          <w:p>
            <w:pPr>
              <w:keepLines w:val="0"/>
              <w:spacing w:before="0" w:after="0" w:line="245" w:lineRule="auto"/>
            </w:pPr>
            <w:r>
              <w:rPr>
                <w:rFonts w:ascii="Calibri" w:hAnsi="Calibri"/>
                <w:sz w:val="15"/>
              </w:rPr>
              <w:t>Preprint</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SL(C)AMma: Simultaneous Localisation, (Calibration) and Mapping With a Magnetometer Array — arXiv</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No DOI; preprint</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Shetty2026AMRcalibNN</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2026</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Physics-Based Calibration with Neural Network Residual Correction and Uncertainty Quantification for Temperature-Aware AMR Magnetometers — Metrology</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10.3390/metrology6030045</w:t>
            </w:r>
          </w:p>
        </w:tc>
      </w:tr>
    </w:tbl>
    <w:p>
      <w:pPr>
        <w:keepLines w:val="0"/>
        <w:spacing w:before="0" w:after="80" w:line="300" w:lineRule="auto"/>
      </w:pPr>
    </w:p>
    <w:p>
      <w:pPr>
        <w:pStyle w:val="Heading2"/>
      </w:pPr>
      <w:r>
        <w:t>Standards, metrology, markets, and business</w:t>
      </w:r>
    </w:p>
    <w:tbl>
      <w:tblPr>
        <w:tblW w:type="dxa" w:w="9360"/>
        <w:jc w:val="left"/>
        <w:tblLayout w:type="fixed"/>
        <w:tblLook w:firstColumn="1" w:firstRow="1" w:lastColumn="0" w:lastRow="0" w:noHBand="0" w:noVBand="1" w:val="04A0"/>
        <w:tblInd w:w="120" w:type="dxa"/>
      </w:tblPr>
      <w:tblGrid>
        <w:gridCol w:w="1600"/>
        <w:gridCol w:w="600"/>
        <w:gridCol w:w="1100"/>
        <w:gridCol w:w="4060"/>
        <w:gridCol w:w="2000"/>
      </w:tblGrid>
      <w:tr>
        <w:trPr>
          <w:tblHeader w:val="true"/>
        </w:trPr>
        <w:tc>
          <w:tcPr>
            <w:tcW w:type="dxa" w:w="1600"/>
            <w:shd w:fill="2E74B5"/>
            <w:tcMar>
              <w:top w:w="80" w:type="dxa"/>
              <w:start w:w="120" w:type="dxa"/>
              <w:bottom w:w="80" w:type="dxa"/>
              <w:end w:w="120" w:type="dxa"/>
            </w:tcMar>
            <w:vAlign w:val="center"/>
          </w:tcPr>
          <w:p>
            <w:r>
              <w:rPr>
                <w:rFonts w:ascii="Calibri" w:hAnsi="Calibri"/>
                <w:b/>
                <w:color w:val="FFFFFF"/>
                <w:sz w:val="16"/>
              </w:rPr>
              <w:t>Key</w:t>
            </w:r>
          </w:p>
        </w:tc>
        <w:tc>
          <w:tcPr>
            <w:tcW w:type="dxa" w:w="600"/>
            <w:shd w:fill="2E74B5"/>
            <w:tcMar>
              <w:top w:w="80" w:type="dxa"/>
              <w:start w:w="120" w:type="dxa"/>
              <w:bottom w:w="80" w:type="dxa"/>
              <w:end w:w="120" w:type="dxa"/>
            </w:tcMar>
            <w:vAlign w:val="center"/>
          </w:tcPr>
          <w:p>
            <w:r>
              <w:rPr>
                <w:rFonts w:ascii="Calibri" w:hAnsi="Calibri"/>
                <w:b/>
                <w:color w:val="FFFFFF"/>
                <w:sz w:val="16"/>
              </w:rPr>
              <w:t>Year</w:t>
            </w:r>
          </w:p>
        </w:tc>
        <w:tc>
          <w:tcPr>
            <w:tcW w:type="dxa" w:w="1100"/>
            <w:shd w:fill="2E74B5"/>
            <w:tcMar>
              <w:top w:w="80" w:type="dxa"/>
              <w:start w:w="120" w:type="dxa"/>
              <w:bottom w:w="80" w:type="dxa"/>
              <w:end w:w="120" w:type="dxa"/>
            </w:tcMar>
            <w:vAlign w:val="center"/>
          </w:tcPr>
          <w:p>
            <w:r>
              <w:rPr>
                <w:rFonts w:ascii="Calibri" w:hAnsi="Calibri"/>
                <w:b/>
                <w:color w:val="FFFFFF"/>
                <w:sz w:val="16"/>
              </w:rPr>
              <w:t>Type</w:t>
            </w:r>
          </w:p>
        </w:tc>
        <w:tc>
          <w:tcPr>
            <w:tcW w:type="dxa" w:w="4060"/>
            <w:shd w:fill="2E74B5"/>
            <w:tcMar>
              <w:top w:w="80" w:type="dxa"/>
              <w:start w:w="120" w:type="dxa"/>
              <w:bottom w:w="80" w:type="dxa"/>
              <w:end w:w="120" w:type="dxa"/>
            </w:tcMar>
            <w:vAlign w:val="center"/>
          </w:tcPr>
          <w:p>
            <w:r>
              <w:rPr>
                <w:rFonts w:ascii="Calibri" w:hAnsi="Calibri"/>
                <w:b/>
                <w:color w:val="FFFFFF"/>
                <w:sz w:val="16"/>
              </w:rPr>
              <w:t>Title / venue</w:t>
            </w:r>
          </w:p>
        </w:tc>
        <w:tc>
          <w:tcPr>
            <w:tcW w:type="dxa" w:w="2000"/>
            <w:shd w:fill="2E74B5"/>
            <w:tcMar>
              <w:top w:w="80" w:type="dxa"/>
              <w:start w:w="120" w:type="dxa"/>
              <w:bottom w:w="80" w:type="dxa"/>
              <w:end w:w="120" w:type="dxa"/>
            </w:tcMar>
            <w:vAlign w:val="center"/>
          </w:tcPr>
          <w:p>
            <w:r>
              <w:rPr>
                <w:rFonts w:ascii="Calibri" w:hAnsi="Calibri"/>
                <w:b/>
                <w:color w:val="FFFFFF"/>
                <w:sz w:val="16"/>
              </w:rPr>
              <w:t>DOI or evidence note</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IEC60601</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2005</w:t>
            </w:r>
          </w:p>
        </w:tc>
        <w:tc>
          <w:tcPr>
            <w:tcW w:type="dxa" w:w="1100"/>
            <w:shd w:fill="E8EEF5"/>
            <w:tcMar>
              <w:top w:w="80" w:type="dxa"/>
              <w:start w:w="120" w:type="dxa"/>
              <w:bottom w:w="80" w:type="dxa"/>
              <w:end w:w="120" w:type="dxa"/>
            </w:tcMar>
            <w:vAlign w:val="center"/>
          </w:tcPr>
          <w:p>
            <w:pPr>
              <w:keepLines w:val="0"/>
              <w:spacing w:before="0" w:after="0" w:line="245" w:lineRule="auto"/>
            </w:pPr>
            <w:r>
              <w:rPr>
                <w:rFonts w:ascii="Calibri" w:hAnsi="Calibri"/>
                <w:sz w:val="15"/>
              </w:rPr>
              <w:t>Standard</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IEC 60601-1: Medical electrical equipment - Part 1: General requirements for basic safety and essential performance — IEC</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No DOI; standard</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IEC61508</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2010</w:t>
            </w:r>
          </w:p>
        </w:tc>
        <w:tc>
          <w:tcPr>
            <w:tcW w:type="dxa" w:w="1100"/>
            <w:shd w:fill="E8EEF5"/>
            <w:tcMar>
              <w:top w:w="80" w:type="dxa"/>
              <w:start w:w="120" w:type="dxa"/>
              <w:bottom w:w="80" w:type="dxa"/>
              <w:end w:w="120" w:type="dxa"/>
            </w:tcMar>
            <w:vAlign w:val="center"/>
          </w:tcPr>
          <w:p>
            <w:pPr>
              <w:keepLines w:val="0"/>
              <w:spacing w:before="0" w:after="0" w:line="245" w:lineRule="auto"/>
            </w:pPr>
            <w:r>
              <w:rPr>
                <w:rFonts w:ascii="Calibri" w:hAnsi="Calibri"/>
                <w:sz w:val="15"/>
              </w:rPr>
              <w:t>Standard</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IEC 61508: Functional safety of electrical/electronic/programmable electronic safety-related systems — IEC</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No DOI; standard</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TDK2016micronas</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2015</w:t>
            </w:r>
          </w:p>
        </w:tc>
        <w:tc>
          <w:tcPr>
            <w:tcW w:type="dxa" w:w="1100"/>
            <w:shd w:fill="FFF4D6"/>
            <w:tcMar>
              <w:top w:w="80" w:type="dxa"/>
              <w:start w:w="120" w:type="dxa"/>
              <w:bottom w:w="80" w:type="dxa"/>
              <w:end w:w="120" w:type="dxa"/>
            </w:tcMar>
            <w:vAlign w:val="center"/>
          </w:tcPr>
          <w:p>
            <w:pPr>
              <w:keepLines w:val="0"/>
              <w:spacing w:before="0" w:after="0" w:line="245" w:lineRule="auto"/>
            </w:pPr>
            <w:r>
              <w:rPr>
                <w:rFonts w:ascii="Calibri" w:hAnsi="Calibri"/>
                <w:sz w:val="15"/>
              </w:rPr>
              <w:t>Vendor</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TDK to Acquire Micronas to Further Grow the Magnetic Sensor Business — TDK/Micronas press release</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No DOI; vendor</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ISO13485</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2016</w:t>
            </w:r>
          </w:p>
        </w:tc>
        <w:tc>
          <w:tcPr>
            <w:tcW w:type="dxa" w:w="1100"/>
            <w:shd w:fill="E8EEF5"/>
            <w:tcMar>
              <w:top w:w="80" w:type="dxa"/>
              <w:start w:w="120" w:type="dxa"/>
              <w:bottom w:w="80" w:type="dxa"/>
              <w:end w:w="120" w:type="dxa"/>
            </w:tcMar>
            <w:vAlign w:val="center"/>
          </w:tcPr>
          <w:p>
            <w:pPr>
              <w:keepLines w:val="0"/>
              <w:spacing w:before="0" w:after="0" w:line="245" w:lineRule="auto"/>
            </w:pPr>
            <w:r>
              <w:rPr>
                <w:rFonts w:ascii="Calibri" w:hAnsi="Calibri"/>
                <w:sz w:val="15"/>
              </w:rPr>
              <w:t>Standard</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ISO 13485: Medical devices - Quality management systems - Requirements for regulatory purposes — ISO</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No DOI; standard</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IEC62443</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2018</w:t>
            </w:r>
          </w:p>
        </w:tc>
        <w:tc>
          <w:tcPr>
            <w:tcW w:type="dxa" w:w="1100"/>
            <w:shd w:fill="E8EEF5"/>
            <w:tcMar>
              <w:top w:w="80" w:type="dxa"/>
              <w:start w:w="120" w:type="dxa"/>
              <w:bottom w:w="80" w:type="dxa"/>
              <w:end w:w="120" w:type="dxa"/>
            </w:tcMar>
            <w:vAlign w:val="center"/>
          </w:tcPr>
          <w:p>
            <w:pPr>
              <w:keepLines w:val="0"/>
              <w:spacing w:before="0" w:after="0" w:line="245" w:lineRule="auto"/>
            </w:pPr>
            <w:r>
              <w:rPr>
                <w:rFonts w:ascii="Calibri" w:hAnsi="Calibri"/>
                <w:sz w:val="15"/>
              </w:rPr>
              <w:t>Standard</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IEC 62443: Security for industrial automation and control systems — IEC/ISA</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No DOI; standard</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ISO26262</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2018</w:t>
            </w:r>
          </w:p>
        </w:tc>
        <w:tc>
          <w:tcPr>
            <w:tcW w:type="dxa" w:w="1100"/>
            <w:shd w:fill="E8EEF5"/>
            <w:tcMar>
              <w:top w:w="80" w:type="dxa"/>
              <w:start w:w="120" w:type="dxa"/>
              <w:bottom w:w="80" w:type="dxa"/>
              <w:end w:w="120" w:type="dxa"/>
            </w:tcMar>
            <w:vAlign w:val="center"/>
          </w:tcPr>
          <w:p>
            <w:pPr>
              <w:keepLines w:val="0"/>
              <w:spacing w:before="0" w:after="0" w:line="245" w:lineRule="auto"/>
            </w:pPr>
            <w:r>
              <w:rPr>
                <w:rFonts w:ascii="Calibri" w:hAnsi="Calibri"/>
                <w:sz w:val="15"/>
              </w:rPr>
              <w:t>Standard</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ISO 26262: Road vehicles - Functional safety — ISO</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No DOI; standard</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Salay2018ISO26262ML</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2018</w:t>
            </w:r>
          </w:p>
        </w:tc>
        <w:tc>
          <w:tcPr>
            <w:tcW w:type="dxa" w:w="1100"/>
            <w:shd w:fill="FFF4D6"/>
            <w:tcMar>
              <w:top w:w="80" w:type="dxa"/>
              <w:start w:w="120" w:type="dxa"/>
              <w:bottom w:w="80" w:type="dxa"/>
              <w:end w:w="120" w:type="dxa"/>
            </w:tcMar>
            <w:vAlign w:val="center"/>
          </w:tcPr>
          <w:p>
            <w:pPr>
              <w:keepLines w:val="0"/>
              <w:spacing w:before="0" w:after="0" w:line="245" w:lineRule="auto"/>
            </w:pPr>
            <w:r>
              <w:rPr>
                <w:rFonts w:ascii="Calibri" w:hAnsi="Calibri"/>
                <w:sz w:val="15"/>
              </w:rPr>
              <w:t>Preprint</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An Analysis of ISO 26262: Using Machine Learning Safely in Automotive Software — arXiv</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No DOI; preprint</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ISO14971</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2019</w:t>
            </w:r>
          </w:p>
        </w:tc>
        <w:tc>
          <w:tcPr>
            <w:tcW w:type="dxa" w:w="1100"/>
            <w:shd w:fill="E8EEF5"/>
            <w:tcMar>
              <w:top w:w="80" w:type="dxa"/>
              <w:start w:w="120" w:type="dxa"/>
              <w:bottom w:w="80" w:type="dxa"/>
              <w:end w:w="120" w:type="dxa"/>
            </w:tcMar>
            <w:vAlign w:val="center"/>
          </w:tcPr>
          <w:p>
            <w:pPr>
              <w:keepLines w:val="0"/>
              <w:spacing w:before="0" w:after="0" w:line="245" w:lineRule="auto"/>
            </w:pPr>
            <w:r>
              <w:rPr>
                <w:rFonts w:ascii="Calibri" w:hAnsi="Calibri"/>
                <w:sz w:val="15"/>
              </w:rPr>
              <w:t>Standard</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ISO 14971: Medical devices - Application of risk management to medical devices — ISO</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No DOI; standard</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PTBmetrology</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2020</w:t>
            </w:r>
          </w:p>
        </w:tc>
        <w:tc>
          <w:tcPr>
            <w:tcW w:type="dxa" w:w="1100"/>
            <w:shd w:fill="E8EEF5"/>
            <w:tcMar>
              <w:top w:w="80" w:type="dxa"/>
              <w:start w:w="120" w:type="dxa"/>
              <w:bottom w:w="80" w:type="dxa"/>
              <w:end w:w="120" w:type="dxa"/>
            </w:tcMar>
            <w:vAlign w:val="center"/>
          </w:tcPr>
          <w:p>
            <w:pPr>
              <w:keepLines w:val="0"/>
              <w:spacing w:before="0" w:after="0" w:line="245" w:lineRule="auto"/>
            </w:pPr>
            <w:r>
              <w:rPr>
                <w:rFonts w:ascii="Calibri" w:hAnsi="Calibri"/>
                <w:sz w:val="15"/>
              </w:rPr>
              <w:t>Standard</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Metrology of ultra-low magnetic fields; Berlin Magnetically Shielded Room (BMSR-2) — PTB (national metrology institute)</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No DOI; standard</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CISPR25</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2021</w:t>
            </w:r>
          </w:p>
        </w:tc>
        <w:tc>
          <w:tcPr>
            <w:tcW w:type="dxa" w:w="1100"/>
            <w:shd w:fill="E8EEF5"/>
            <w:tcMar>
              <w:top w:w="80" w:type="dxa"/>
              <w:start w:w="120" w:type="dxa"/>
              <w:bottom w:w="80" w:type="dxa"/>
              <w:end w:w="120" w:type="dxa"/>
            </w:tcMar>
            <w:vAlign w:val="center"/>
          </w:tcPr>
          <w:p>
            <w:pPr>
              <w:keepLines w:val="0"/>
              <w:spacing w:before="0" w:after="0" w:line="245" w:lineRule="auto"/>
            </w:pPr>
            <w:r>
              <w:rPr>
                <w:rFonts w:ascii="Calibri" w:hAnsi="Calibri"/>
                <w:sz w:val="15"/>
              </w:rPr>
              <w:t>Standard</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CISPR 25: Vehicles, boats and internal combustion engines - Radio disturbance characteristics - Limits and methods of measurement — IEC/CISPR</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No DOI; standard</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ISO11452</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2021</w:t>
            </w:r>
          </w:p>
        </w:tc>
        <w:tc>
          <w:tcPr>
            <w:tcW w:type="dxa" w:w="1100"/>
            <w:shd w:fill="E8EEF5"/>
            <w:tcMar>
              <w:top w:w="80" w:type="dxa"/>
              <w:start w:w="120" w:type="dxa"/>
              <w:bottom w:w="80" w:type="dxa"/>
              <w:end w:w="120" w:type="dxa"/>
            </w:tcMar>
            <w:vAlign w:val="center"/>
          </w:tcPr>
          <w:p>
            <w:pPr>
              <w:keepLines w:val="0"/>
              <w:spacing w:before="0" w:after="0" w:line="245" w:lineRule="auto"/>
            </w:pPr>
            <w:r>
              <w:rPr>
                <w:rFonts w:ascii="Calibri" w:hAnsi="Calibri"/>
                <w:sz w:val="15"/>
              </w:rPr>
              <w:t>Standard</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ISO 11452: Road vehicles - Component test methods for electrical disturbances from narrowband radiated electromagnetic energy — ISO</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No DOI; standard</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ISOSAE21434</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2021</w:t>
            </w:r>
          </w:p>
        </w:tc>
        <w:tc>
          <w:tcPr>
            <w:tcW w:type="dxa" w:w="1100"/>
            <w:shd w:fill="E8EEF5"/>
            <w:tcMar>
              <w:top w:w="80" w:type="dxa"/>
              <w:start w:w="120" w:type="dxa"/>
              <w:bottom w:w="80" w:type="dxa"/>
              <w:end w:w="120" w:type="dxa"/>
            </w:tcMar>
            <w:vAlign w:val="center"/>
          </w:tcPr>
          <w:p>
            <w:pPr>
              <w:keepLines w:val="0"/>
              <w:spacing w:before="0" w:after="0" w:line="245" w:lineRule="auto"/>
            </w:pPr>
            <w:r>
              <w:rPr>
                <w:rFonts w:ascii="Calibri" w:hAnsi="Calibri"/>
                <w:sz w:val="15"/>
              </w:rPr>
              <w:t>Standard</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ISO/SAE 21434: Road vehicles - Cybersecurity engineering — ISO/SAE</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No DOI; standard</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ISO21448SOTIF</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2022</w:t>
            </w:r>
          </w:p>
        </w:tc>
        <w:tc>
          <w:tcPr>
            <w:tcW w:type="dxa" w:w="1100"/>
            <w:shd w:fill="E8EEF5"/>
            <w:tcMar>
              <w:top w:w="80" w:type="dxa"/>
              <w:start w:w="120" w:type="dxa"/>
              <w:bottom w:w="80" w:type="dxa"/>
              <w:end w:w="120" w:type="dxa"/>
            </w:tcMar>
            <w:vAlign w:val="center"/>
          </w:tcPr>
          <w:p>
            <w:pPr>
              <w:keepLines w:val="0"/>
              <w:spacing w:before="0" w:after="0" w:line="245" w:lineRule="auto"/>
            </w:pPr>
            <w:r>
              <w:rPr>
                <w:rFonts w:ascii="Calibri" w:hAnsi="Calibri"/>
                <w:sz w:val="15"/>
              </w:rPr>
              <w:t>Standard</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ISO 21448: Road vehicles - Safety of the intended functionality (SOTIF) — ISO</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No DOI; standard</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Lenicek2022calibstd</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2022</w:t>
            </w:r>
          </w:p>
        </w:tc>
        <w:tc>
          <w:tcPr>
            <w:tcW w:type="dxa" w:w="1100"/>
            <w:tcMar>
              <w:top w:w="80" w:type="dxa"/>
              <w:start w:w="120" w:type="dxa"/>
              <w:bottom w:w="80" w:type="dxa"/>
              <w:end w:w="120" w:type="dxa"/>
            </w:tcMar>
            <w:vAlign w:val="center"/>
          </w:tcPr>
          <w:p>
            <w:pPr>
              <w:keepLines w:val="0"/>
              <w:spacing w:before="0" w:after="0" w:line="245" w:lineRule="auto"/>
            </w:pPr>
            <w:r>
              <w:rPr>
                <w:rFonts w:ascii="Calibri" w:hAnsi="Calibri"/>
                <w:sz w:val="15"/>
              </w:rPr>
              <w:t>Journal</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A calibration standard for low-frequency environmental magnetic field meters — Measurement</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10.1016/j.measurement.2022.111949</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Allegro2023crocus</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2023</w:t>
            </w:r>
          </w:p>
        </w:tc>
        <w:tc>
          <w:tcPr>
            <w:tcW w:type="dxa" w:w="1100"/>
            <w:shd w:fill="FFF4D6"/>
            <w:tcMar>
              <w:top w:w="80" w:type="dxa"/>
              <w:start w:w="120" w:type="dxa"/>
              <w:bottom w:w="80" w:type="dxa"/>
              <w:end w:w="120" w:type="dxa"/>
            </w:tcMar>
            <w:vAlign w:val="center"/>
          </w:tcPr>
          <w:p>
            <w:pPr>
              <w:keepLines w:val="0"/>
              <w:spacing w:before="0" w:after="0" w:line="245" w:lineRule="auto"/>
            </w:pPr>
            <w:r>
              <w:rPr>
                <w:rFonts w:ascii="Calibri" w:hAnsi="Calibri"/>
                <w:sz w:val="15"/>
              </w:rPr>
              <w:t>Vendor</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Allegro MicroSystems Completes Acquisition of Crocus Technology (TMR sensing) — Allegro MicroSystems press release</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No DOI; vendor</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ISOIECTR5469</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2024</w:t>
            </w:r>
          </w:p>
        </w:tc>
        <w:tc>
          <w:tcPr>
            <w:tcW w:type="dxa" w:w="1100"/>
            <w:shd w:fill="E8EEF5"/>
            <w:tcMar>
              <w:top w:w="80" w:type="dxa"/>
              <w:start w:w="120" w:type="dxa"/>
              <w:bottom w:w="80" w:type="dxa"/>
              <w:end w:w="120" w:type="dxa"/>
            </w:tcMar>
            <w:vAlign w:val="center"/>
          </w:tcPr>
          <w:p>
            <w:pPr>
              <w:keepLines w:val="0"/>
              <w:spacing w:before="0" w:after="0" w:line="245" w:lineRule="auto"/>
            </w:pPr>
            <w:r>
              <w:rPr>
                <w:rFonts w:ascii="Calibri" w:hAnsi="Calibri"/>
                <w:sz w:val="15"/>
              </w:rPr>
              <w:t>Standard</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ISO/IEC TR 5469: Artificial intelligence - Functional safety and AI systems — ISO/IEC</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No DOI; standard</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ISOPAS8800</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2024</w:t>
            </w:r>
          </w:p>
        </w:tc>
        <w:tc>
          <w:tcPr>
            <w:tcW w:type="dxa" w:w="1100"/>
            <w:shd w:fill="E8EEF5"/>
            <w:tcMar>
              <w:top w:w="80" w:type="dxa"/>
              <w:start w:w="120" w:type="dxa"/>
              <w:bottom w:w="80" w:type="dxa"/>
              <w:end w:w="120" w:type="dxa"/>
            </w:tcMar>
            <w:vAlign w:val="center"/>
          </w:tcPr>
          <w:p>
            <w:pPr>
              <w:keepLines w:val="0"/>
              <w:spacing w:before="0" w:after="0" w:line="245" w:lineRule="auto"/>
            </w:pPr>
            <w:r>
              <w:rPr>
                <w:rFonts w:ascii="Calibri" w:hAnsi="Calibri"/>
                <w:sz w:val="15"/>
              </w:rPr>
              <w:t>Standard</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ISO/PAS 8800: Road vehicles - Safety and artificial intelligence — ISO</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No DOI; standard</w:t>
            </w:r>
          </w:p>
        </w:tc>
      </w:tr>
      <w:tr>
        <w:tc>
          <w:tcPr>
            <w:tcW w:type="dxa" w:w="1600"/>
            <w:tcMar>
              <w:top w:w="80" w:type="dxa"/>
              <w:start w:w="120" w:type="dxa"/>
              <w:bottom w:w="80" w:type="dxa"/>
              <w:end w:w="120" w:type="dxa"/>
            </w:tcMar>
            <w:vAlign w:val="center"/>
          </w:tcPr>
          <w:p>
            <w:pPr>
              <w:keepLines w:val="0"/>
              <w:spacing w:before="0" w:after="0" w:line="245" w:lineRule="auto"/>
            </w:pPr>
            <w:r>
              <w:rPr>
                <w:rFonts w:ascii="Calibri" w:hAnsi="Calibri"/>
                <w:sz w:val="15"/>
              </w:rPr>
              <w:t>RicohMEG2024clearance</w:t>
            </w:r>
          </w:p>
        </w:tc>
        <w:tc>
          <w:tcPr>
            <w:tcW w:type="dxa" w:w="600"/>
            <w:tcMar>
              <w:top w:w="80" w:type="dxa"/>
              <w:start w:w="120" w:type="dxa"/>
              <w:bottom w:w="80" w:type="dxa"/>
              <w:end w:w="120" w:type="dxa"/>
            </w:tcMar>
            <w:vAlign w:val="center"/>
          </w:tcPr>
          <w:p>
            <w:pPr>
              <w:keepLines w:val="0"/>
              <w:spacing w:before="0" w:after="0" w:line="245" w:lineRule="auto"/>
            </w:pPr>
            <w:r>
              <w:rPr>
                <w:rFonts w:ascii="Calibri" w:hAnsi="Calibri"/>
                <w:sz w:val="15"/>
              </w:rPr>
              <w:t>2024</w:t>
            </w:r>
          </w:p>
        </w:tc>
        <w:tc>
          <w:tcPr>
            <w:tcW w:type="dxa" w:w="1100"/>
            <w:shd w:fill="FFF4D6"/>
            <w:tcMar>
              <w:top w:w="80" w:type="dxa"/>
              <w:start w:w="120" w:type="dxa"/>
              <w:bottom w:w="80" w:type="dxa"/>
              <w:end w:w="120" w:type="dxa"/>
            </w:tcMar>
            <w:vAlign w:val="center"/>
          </w:tcPr>
          <w:p>
            <w:pPr>
              <w:keepLines w:val="0"/>
              <w:spacing w:before="0" w:after="0" w:line="245" w:lineRule="auto"/>
            </w:pPr>
            <w:r>
              <w:rPr>
                <w:rFonts w:ascii="Calibri" w:hAnsi="Calibri"/>
                <w:sz w:val="15"/>
              </w:rPr>
              <w:t>Vendor</w:t>
            </w:r>
          </w:p>
        </w:tc>
        <w:tc>
          <w:tcPr>
            <w:tcW w:type="dxa" w:w="4060"/>
            <w:tcMar>
              <w:top w:w="80" w:type="dxa"/>
              <w:start w:w="120" w:type="dxa"/>
              <w:bottom w:w="80" w:type="dxa"/>
              <w:end w:w="120" w:type="dxa"/>
            </w:tcMar>
            <w:vAlign w:val="center"/>
          </w:tcPr>
          <w:p>
            <w:pPr>
              <w:keepLines w:val="0"/>
              <w:spacing w:before="0" w:after="0" w:line="245" w:lineRule="auto"/>
            </w:pPr>
            <w:r>
              <w:rPr>
                <w:rFonts w:ascii="Calibri" w:hAnsi="Calibri"/>
                <w:sz w:val="15"/>
              </w:rPr>
              <w:t>RICOH MEG Measurement System receives FDA 510(k) clearance — Ricoh / trade press</w:t>
            </w:r>
          </w:p>
        </w:tc>
        <w:tc>
          <w:tcPr>
            <w:tcW w:type="dxa" w:w="2000"/>
            <w:tcMar>
              <w:top w:w="80" w:type="dxa"/>
              <w:start w:w="120" w:type="dxa"/>
              <w:bottom w:w="80" w:type="dxa"/>
              <w:end w:w="120" w:type="dxa"/>
            </w:tcMar>
            <w:vAlign w:val="center"/>
          </w:tcPr>
          <w:p>
            <w:pPr>
              <w:keepLines w:val="0"/>
              <w:spacing w:before="0" w:after="0" w:line="245" w:lineRule="auto"/>
            </w:pPr>
            <w:r>
              <w:rPr>
                <w:rFonts w:ascii="Calibri" w:hAnsi="Calibri"/>
                <w:sz w:val="15"/>
              </w:rPr>
              <w:t>No DOI; vendor</w:t>
            </w:r>
          </w:p>
        </w:tc>
      </w:tr>
    </w:tbl>
    <w:p>
      <w:pPr>
        <w:keepLines w:val="0"/>
        <w:spacing w:before="0" w:after="80" w:line="300" w:lineRule="auto"/>
      </w:pPr>
    </w:p>
    <w:p>
      <w:r>
        <w:br w:type="page"/>
      </w:r>
    </w:p>
    <w:p>
      <w:pPr>
        <w:pStyle w:val="Heading1"/>
      </w:pPr>
      <w:r>
        <w:t>Appendix B. Evidence gaps and drafting priorities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keepLines w:val="0"/>
              <w:spacing w:before="0" w:after="0" w:line="288" w:lineRule="auto"/>
            </w:pPr>
            <w:r>
              <w:rPr>
                <w:rFonts w:ascii="Calibri" w:hAnsi="Calibri"/>
                <w:b/>
                <w:color w:val="0B2545"/>
              </w:rPr>
              <w:t xml:space="preserve">Main reading. </w:t>
            </w:r>
            <w:r>
              <w:t>The taxonomy's principles and applications are substantially covered. The systematic weakness is verification of quantitative performance cells and the future/standards treatment of minor families.</w:t>
            </w:r>
          </w:p>
        </w:tc>
      </w:tr>
    </w:tbl>
    <w:tbl>
      <w:tblPr>
        <w:tblW w:type="dxa" w:w="9360"/>
        <w:jc w:val="left"/>
        <w:tblLayout w:type="fixed"/>
        <w:tblLook w:firstColumn="1" w:firstRow="1" w:lastColumn="0" w:lastRow="0" w:noHBand="0" w:noVBand="1" w:val="04A0"/>
        <w:tblInd w:w="120" w:type="dxa"/>
      </w:tblPr>
      <w:tblGrid>
        <w:gridCol w:w="1900"/>
        <w:gridCol w:w="900"/>
        <w:gridCol w:w="6560"/>
      </w:tblGrid>
      <w:tr>
        <w:trPr>
          <w:tblHeader w:val="true"/>
        </w:trPr>
        <w:tc>
          <w:tcPr>
            <w:tcW w:type="dxa" w:w="1900"/>
            <w:shd w:fill="2E74B5"/>
            <w:tcMar>
              <w:top w:w="80" w:type="dxa"/>
              <w:start w:w="120" w:type="dxa"/>
              <w:bottom w:w="80" w:type="dxa"/>
              <w:end w:w="120" w:type="dxa"/>
            </w:tcMar>
            <w:vAlign w:val="center"/>
          </w:tcPr>
          <w:p>
            <w:r>
              <w:rPr>
                <w:rFonts w:ascii="Calibri" w:hAnsi="Calibri"/>
                <w:b/>
                <w:color w:val="FFFFFF"/>
                <w:sz w:val="18"/>
              </w:rPr>
              <w:t>Topic</w:t>
            </w:r>
          </w:p>
        </w:tc>
        <w:tc>
          <w:tcPr>
            <w:tcW w:type="dxa" w:w="900"/>
            <w:shd w:fill="2E74B5"/>
            <w:tcMar>
              <w:top w:w="80" w:type="dxa"/>
              <w:start w:w="120" w:type="dxa"/>
              <w:bottom w:w="80" w:type="dxa"/>
              <w:end w:w="120" w:type="dxa"/>
            </w:tcMar>
            <w:vAlign w:val="center"/>
          </w:tcPr>
          <w:p>
            <w:r>
              <w:rPr>
                <w:rFonts w:ascii="Calibri" w:hAnsi="Calibri"/>
                <w:b/>
                <w:color w:val="FFFFFF"/>
                <w:sz w:val="18"/>
              </w:rPr>
              <w:t>Status</w:t>
            </w:r>
          </w:p>
        </w:tc>
        <w:tc>
          <w:tcPr>
            <w:tcW w:type="dxa" w:w="6560"/>
            <w:shd w:fill="2E74B5"/>
            <w:tcMar>
              <w:top w:w="80" w:type="dxa"/>
              <w:start w:w="120" w:type="dxa"/>
              <w:bottom w:w="80" w:type="dxa"/>
              <w:end w:w="120" w:type="dxa"/>
            </w:tcMar>
            <w:vAlign w:val="center"/>
          </w:tcPr>
          <w:p>
            <w:r>
              <w:rPr>
                <w:rFonts w:ascii="Calibri" w:hAnsi="Calibri"/>
                <w:b/>
                <w:color w:val="FFFFFF"/>
                <w:sz w:val="18"/>
              </w:rPr>
              <w:t>Action before drafting exact claims</w:t>
            </w:r>
          </w:p>
        </w:tc>
      </w:tr>
      <w:tr>
        <w:tc>
          <w:tcPr>
            <w:tcW w:type="dxa" w:w="1900"/>
            <w:tcMar>
              <w:top w:w="80" w:type="dxa"/>
              <w:start w:w="120" w:type="dxa"/>
              <w:bottom w:w="80" w:type="dxa"/>
              <w:end w:w="120" w:type="dxa"/>
            </w:tcMar>
            <w:vAlign w:val="center"/>
          </w:tcPr>
          <w:p>
            <w:pPr>
              <w:keepLines w:val="0"/>
              <w:spacing w:before="0" w:after="0" w:line="259" w:lineRule="auto"/>
            </w:pPr>
            <w:r>
              <w:rPr>
                <w:rFonts w:ascii="Calibri" w:hAnsi="Calibri"/>
                <w:sz w:val="17"/>
              </w:rPr>
              <w:t>Hall (Si)</w:t>
            </w:r>
          </w:p>
        </w:tc>
        <w:tc>
          <w:tcPr>
            <w:tcW w:type="dxa" w:w="900"/>
            <w:shd w:fill="FFF4D6"/>
            <w:tcMar>
              <w:top w:w="80" w:type="dxa"/>
              <w:start w:w="120" w:type="dxa"/>
              <w:bottom w:w="80" w:type="dxa"/>
              <w:end w:w="120" w:type="dxa"/>
            </w:tcMar>
            <w:vAlign w:val="center"/>
          </w:tcPr>
          <w:p>
            <w:pPr>
              <w:keepLines w:val="0"/>
              <w:spacing w:before="0" w:after="0" w:line="259" w:lineRule="auto"/>
            </w:pPr>
            <w:r>
              <w:rPr>
                <w:rFonts w:ascii="Calibri" w:hAnsi="Calibri"/>
                <w:sz w:val="17"/>
              </w:rPr>
              <w:t>Thin</w:t>
            </w:r>
          </w:p>
        </w:tc>
        <w:tc>
          <w:tcPr>
            <w:tcW w:type="dxa" w:w="6560"/>
            <w:tcMar>
              <w:top w:w="80" w:type="dxa"/>
              <w:start w:w="120" w:type="dxa"/>
              <w:bottom w:w="80" w:type="dxa"/>
              <w:end w:w="120" w:type="dxa"/>
            </w:tcMar>
            <w:vAlign w:val="center"/>
          </w:tcPr>
          <w:p>
            <w:pPr>
              <w:keepLines w:val="0"/>
              <w:spacing w:before="0" w:after="0" w:line="259" w:lineRule="auto"/>
            </w:pPr>
            <w:r>
              <w:rPr>
                <w:rFonts w:ascii="Calibri" w:hAnsi="Calibri"/>
                <w:sz w:val="17"/>
              </w:rPr>
              <w:t>Verify spectral noise floor and bandwidth from the full-text current-sensor review.</w:t>
            </w:r>
          </w:p>
        </w:tc>
      </w:tr>
      <w:tr>
        <w:tc>
          <w:tcPr>
            <w:tcW w:type="dxa" w:w="1900"/>
            <w:tcMar>
              <w:top w:w="80" w:type="dxa"/>
              <w:start w:w="120" w:type="dxa"/>
              <w:bottom w:w="80" w:type="dxa"/>
              <w:end w:w="120" w:type="dxa"/>
            </w:tcMar>
            <w:vAlign w:val="center"/>
          </w:tcPr>
          <w:p>
            <w:pPr>
              <w:keepLines w:val="0"/>
              <w:spacing w:before="0" w:after="0" w:line="259" w:lineRule="auto"/>
            </w:pPr>
            <w:r>
              <w:rPr>
                <w:rFonts w:ascii="Calibri" w:hAnsi="Calibri"/>
                <w:sz w:val="17"/>
              </w:rPr>
              <w:t>GaN/2DEG Hall</w:t>
            </w:r>
          </w:p>
        </w:tc>
        <w:tc>
          <w:tcPr>
            <w:tcW w:type="dxa" w:w="900"/>
            <w:shd w:fill="FFF4D6"/>
            <w:tcMar>
              <w:top w:w="80" w:type="dxa"/>
              <w:start w:w="120" w:type="dxa"/>
              <w:bottom w:w="80" w:type="dxa"/>
              <w:end w:w="120" w:type="dxa"/>
            </w:tcMar>
            <w:vAlign w:val="center"/>
          </w:tcPr>
          <w:p>
            <w:pPr>
              <w:keepLines w:val="0"/>
              <w:spacing w:before="0" w:after="0" w:line="259" w:lineRule="auto"/>
            </w:pPr>
            <w:r>
              <w:rPr>
                <w:rFonts w:ascii="Calibri" w:hAnsi="Calibri"/>
                <w:sz w:val="17"/>
              </w:rPr>
              <w:t>Thin</w:t>
            </w:r>
          </w:p>
        </w:tc>
        <w:tc>
          <w:tcPr>
            <w:tcW w:type="dxa" w:w="6560"/>
            <w:tcMar>
              <w:top w:w="80" w:type="dxa"/>
              <w:start w:w="120" w:type="dxa"/>
              <w:bottom w:w="80" w:type="dxa"/>
              <w:end w:w="120" w:type="dxa"/>
            </w:tcMar>
            <w:vAlign w:val="center"/>
          </w:tcPr>
          <w:p>
            <w:pPr>
              <w:keepLines w:val="0"/>
              <w:spacing w:before="0" w:after="0" w:line="259" w:lineRule="auto"/>
            </w:pPr>
            <w:r>
              <w:rPr>
                <w:rFonts w:ascii="Calibri" w:hAnsi="Calibri"/>
                <w:sz w:val="17"/>
              </w:rPr>
              <w:t>Add author's verified 2023 citation; find version of record for spinning-current work.</w:t>
            </w:r>
          </w:p>
        </w:tc>
      </w:tr>
      <w:tr>
        <w:tc>
          <w:tcPr>
            <w:tcW w:type="dxa" w:w="1900"/>
            <w:tcMar>
              <w:top w:w="80" w:type="dxa"/>
              <w:start w:w="120" w:type="dxa"/>
              <w:bottom w:w="80" w:type="dxa"/>
              <w:end w:w="120" w:type="dxa"/>
            </w:tcMar>
            <w:vAlign w:val="center"/>
          </w:tcPr>
          <w:p>
            <w:pPr>
              <w:keepLines w:val="0"/>
              <w:spacing w:before="0" w:after="0" w:line="259" w:lineRule="auto"/>
            </w:pPr>
            <w:r>
              <w:rPr>
                <w:rFonts w:ascii="Calibri" w:hAnsi="Calibri"/>
                <w:sz w:val="17"/>
              </w:rPr>
              <w:t>AMR/GMR</w:t>
            </w:r>
          </w:p>
        </w:tc>
        <w:tc>
          <w:tcPr>
            <w:tcW w:type="dxa" w:w="900"/>
            <w:shd w:fill="FFF4D6"/>
            <w:tcMar>
              <w:top w:w="80" w:type="dxa"/>
              <w:start w:w="120" w:type="dxa"/>
              <w:bottom w:w="80" w:type="dxa"/>
              <w:end w:w="120" w:type="dxa"/>
            </w:tcMar>
            <w:vAlign w:val="center"/>
          </w:tcPr>
          <w:p>
            <w:pPr>
              <w:keepLines w:val="0"/>
              <w:spacing w:before="0" w:after="0" w:line="259" w:lineRule="auto"/>
            </w:pPr>
            <w:r>
              <w:rPr>
                <w:rFonts w:ascii="Calibri" w:hAnsi="Calibri"/>
                <w:sz w:val="17"/>
              </w:rPr>
              <w:t>Thin</w:t>
            </w:r>
          </w:p>
        </w:tc>
        <w:tc>
          <w:tcPr>
            <w:tcW w:type="dxa" w:w="6560"/>
            <w:tcMar>
              <w:top w:w="80" w:type="dxa"/>
              <w:start w:w="120" w:type="dxa"/>
              <w:bottom w:w="80" w:type="dxa"/>
              <w:end w:w="120" w:type="dxa"/>
            </w:tcMar>
            <w:vAlign w:val="center"/>
          </w:tcPr>
          <w:p>
            <w:pPr>
              <w:keepLines w:val="0"/>
              <w:spacing w:before="0" w:after="0" w:line="259" w:lineRule="auto"/>
            </w:pPr>
            <w:r>
              <w:rPr>
                <w:rFonts w:ascii="Calibri" w:hAnsi="Calibri"/>
                <w:sz w:val="17"/>
              </w:rPr>
              <w:t>Extract detectivity spectra and field-range/bandwidth values from the MR roadmap.</w:t>
            </w:r>
          </w:p>
        </w:tc>
      </w:tr>
      <w:tr>
        <w:tc>
          <w:tcPr>
            <w:tcW w:type="dxa" w:w="1900"/>
            <w:tcMar>
              <w:top w:w="80" w:type="dxa"/>
              <w:start w:w="120" w:type="dxa"/>
              <w:bottom w:w="80" w:type="dxa"/>
              <w:end w:w="120" w:type="dxa"/>
            </w:tcMar>
            <w:vAlign w:val="center"/>
          </w:tcPr>
          <w:p>
            <w:pPr>
              <w:keepLines w:val="0"/>
              <w:spacing w:before="0" w:after="0" w:line="259" w:lineRule="auto"/>
            </w:pPr>
            <w:r>
              <w:rPr>
                <w:rFonts w:ascii="Calibri" w:hAnsi="Calibri"/>
                <w:sz w:val="17"/>
              </w:rPr>
              <w:t>TMR</w:t>
            </w:r>
          </w:p>
        </w:tc>
        <w:tc>
          <w:tcPr>
            <w:tcW w:type="dxa" w:w="900"/>
            <w:shd w:fill="E7F2EA"/>
            <w:tcMar>
              <w:top w:w="80" w:type="dxa"/>
              <w:start w:w="120" w:type="dxa"/>
              <w:bottom w:w="80" w:type="dxa"/>
              <w:end w:w="120" w:type="dxa"/>
            </w:tcMar>
            <w:vAlign w:val="center"/>
          </w:tcPr>
          <w:p>
            <w:pPr>
              <w:keepLines w:val="0"/>
              <w:spacing w:before="0" w:after="0" w:line="259" w:lineRule="auto"/>
            </w:pPr>
            <w:r>
              <w:rPr>
                <w:rFonts w:ascii="Calibri" w:hAnsi="Calibri"/>
                <w:sz w:val="17"/>
              </w:rPr>
              <w:t>Strong</w:t>
            </w:r>
          </w:p>
        </w:tc>
        <w:tc>
          <w:tcPr>
            <w:tcW w:type="dxa" w:w="6560"/>
            <w:tcMar>
              <w:top w:w="80" w:type="dxa"/>
              <w:start w:w="120" w:type="dxa"/>
              <w:bottom w:w="80" w:type="dxa"/>
              <w:end w:w="120" w:type="dxa"/>
            </w:tcMar>
            <w:vAlign w:val="center"/>
          </w:tcPr>
          <w:p>
            <w:pPr>
              <w:keepLines w:val="0"/>
              <w:spacing w:before="0" w:after="0" w:line="259" w:lineRule="auto"/>
            </w:pPr>
            <w:r>
              <w:rPr>
                <w:rFonts w:ascii="Calibri" w:hAnsi="Calibri"/>
                <w:sz w:val="17"/>
              </w:rPr>
              <w:t>Re-check abstract-level 97 pT/sqrt(Hz) figure; use stronger primary anchors where possible.</w:t>
            </w:r>
          </w:p>
        </w:tc>
      </w:tr>
      <w:tr>
        <w:tc>
          <w:tcPr>
            <w:tcW w:type="dxa" w:w="1900"/>
            <w:tcMar>
              <w:top w:w="80" w:type="dxa"/>
              <w:start w:w="120" w:type="dxa"/>
              <w:bottom w:w="80" w:type="dxa"/>
              <w:end w:w="120" w:type="dxa"/>
            </w:tcMar>
            <w:vAlign w:val="center"/>
          </w:tcPr>
          <w:p>
            <w:pPr>
              <w:keepLines w:val="0"/>
              <w:spacing w:before="0" w:after="0" w:line="259" w:lineRule="auto"/>
            </w:pPr>
            <w:r>
              <w:rPr>
                <w:rFonts w:ascii="Calibri" w:hAnsi="Calibri"/>
                <w:sz w:val="17"/>
              </w:rPr>
              <w:t>Fluxgate</w:t>
            </w:r>
          </w:p>
        </w:tc>
        <w:tc>
          <w:tcPr>
            <w:tcW w:type="dxa" w:w="900"/>
            <w:shd w:fill="FFF4D6"/>
            <w:tcMar>
              <w:top w:w="80" w:type="dxa"/>
              <w:start w:w="120" w:type="dxa"/>
              <w:bottom w:w="80" w:type="dxa"/>
              <w:end w:w="120" w:type="dxa"/>
            </w:tcMar>
            <w:vAlign w:val="center"/>
          </w:tcPr>
          <w:p>
            <w:pPr>
              <w:keepLines w:val="0"/>
              <w:spacing w:before="0" w:after="0" w:line="259" w:lineRule="auto"/>
            </w:pPr>
            <w:r>
              <w:rPr>
                <w:rFonts w:ascii="Calibri" w:hAnsi="Calibri"/>
                <w:sz w:val="17"/>
              </w:rPr>
              <w:t>Thin</w:t>
            </w:r>
          </w:p>
        </w:tc>
        <w:tc>
          <w:tcPr>
            <w:tcW w:type="dxa" w:w="6560"/>
            <w:tcMar>
              <w:top w:w="80" w:type="dxa"/>
              <w:start w:w="120" w:type="dxa"/>
              <w:bottom w:w="80" w:type="dxa"/>
              <w:end w:w="120" w:type="dxa"/>
            </w:tcMar>
            <w:vAlign w:val="center"/>
          </w:tcPr>
          <w:p>
            <w:pPr>
              <w:keepLines w:val="0"/>
              <w:spacing w:before="0" w:after="0" w:line="259" w:lineRule="auto"/>
            </w:pPr>
            <w:r>
              <w:rPr>
                <w:rFonts w:ascii="Calibri" w:hAnsi="Calibri"/>
                <w:sz w:val="17"/>
              </w:rPr>
              <w:t>Verify FM-OFG noise values and attribution from full text.</w:t>
            </w:r>
          </w:p>
        </w:tc>
      </w:tr>
      <w:tr>
        <w:tc>
          <w:tcPr>
            <w:tcW w:type="dxa" w:w="1900"/>
            <w:tcMar>
              <w:top w:w="80" w:type="dxa"/>
              <w:start w:w="120" w:type="dxa"/>
              <w:bottom w:w="80" w:type="dxa"/>
              <w:end w:w="120" w:type="dxa"/>
            </w:tcMar>
            <w:vAlign w:val="center"/>
          </w:tcPr>
          <w:p>
            <w:pPr>
              <w:keepLines w:val="0"/>
              <w:spacing w:before="0" w:after="0" w:line="259" w:lineRule="auto"/>
            </w:pPr>
            <w:r>
              <w:rPr>
                <w:rFonts w:ascii="Calibri" w:hAnsi="Calibri"/>
                <w:sz w:val="17"/>
              </w:rPr>
              <w:t>Search-coil</w:t>
            </w:r>
          </w:p>
        </w:tc>
        <w:tc>
          <w:tcPr>
            <w:tcW w:type="dxa" w:w="900"/>
            <w:shd w:fill="E7F2EA"/>
            <w:tcMar>
              <w:top w:w="80" w:type="dxa"/>
              <w:start w:w="120" w:type="dxa"/>
              <w:bottom w:w="80" w:type="dxa"/>
              <w:end w:w="120" w:type="dxa"/>
            </w:tcMar>
            <w:vAlign w:val="center"/>
          </w:tcPr>
          <w:p>
            <w:pPr>
              <w:keepLines w:val="0"/>
              <w:spacing w:before="0" w:after="0" w:line="259" w:lineRule="auto"/>
            </w:pPr>
            <w:r>
              <w:rPr>
                <w:rFonts w:ascii="Calibri" w:hAnsi="Calibri"/>
                <w:sz w:val="17"/>
              </w:rPr>
              <w:t>Strong</w:t>
            </w:r>
          </w:p>
        </w:tc>
        <w:tc>
          <w:tcPr>
            <w:tcW w:type="dxa" w:w="6560"/>
            <w:tcMar>
              <w:top w:w="80" w:type="dxa"/>
              <w:start w:w="120" w:type="dxa"/>
              <w:bottom w:w="80" w:type="dxa"/>
              <w:end w:w="120" w:type="dxa"/>
            </w:tcMar>
            <w:vAlign w:val="center"/>
          </w:tcPr>
          <w:p>
            <w:pPr>
              <w:keepLines w:val="0"/>
              <w:spacing w:before="0" w:after="0" w:line="259" w:lineRule="auto"/>
            </w:pPr>
            <w:r>
              <w:rPr>
                <w:rFonts w:ascii="Calibri" w:hAnsi="Calibri"/>
                <w:sz w:val="17"/>
              </w:rPr>
              <w:t>Add the exact application-specific instrument-transformer/EMC standards during drafting.</w:t>
            </w:r>
          </w:p>
        </w:tc>
      </w:tr>
      <w:tr>
        <w:tc>
          <w:tcPr>
            <w:tcW w:type="dxa" w:w="1900"/>
            <w:tcMar>
              <w:top w:w="80" w:type="dxa"/>
              <w:start w:w="120" w:type="dxa"/>
              <w:bottom w:w="80" w:type="dxa"/>
              <w:end w:w="120" w:type="dxa"/>
            </w:tcMar>
            <w:vAlign w:val="center"/>
          </w:tcPr>
          <w:p>
            <w:pPr>
              <w:keepLines w:val="0"/>
              <w:spacing w:before="0" w:after="0" w:line="259" w:lineRule="auto"/>
            </w:pPr>
            <w:r>
              <w:rPr>
                <w:rFonts w:ascii="Calibri" w:hAnsi="Calibri"/>
                <w:sz w:val="17"/>
              </w:rPr>
              <w:t>GMI</w:t>
            </w:r>
          </w:p>
        </w:tc>
        <w:tc>
          <w:tcPr>
            <w:tcW w:type="dxa" w:w="900"/>
            <w:shd w:fill="FFF4D6"/>
            <w:tcMar>
              <w:top w:w="80" w:type="dxa"/>
              <w:start w:w="120" w:type="dxa"/>
              <w:bottom w:w="80" w:type="dxa"/>
              <w:end w:w="120" w:type="dxa"/>
            </w:tcMar>
            <w:vAlign w:val="center"/>
          </w:tcPr>
          <w:p>
            <w:pPr>
              <w:keepLines w:val="0"/>
              <w:spacing w:before="0" w:after="0" w:line="259" w:lineRule="auto"/>
            </w:pPr>
            <w:r>
              <w:rPr>
                <w:rFonts w:ascii="Calibri" w:hAnsi="Calibri"/>
                <w:sz w:val="17"/>
              </w:rPr>
              <w:t>Thin</w:t>
            </w:r>
          </w:p>
        </w:tc>
        <w:tc>
          <w:tcPr>
            <w:tcW w:type="dxa" w:w="6560"/>
            <w:tcMar>
              <w:top w:w="80" w:type="dxa"/>
              <w:start w:w="120" w:type="dxa"/>
              <w:bottom w:w="80" w:type="dxa"/>
              <w:end w:w="120" w:type="dxa"/>
            </w:tcMar>
            <w:vAlign w:val="center"/>
          </w:tcPr>
          <w:p>
            <w:pPr>
              <w:keepLines w:val="0"/>
              <w:spacing w:before="0" w:after="0" w:line="259" w:lineRule="auto"/>
            </w:pPr>
            <w:r>
              <w:rPr>
                <w:rFonts w:ascii="Calibri" w:hAnsi="Calibri"/>
                <w:sz w:val="17"/>
              </w:rPr>
              <w:t>Confirm MEMS-GMI numbers and add future-methods or supplier evidence if available.</w:t>
            </w:r>
          </w:p>
        </w:tc>
      </w:tr>
      <w:tr>
        <w:tc>
          <w:tcPr>
            <w:tcW w:type="dxa" w:w="1900"/>
            <w:tcMar>
              <w:top w:w="80" w:type="dxa"/>
              <w:start w:w="120" w:type="dxa"/>
              <w:bottom w:w="80" w:type="dxa"/>
              <w:end w:w="120" w:type="dxa"/>
            </w:tcMar>
            <w:vAlign w:val="center"/>
          </w:tcPr>
          <w:p>
            <w:pPr>
              <w:keepLines w:val="0"/>
              <w:spacing w:before="0" w:after="0" w:line="259" w:lineRule="auto"/>
            </w:pPr>
            <w:r>
              <w:rPr>
                <w:rFonts w:ascii="Calibri" w:hAnsi="Calibri"/>
                <w:sz w:val="17"/>
              </w:rPr>
              <w:t>SQUID</w:t>
            </w:r>
          </w:p>
        </w:tc>
        <w:tc>
          <w:tcPr>
            <w:tcW w:type="dxa" w:w="900"/>
            <w:shd w:fill="E7F2EA"/>
            <w:tcMar>
              <w:top w:w="80" w:type="dxa"/>
              <w:start w:w="120" w:type="dxa"/>
              <w:bottom w:w="80" w:type="dxa"/>
              <w:end w:w="120" w:type="dxa"/>
            </w:tcMar>
            <w:vAlign w:val="center"/>
          </w:tcPr>
          <w:p>
            <w:pPr>
              <w:keepLines w:val="0"/>
              <w:spacing w:before="0" w:after="0" w:line="259" w:lineRule="auto"/>
            </w:pPr>
            <w:r>
              <w:rPr>
                <w:rFonts w:ascii="Calibri" w:hAnsi="Calibri"/>
                <w:sz w:val="17"/>
              </w:rPr>
              <w:t>Strong</w:t>
            </w:r>
          </w:p>
        </w:tc>
        <w:tc>
          <w:tcPr>
            <w:tcW w:type="dxa" w:w="6560"/>
            <w:tcMar>
              <w:top w:w="80" w:type="dxa"/>
              <w:start w:w="120" w:type="dxa"/>
              <w:bottom w:w="80" w:type="dxa"/>
              <w:end w:w="120" w:type="dxa"/>
            </w:tcMar>
            <w:vAlign w:val="center"/>
          </w:tcPr>
          <w:p>
            <w:pPr>
              <w:keepLines w:val="0"/>
              <w:spacing w:before="0" w:after="0" w:line="259" w:lineRule="auto"/>
            </w:pPr>
            <w:r>
              <w:rPr>
                <w:rFonts w:ascii="Calibri" w:hAnsi="Calibri"/>
                <w:sz w:val="17"/>
              </w:rPr>
              <w:t>Re-check MCG amplitude context before quoting exact numbers.</w:t>
            </w:r>
          </w:p>
        </w:tc>
      </w:tr>
      <w:tr>
        <w:tc>
          <w:tcPr>
            <w:tcW w:type="dxa" w:w="1900"/>
            <w:tcMar>
              <w:top w:w="80" w:type="dxa"/>
              <w:start w:w="120" w:type="dxa"/>
              <w:bottom w:w="80" w:type="dxa"/>
              <w:end w:w="120" w:type="dxa"/>
            </w:tcMar>
            <w:vAlign w:val="center"/>
          </w:tcPr>
          <w:p>
            <w:pPr>
              <w:keepLines w:val="0"/>
              <w:spacing w:before="0" w:after="0" w:line="259" w:lineRule="auto"/>
            </w:pPr>
            <w:r>
              <w:rPr>
                <w:rFonts w:ascii="Calibri" w:hAnsi="Calibri"/>
                <w:sz w:val="17"/>
              </w:rPr>
              <w:t>OPM/SERF</w:t>
            </w:r>
          </w:p>
        </w:tc>
        <w:tc>
          <w:tcPr>
            <w:tcW w:type="dxa" w:w="900"/>
            <w:shd w:fill="FFF4D6"/>
            <w:tcMar>
              <w:top w:w="80" w:type="dxa"/>
              <w:start w:w="120" w:type="dxa"/>
              <w:bottom w:w="80" w:type="dxa"/>
              <w:end w:w="120" w:type="dxa"/>
            </w:tcMar>
            <w:vAlign w:val="center"/>
          </w:tcPr>
          <w:p>
            <w:pPr>
              <w:keepLines w:val="0"/>
              <w:spacing w:before="0" w:after="0" w:line="259" w:lineRule="auto"/>
            </w:pPr>
            <w:r>
              <w:rPr>
                <w:rFonts w:ascii="Calibri" w:hAnsi="Calibri"/>
                <w:sz w:val="17"/>
              </w:rPr>
              <w:t>Thin</w:t>
            </w:r>
          </w:p>
        </w:tc>
        <w:tc>
          <w:tcPr>
            <w:tcW w:type="dxa" w:w="6560"/>
            <w:tcMar>
              <w:top w:w="80" w:type="dxa"/>
              <w:start w:w="120" w:type="dxa"/>
              <w:bottom w:w="80" w:type="dxa"/>
              <w:end w:w="120" w:type="dxa"/>
            </w:tcMar>
            <w:vAlign w:val="center"/>
          </w:tcPr>
          <w:p>
            <w:pPr>
              <w:keepLines w:val="0"/>
              <w:spacing w:before="0" w:after="0" w:line="259" w:lineRule="auto"/>
            </w:pPr>
            <w:r>
              <w:rPr>
                <w:rFonts w:ascii="Calibri" w:hAnsi="Calibri"/>
                <w:sz w:val="17"/>
              </w:rPr>
              <w:t>Extract bandwidth and dynamic-range values from full text.</w:t>
            </w:r>
          </w:p>
        </w:tc>
      </w:tr>
      <w:tr>
        <w:tc>
          <w:tcPr>
            <w:tcW w:type="dxa" w:w="1900"/>
            <w:tcMar>
              <w:top w:w="80" w:type="dxa"/>
              <w:start w:w="120" w:type="dxa"/>
              <w:bottom w:w="80" w:type="dxa"/>
              <w:end w:w="120" w:type="dxa"/>
            </w:tcMar>
            <w:vAlign w:val="center"/>
          </w:tcPr>
          <w:p>
            <w:pPr>
              <w:keepLines w:val="0"/>
              <w:spacing w:before="0" w:after="0" w:line="259" w:lineRule="auto"/>
            </w:pPr>
            <w:r>
              <w:rPr>
                <w:rFonts w:ascii="Calibri" w:hAnsi="Calibri"/>
                <w:sz w:val="17"/>
              </w:rPr>
              <w:t>NV diamond</w:t>
            </w:r>
          </w:p>
        </w:tc>
        <w:tc>
          <w:tcPr>
            <w:tcW w:type="dxa" w:w="900"/>
            <w:shd w:fill="FFF4D6"/>
            <w:tcMar>
              <w:top w:w="80" w:type="dxa"/>
              <w:start w:w="120" w:type="dxa"/>
              <w:bottom w:w="80" w:type="dxa"/>
              <w:end w:w="120" w:type="dxa"/>
            </w:tcMar>
            <w:vAlign w:val="center"/>
          </w:tcPr>
          <w:p>
            <w:pPr>
              <w:keepLines w:val="0"/>
              <w:spacing w:before="0" w:after="0" w:line="259" w:lineRule="auto"/>
            </w:pPr>
            <w:r>
              <w:rPr>
                <w:rFonts w:ascii="Calibri" w:hAnsi="Calibri"/>
                <w:sz w:val="17"/>
              </w:rPr>
              <w:t>Thin</w:t>
            </w:r>
          </w:p>
        </w:tc>
        <w:tc>
          <w:tcPr>
            <w:tcW w:type="dxa" w:w="6560"/>
            <w:tcMar>
              <w:top w:w="80" w:type="dxa"/>
              <w:start w:w="120" w:type="dxa"/>
              <w:bottom w:w="80" w:type="dxa"/>
              <w:end w:w="120" w:type="dxa"/>
            </w:tcMar>
            <w:vAlign w:val="center"/>
          </w:tcPr>
          <w:p>
            <w:pPr>
              <w:keepLines w:val="0"/>
              <w:spacing w:before="0" w:after="0" w:line="259" w:lineRule="auto"/>
            </w:pPr>
            <w:r>
              <w:rPr>
                <w:rFonts w:ascii="Calibri" w:hAnsi="Calibri"/>
                <w:sz w:val="17"/>
              </w:rPr>
              <w:t>Find version of record for current sensing or clearly label it preprint-stage.</w:t>
            </w:r>
          </w:p>
        </w:tc>
      </w:tr>
      <w:tr>
        <w:tc>
          <w:tcPr>
            <w:tcW w:type="dxa" w:w="1900"/>
            <w:tcMar>
              <w:top w:w="80" w:type="dxa"/>
              <w:start w:w="120" w:type="dxa"/>
              <w:bottom w:w="80" w:type="dxa"/>
              <w:end w:w="120" w:type="dxa"/>
            </w:tcMar>
            <w:vAlign w:val="center"/>
          </w:tcPr>
          <w:p>
            <w:pPr>
              <w:keepLines w:val="0"/>
              <w:spacing w:before="0" w:after="0" w:line="259" w:lineRule="auto"/>
            </w:pPr>
            <w:r>
              <w:rPr>
                <w:rFonts w:ascii="Calibri" w:hAnsi="Calibri"/>
                <w:sz w:val="17"/>
              </w:rPr>
              <w:t>Magnetoelectric</w:t>
            </w:r>
          </w:p>
        </w:tc>
        <w:tc>
          <w:tcPr>
            <w:tcW w:type="dxa" w:w="900"/>
            <w:shd w:fill="FFF4D6"/>
            <w:tcMar>
              <w:top w:w="80" w:type="dxa"/>
              <w:start w:w="120" w:type="dxa"/>
              <w:bottom w:w="80" w:type="dxa"/>
              <w:end w:w="120" w:type="dxa"/>
            </w:tcMar>
            <w:vAlign w:val="center"/>
          </w:tcPr>
          <w:p>
            <w:pPr>
              <w:keepLines w:val="0"/>
              <w:spacing w:before="0" w:after="0" w:line="259" w:lineRule="auto"/>
            </w:pPr>
            <w:r>
              <w:rPr>
                <w:rFonts w:ascii="Calibri" w:hAnsi="Calibri"/>
                <w:sz w:val="17"/>
              </w:rPr>
              <w:t>Thin</w:t>
            </w:r>
          </w:p>
        </w:tc>
        <w:tc>
          <w:tcPr>
            <w:tcW w:type="dxa" w:w="6560"/>
            <w:tcMar>
              <w:top w:w="80" w:type="dxa"/>
              <w:start w:w="120" w:type="dxa"/>
              <w:bottom w:w="80" w:type="dxa"/>
              <w:end w:w="120" w:type="dxa"/>
            </w:tcMar>
            <w:vAlign w:val="center"/>
          </w:tcPr>
          <w:p>
            <w:pPr>
              <w:keepLines w:val="0"/>
              <w:spacing w:before="0" w:after="0" w:line="259" w:lineRule="auto"/>
            </w:pPr>
            <w:r>
              <w:rPr>
                <w:rFonts w:ascii="Calibri" w:hAnsi="Calibri"/>
                <w:sz w:val="17"/>
              </w:rPr>
              <w:t>Verify sensitivity figure; future-methods and standards coverage remains missing.</w:t>
            </w:r>
          </w:p>
        </w:tc>
      </w:tr>
      <w:tr>
        <w:tc>
          <w:tcPr>
            <w:tcW w:type="dxa" w:w="1900"/>
            <w:tcMar>
              <w:top w:w="80" w:type="dxa"/>
              <w:start w:w="120" w:type="dxa"/>
              <w:bottom w:w="80" w:type="dxa"/>
              <w:end w:w="120" w:type="dxa"/>
            </w:tcMar>
            <w:vAlign w:val="center"/>
          </w:tcPr>
          <w:p>
            <w:pPr>
              <w:keepLines w:val="0"/>
              <w:spacing w:before="0" w:after="0" w:line="259" w:lineRule="auto"/>
            </w:pPr>
            <w:r>
              <w:rPr>
                <w:rFonts w:ascii="Calibri" w:hAnsi="Calibri"/>
                <w:sz w:val="17"/>
              </w:rPr>
              <w:t>MEMS Lorentz</w:t>
            </w:r>
          </w:p>
        </w:tc>
        <w:tc>
          <w:tcPr>
            <w:tcW w:type="dxa" w:w="900"/>
            <w:shd w:fill="FFF4D6"/>
            <w:tcMar>
              <w:top w:w="80" w:type="dxa"/>
              <w:start w:w="120" w:type="dxa"/>
              <w:bottom w:w="80" w:type="dxa"/>
              <w:end w:w="120" w:type="dxa"/>
            </w:tcMar>
            <w:vAlign w:val="center"/>
          </w:tcPr>
          <w:p>
            <w:pPr>
              <w:keepLines w:val="0"/>
              <w:spacing w:before="0" w:after="0" w:line="259" w:lineRule="auto"/>
            </w:pPr>
            <w:r>
              <w:rPr>
                <w:rFonts w:ascii="Calibri" w:hAnsi="Calibri"/>
                <w:sz w:val="17"/>
              </w:rPr>
              <w:t>Thin</w:t>
            </w:r>
          </w:p>
        </w:tc>
        <w:tc>
          <w:tcPr>
            <w:tcW w:type="dxa" w:w="6560"/>
            <w:tcMar>
              <w:top w:w="80" w:type="dxa"/>
              <w:start w:w="120" w:type="dxa"/>
              <w:bottom w:w="80" w:type="dxa"/>
              <w:end w:w="120" w:type="dxa"/>
            </w:tcMar>
            <w:vAlign w:val="center"/>
          </w:tcPr>
          <w:p>
            <w:pPr>
              <w:keepLines w:val="0"/>
              <w:spacing w:before="0" w:after="0" w:line="259" w:lineRule="auto"/>
            </w:pPr>
            <w:r>
              <w:rPr>
                <w:rFonts w:ascii="Calibri" w:hAnsi="Calibri"/>
                <w:sz w:val="17"/>
              </w:rPr>
              <w:t>Verify performance figures; keep maturity claims conservative.</w:t>
            </w:r>
          </w:p>
        </w:tc>
      </w:tr>
      <w:tr>
        <w:tc>
          <w:tcPr>
            <w:tcW w:type="dxa" w:w="1900"/>
            <w:tcMar>
              <w:top w:w="80" w:type="dxa"/>
              <w:start w:w="120" w:type="dxa"/>
              <w:bottom w:w="80" w:type="dxa"/>
              <w:end w:w="120" w:type="dxa"/>
            </w:tcMar>
            <w:vAlign w:val="center"/>
          </w:tcPr>
          <w:p>
            <w:pPr>
              <w:keepLines w:val="0"/>
              <w:spacing w:before="0" w:after="0" w:line="259" w:lineRule="auto"/>
            </w:pPr>
            <w:r>
              <w:rPr>
                <w:rFonts w:ascii="Calibri" w:hAnsi="Calibri"/>
                <w:sz w:val="17"/>
              </w:rPr>
              <w:t>Fiber/magneto-optic</w:t>
            </w:r>
          </w:p>
        </w:tc>
        <w:tc>
          <w:tcPr>
            <w:tcW w:type="dxa" w:w="900"/>
            <w:shd w:fill="FFF4D6"/>
            <w:tcMar>
              <w:top w:w="80" w:type="dxa"/>
              <w:start w:w="120" w:type="dxa"/>
              <w:bottom w:w="80" w:type="dxa"/>
              <w:end w:w="120" w:type="dxa"/>
            </w:tcMar>
            <w:vAlign w:val="center"/>
          </w:tcPr>
          <w:p>
            <w:pPr>
              <w:keepLines w:val="0"/>
              <w:spacing w:before="0" w:after="0" w:line="259" w:lineRule="auto"/>
            </w:pPr>
            <w:r>
              <w:rPr>
                <w:rFonts w:ascii="Calibri" w:hAnsi="Calibri"/>
                <w:sz w:val="17"/>
              </w:rPr>
              <w:t>Thin</w:t>
            </w:r>
          </w:p>
        </w:tc>
        <w:tc>
          <w:tcPr>
            <w:tcW w:type="dxa" w:w="6560"/>
            <w:tcMar>
              <w:top w:w="80" w:type="dxa"/>
              <w:start w:w="120" w:type="dxa"/>
              <w:bottom w:w="80" w:type="dxa"/>
              <w:end w:w="120" w:type="dxa"/>
            </w:tcMar>
            <w:vAlign w:val="center"/>
          </w:tcPr>
          <w:p>
            <w:pPr>
              <w:keepLines w:val="0"/>
              <w:spacing w:before="0" w:after="0" w:line="259" w:lineRule="auto"/>
            </w:pPr>
            <w:r>
              <w:rPr>
                <w:rFonts w:ascii="Calibri" w:hAnsi="Calibri"/>
                <w:sz w:val="17"/>
              </w:rPr>
              <w:t>Translate performance to magnetic units where defensible; add IEC 61850-9-2.</w:t>
            </w:r>
          </w:p>
        </w:tc>
      </w:tr>
      <w:tr>
        <w:tc>
          <w:tcPr>
            <w:tcW w:type="dxa" w:w="1900"/>
            <w:tcMar>
              <w:top w:w="80" w:type="dxa"/>
              <w:start w:w="120" w:type="dxa"/>
              <w:bottom w:w="80" w:type="dxa"/>
              <w:end w:w="120" w:type="dxa"/>
            </w:tcMar>
            <w:vAlign w:val="center"/>
          </w:tcPr>
          <w:p>
            <w:pPr>
              <w:keepLines w:val="0"/>
              <w:spacing w:before="0" w:after="0" w:line="259" w:lineRule="auto"/>
            </w:pPr>
            <w:r>
              <w:rPr>
                <w:rFonts w:ascii="Calibri" w:hAnsi="Calibri"/>
                <w:sz w:val="17"/>
              </w:rPr>
              <w:t>Overhauser/CPT</w:t>
            </w:r>
          </w:p>
        </w:tc>
        <w:tc>
          <w:tcPr>
            <w:tcW w:type="dxa" w:w="900"/>
            <w:shd w:fill="FFF4D6"/>
            <w:tcMar>
              <w:top w:w="80" w:type="dxa"/>
              <w:start w:w="120" w:type="dxa"/>
              <w:bottom w:w="80" w:type="dxa"/>
              <w:end w:w="120" w:type="dxa"/>
            </w:tcMar>
            <w:vAlign w:val="center"/>
          </w:tcPr>
          <w:p>
            <w:pPr>
              <w:keepLines w:val="0"/>
              <w:spacing w:before="0" w:after="0" w:line="259" w:lineRule="auto"/>
            </w:pPr>
            <w:r>
              <w:rPr>
                <w:rFonts w:ascii="Calibri" w:hAnsi="Calibri"/>
                <w:sz w:val="17"/>
              </w:rPr>
              <w:t>Thin</w:t>
            </w:r>
          </w:p>
        </w:tc>
        <w:tc>
          <w:tcPr>
            <w:tcW w:type="dxa" w:w="6560"/>
            <w:tcMar>
              <w:top w:w="80" w:type="dxa"/>
              <w:start w:w="120" w:type="dxa"/>
              <w:bottom w:w="80" w:type="dxa"/>
              <w:end w:w="120" w:type="dxa"/>
            </w:tcMar>
            <w:vAlign w:val="center"/>
          </w:tcPr>
          <w:p>
            <w:pPr>
              <w:keepLines w:val="0"/>
              <w:spacing w:before="0" w:after="0" w:line="259" w:lineRule="auto"/>
            </w:pPr>
            <w:r>
              <w:rPr>
                <w:rFonts w:ascii="Calibri" w:hAnsi="Calibri"/>
                <w:sz w:val="17"/>
              </w:rPr>
              <w:t>Replace vendor-only performance specifications with peer-reviewed sources if possible.</w:t>
            </w:r>
          </w:p>
        </w:tc>
      </w:tr>
      <w:tr>
        <w:tc>
          <w:tcPr>
            <w:tcW w:type="dxa" w:w="1900"/>
            <w:tcMar>
              <w:top w:w="80" w:type="dxa"/>
              <w:start w:w="120" w:type="dxa"/>
              <w:bottom w:w="80" w:type="dxa"/>
              <w:end w:w="120" w:type="dxa"/>
            </w:tcMar>
            <w:vAlign w:val="center"/>
          </w:tcPr>
          <w:p>
            <w:pPr>
              <w:keepLines w:val="0"/>
              <w:spacing w:before="0" w:after="0" w:line="259" w:lineRule="auto"/>
            </w:pPr>
            <w:r>
              <w:rPr>
                <w:rFonts w:ascii="Calibri" w:hAnsi="Calibri"/>
                <w:sz w:val="17"/>
              </w:rPr>
              <w:t>Future methods</w:t>
            </w:r>
          </w:p>
        </w:tc>
        <w:tc>
          <w:tcPr>
            <w:tcW w:type="dxa" w:w="900"/>
            <w:shd w:fill="FFF4D6"/>
            <w:tcMar>
              <w:top w:w="80" w:type="dxa"/>
              <w:start w:w="120" w:type="dxa"/>
              <w:bottom w:w="80" w:type="dxa"/>
              <w:end w:w="120" w:type="dxa"/>
            </w:tcMar>
            <w:vAlign w:val="center"/>
          </w:tcPr>
          <w:p>
            <w:pPr>
              <w:keepLines w:val="0"/>
              <w:spacing w:before="0" w:after="0" w:line="259" w:lineRule="auto"/>
            </w:pPr>
            <w:r>
              <w:rPr>
                <w:rFonts w:ascii="Calibri" w:hAnsi="Calibri"/>
                <w:sz w:val="17"/>
              </w:rPr>
              <w:t>Thin</w:t>
            </w:r>
          </w:p>
        </w:tc>
        <w:tc>
          <w:tcPr>
            <w:tcW w:type="dxa" w:w="6560"/>
            <w:tcMar>
              <w:top w:w="80" w:type="dxa"/>
              <w:start w:w="120" w:type="dxa"/>
              <w:bottom w:w="80" w:type="dxa"/>
              <w:end w:w="120" w:type="dxa"/>
            </w:tcMar>
            <w:vAlign w:val="center"/>
          </w:tcPr>
          <w:p>
            <w:pPr>
              <w:keepLines w:val="0"/>
              <w:spacing w:before="0" w:after="0" w:line="259" w:lineRule="auto"/>
            </w:pPr>
            <w:r>
              <w:rPr>
                <w:rFonts w:ascii="Calibri" w:hAnsi="Calibri"/>
                <w:sz w:val="17"/>
              </w:rPr>
              <w:t>Search for peer-reviewed learned-aging compensation, sensor-level twins, MagNav accuracy, and ISO 26262+ML analysis.</w:t>
            </w:r>
          </w:p>
        </w:tc>
      </w:tr>
    </w:tbl>
    <w:p>
      <w:pPr>
        <w:pStyle w:val="Heading2"/>
      </w:pPr>
      <w:r>
        <w:t>Highest-value next actions</w:t>
      </w:r>
    </w:p>
    <w:p>
      <w:pPr>
        <w:keepLines w:val="0"/>
        <w:numPr>
          <w:ilvl w:val="0"/>
          <w:numId w:val="10"/>
        </w:numPr>
        <w:spacing w:before="0" w:after="80" w:line="300" w:lineRule="auto"/>
        <w:ind w:left="540" w:hanging="271"/>
      </w:pPr>
      <w:r>
        <w:t>Perform one full-text extraction pass for Hall, AMR/GMR, fluxgate, OPM/SERF, magnetoelectric, MEMS, and fiber-optic performance values already anchored in the registry.</w:t>
      </w:r>
    </w:p>
    <w:p>
      <w:pPr>
        <w:keepLines w:val="0"/>
        <w:numPr>
          <w:ilvl w:val="0"/>
          <w:numId w:val="10"/>
        </w:numPr>
        <w:spacing w:before="0" w:after="80" w:line="300" w:lineRule="auto"/>
        <w:ind w:left="540" w:hanging="271"/>
      </w:pPr>
      <w:r>
        <w:t>Search for versions of record for NV current sensing and GaN spinning-current work; otherwise keep them explicitly preprint-stage.</w:t>
      </w:r>
    </w:p>
    <w:p>
      <w:pPr>
        <w:keepLines w:val="0"/>
        <w:numPr>
          <w:ilvl w:val="0"/>
          <w:numId w:val="10"/>
        </w:numPr>
        <w:spacing w:before="0" w:after="80" w:line="300" w:lineRule="auto"/>
        <w:ind w:left="540" w:hanging="271"/>
      </w:pPr>
      <w:r>
        <w:t>Add the author's verified 2023 IEEE Sensors Letters citation manually; do not reconstruct it from memory.</w:t>
      </w:r>
    </w:p>
    <w:p>
      <w:pPr>
        <w:keepLines w:val="0"/>
        <w:numPr>
          <w:ilvl w:val="0"/>
          <w:numId w:val="10"/>
        </w:numPr>
        <w:spacing w:before="0" w:after="80" w:line="300" w:lineRule="auto"/>
        <w:ind w:left="540" w:hanging="271"/>
      </w:pPr>
      <w:r>
        <w:t>Find peer-reviewed anchors for learned aging compensation, a magnetic-sensor digital twin, MagNav accuracy, and ML assurance under ISO 26262—or present the absence as a research gap.</w:t>
      </w:r>
    </w:p>
    <w:p>
      <w:pPr>
        <w:keepLines w:val="0"/>
        <w:numPr>
          <w:ilvl w:val="0"/>
          <w:numId w:val="10"/>
        </w:numPr>
        <w:spacing w:before="0" w:after="80" w:line="300" w:lineRule="auto"/>
        <w:ind w:left="540" w:hanging="271"/>
      </w:pPr>
      <w:r>
        <w:t>Complete bibliography hygiene: missing author fields, missing standards URLs, and an IEC 61850-9-2 registry entry.</w:t>
      </w:r>
    </w:p>
    <w:p>
      <w:pPr>
        <w:keepLines w:val="0"/>
        <w:numPr>
          <w:ilvl w:val="0"/>
          <w:numId w:val="10"/>
        </w:numPr>
        <w:spacing w:before="0" w:after="80" w:line="300" w:lineRule="auto"/>
        <w:ind w:left="540" w:hanging="271"/>
      </w:pPr>
      <w:r>
        <w:t>Before October 2026 submission, refresh MDPI APC/policy information, AI-authorship disclosure guidance, market estimates, and the status of 2024 AI-safety documents.</w:t>
      </w:r>
    </w:p>
    <w:p>
      <w:pPr>
        <w:pStyle w:val="Heading2"/>
      </w:pPr>
      <w:r>
        <w:t>Source files consolidated</w:t>
      </w:r>
    </w:p>
    <w:p>
      <w:pPr>
        <w:keepLines w:val="0"/>
        <w:numPr>
          <w:ilvl w:val="0"/>
          <w:numId w:val="10"/>
        </w:numPr>
        <w:spacing w:before="0" w:after="80" w:line="300" w:lineRule="auto"/>
        <w:ind w:left="540" w:hanging="271"/>
      </w:pPr>
      <w:r>
        <w:t>PROJECT_BRIEF.md and 00_target_journal_brief.md</w:t>
      </w:r>
    </w:p>
    <w:p>
      <w:pPr>
        <w:keepLines w:val="0"/>
        <w:numPr>
          <w:ilvl w:val="0"/>
          <w:numId w:val="10"/>
        </w:numPr>
        <w:spacing w:before="0" w:after="80" w:line="300" w:lineRule="auto"/>
        <w:ind w:left="540" w:hanging="271"/>
      </w:pPr>
      <w:r>
        <w:t>10_titles.md and 20_outlines.md</w:t>
      </w:r>
    </w:p>
    <w:p>
      <w:pPr>
        <w:keepLines w:val="0"/>
        <w:numPr>
          <w:ilvl w:val="0"/>
          <w:numId w:val="10"/>
        </w:numPr>
        <w:spacing w:before="0" w:after="80" w:line="300" w:lineRule="auto"/>
        <w:ind w:left="540" w:hanging="271"/>
      </w:pPr>
      <w:r>
        <w:t>30_litreview_sensor_types.md</w:t>
      </w:r>
    </w:p>
    <w:p>
      <w:pPr>
        <w:keepLines w:val="0"/>
        <w:numPr>
          <w:ilvl w:val="0"/>
          <w:numId w:val="10"/>
        </w:numPr>
        <w:spacing w:before="0" w:after="80" w:line="300" w:lineRule="auto"/>
        <w:ind w:left="540" w:hanging="271"/>
      </w:pPr>
      <w:r>
        <w:t>40_litreview_applications.md</w:t>
      </w:r>
    </w:p>
    <w:p>
      <w:pPr>
        <w:keepLines w:val="0"/>
        <w:numPr>
          <w:ilvl w:val="0"/>
          <w:numId w:val="10"/>
        </w:numPr>
        <w:spacing w:before="0" w:after="80" w:line="300" w:lineRule="auto"/>
        <w:ind w:left="540" w:hanging="271"/>
      </w:pPr>
      <w:r>
        <w:t>50_litreview_future_methods.md</w:t>
      </w:r>
    </w:p>
    <w:p>
      <w:pPr>
        <w:keepLines w:val="0"/>
        <w:numPr>
          <w:ilvl w:val="0"/>
          <w:numId w:val="10"/>
        </w:numPr>
        <w:spacing w:before="0" w:after="80" w:line="300" w:lineRule="auto"/>
        <w:ind w:left="540" w:hanging="271"/>
      </w:pPr>
      <w:r>
        <w:t>60_standards_and_business.md</w:t>
      </w:r>
    </w:p>
    <w:p>
      <w:pPr>
        <w:keepLines w:val="0"/>
        <w:numPr>
          <w:ilvl w:val="0"/>
          <w:numId w:val="10"/>
        </w:numPr>
        <w:spacing w:before="0" w:after="80" w:line="300" w:lineRule="auto"/>
        <w:ind w:left="540" w:hanging="271"/>
      </w:pPr>
      <w:r>
        <w:t>70_bibliography_report.md, reference_registry.csv, and references.bib</w:t>
      </w:r>
    </w:p>
    <w:p>
      <w:pPr>
        <w:keepLines w:val="0"/>
        <w:numPr>
          <w:ilvl w:val="0"/>
          <w:numId w:val="10"/>
        </w:numPr>
        <w:spacing w:before="0" w:after="80" w:line="300" w:lineRule="auto"/>
        <w:ind w:left="540" w:hanging="271"/>
      </w:pPr>
      <w:r>
        <w:t>00_DELIVERABLE_paper_plan.md and PATCH_NOTES.md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Lines w:val="0"/>
      <w:spacing w:before="0" w:after="0" w:line="240" w:lineRule="auto"/>
      <w:jc w:val="right"/>
    </w:pPr>
    <w:r>
      <w:rPr>
        <w:rFonts w:ascii="Calibri" w:hAnsi="Calibri"/>
        <w:color w:val="5D6875"/>
        <w:sz w:val="17"/>
      </w:rPr>
      <w:t xml:space="preserve">Prepared 14 July 2026  |  </w:t>
    </w:r>
    <w:r>
      <w:rPr>
        <w:rFonts w:ascii="Calibri" w:hAnsi="Calibri"/>
        <w:color w:val="5D6875"/>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Lines w:val="0"/>
      <w:spacing w:before="0" w:after="0" w:line="240" w:lineRule="auto"/>
      <w:jc w:val="right"/>
    </w:pPr>
    <w:r>
      <w:rPr>
        <w:rFonts w:ascii="Calibri" w:hAnsi="Calibri"/>
        <w:b/>
        <w:color w:val="5D6875"/>
        <w:sz w:val="17"/>
      </w:rPr>
      <w:t>MAGNETIC-FIELD SENSORS REVIEW  |  EVIDENCE COMPILATION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
    <w:name w:val="Evidence"/>
    <w:basedOn w:val="Normal"/>
    <w:rPr>
      <w:rFonts w:ascii="Calibri" w:hAnsi="Calibri"/>
      <w:i/>
      <w:color w:val="5D687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Magnetic-Field Sensors Review: Two-Version Evidence Compilation</dc:title>
  <dc:subject>Technical and plain-language summaries with complete literature inventory</dc:subject>
  <dc:creator>Research compilation</dc:creator>
  <cp:keywords>magnetic sensors; Hall effect; magnetoresistance; OPM; standards; literature review</cp:keywords>
  <dc:description>generated by python-docx</dc:description>
  <cp:lastModifiedBy/>
  <cp:revision>1</cp:revision>
  <dcterms:created xsi:type="dcterms:W3CDTF">2013-12-23T23:15:00Z</dcterms:created>
  <dcterms:modified xsi:type="dcterms:W3CDTF">2013-12-23T23:15:00Z</dcterms:modified>
  <cp:category/>
</cp:coreProperties>
</file>