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1B2A"/>
          <w:sz w:val="40"/>
        </w:rPr>
        <w:t>News Media Monitoring Pipeline — Extraction Sample</w:t>
      </w:r>
    </w:p>
    <w:p>
      <w:pPr>
        <w:jc w:val="center"/>
      </w:pPr>
      <w:r>
        <w:rPr>
          <w:i/>
          <w:color w:val="566072"/>
          <w:sz w:val="20"/>
        </w:rPr>
        <w:t>Normal layout · includes text, tables with/without borders, and images</w:t>
      </w:r>
    </w:p>
    <w:p>
      <w:pPr>
        <w:jc w:val="center"/>
      </w:pPr>
      <w:r>
        <w:drawing>
          <wp:inline xmlns:a="http://schemas.openxmlformats.org/drawingml/2006/main" xmlns:pic="http://schemas.openxmlformats.org/drawingml/2006/picture">
            <wp:extent cx="5394960" cy="3147060"/>
            <wp:docPr id="1" name="Picture 1"/>
            <wp:cNvGraphicFramePr>
              <a:graphicFrameLocks noChangeAspect="1"/>
            </wp:cNvGraphicFramePr>
            <a:graphic>
              <a:graphicData uri="http://schemas.openxmlformats.org/drawingml/2006/picture">
                <pic:pic>
                  <pic:nvPicPr>
                    <pic:cNvPr id="0" name="newsroom_dashboard.png"/>
                    <pic:cNvPicPr/>
                  </pic:nvPicPr>
                  <pic:blipFill>
                    <a:blip r:embed="rId9"/>
                    <a:stretch>
                      <a:fillRect/>
                    </a:stretch>
                  </pic:blipFill>
                  <pic:spPr>
                    <a:xfrm>
                      <a:off x="0" y="0"/>
                      <a:ext cx="5394960" cy="3147060"/>
                    </a:xfrm>
                    <a:prstGeom prst="rect"/>
                  </pic:spPr>
                </pic:pic>
              </a:graphicData>
            </a:graphic>
          </wp:inline>
        </w:drawing>
      </w:r>
    </w:p>
    <w:p>
      <w:pPr>
        <w:spacing w:after="160" w:line="276" w:lineRule="auto"/>
      </w:pPr>
      <w:r>
        <w:rPr>
          <w:sz w:val="21"/>
        </w:rPr>
        <w:t>The News Media Monitoring Pipeline collects article metadata, summaries, and engagement signals from online outlets. This sample document is designed for document extraction tests and intentionally includes paragraphs, bordered tables, borderless tables, and several images.</w:t>
      </w:r>
    </w:p>
    <w:p>
      <w:pPr>
        <w:spacing w:after="160" w:line="276" w:lineRule="auto"/>
      </w:pPr>
      <w:r>
        <w:rPr>
          <w:sz w:val="21"/>
        </w:rPr>
        <w:t>During the latest monitoring window, editors tracked rising coverage of elections, AI investments, and live sports rights. The content below includes special characters such as Ž, č, š, and café so encoding-aware processing can be verified during extraction.</w:t>
      </w:r>
    </w:p>
    <w:p>
      <w:pPr>
        <w:spacing w:after="160" w:line="276" w:lineRule="auto"/>
      </w:pPr>
      <w:r>
        <w:rPr>
          <w:sz w:val="21"/>
        </w:rPr>
        <w:t>A downstream parser can extract body text with pdfplumber or python-docx, then store the normalized text and metadata in MongoDB together with source path, page number, and extraction timestamp.</w:t>
      </w:r>
    </w:p>
    <w:p>
      <w:pPr>
        <w:spacing w:before="160" w:after="100"/>
      </w:pPr>
      <w:r>
        <w:rPr>
          <w:b/>
          <w:color w:val="212529"/>
          <w:sz w:val="25"/>
        </w:rPr>
        <w:t>Table with borders — sample source coverage</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c>
          <w:tcPr>
            <w:tcW w:type="dxa" w:w="2160"/>
            <w:vAlign w:val="center"/>
            <w:shd w:fill="1F4E78"/>
          </w:tcPr>
          <w:p>
            <w:pPr>
              <w:jc w:val="left"/>
            </w:pPr>
            <w:r/>
            <w:r>
              <w:rPr>
                <w:b/>
                <w:color w:val="FFFFFF"/>
                <w:sz w:val="20"/>
              </w:rPr>
              <w:t>Source</w:t>
            </w:r>
          </w:p>
        </w:tc>
        <w:tc>
          <w:tcPr>
            <w:tcW w:type="dxa" w:w="2160"/>
            <w:vAlign w:val="center"/>
            <w:shd w:fill="1F4E78"/>
          </w:tcPr>
          <w:p>
            <w:pPr>
              <w:jc w:val="left"/>
            </w:pPr>
            <w:r/>
            <w:r>
              <w:rPr>
                <w:b/>
                <w:color w:val="FFFFFF"/>
                <w:sz w:val="20"/>
              </w:rPr>
              <w:t>Category</w:t>
            </w:r>
          </w:p>
        </w:tc>
        <w:tc>
          <w:tcPr>
            <w:tcW w:type="dxa" w:w="1440"/>
            <w:vAlign w:val="center"/>
            <w:shd w:fill="1F4E78"/>
          </w:tcPr>
          <w:p>
            <w:pPr>
              <w:jc w:val="left"/>
            </w:pPr>
            <w:r/>
            <w:r>
              <w:rPr>
                <w:b/>
                <w:color w:val="FFFFFF"/>
                <w:sz w:val="20"/>
              </w:rPr>
              <w:t>Articles</w:t>
            </w:r>
          </w:p>
        </w:tc>
        <w:tc>
          <w:tcPr>
            <w:tcW w:type="dxa" w:w="2015"/>
            <w:vAlign w:val="center"/>
            <w:shd w:fill="1F4E78"/>
          </w:tcPr>
          <w:p>
            <w:pPr>
              <w:jc w:val="left"/>
            </w:pPr>
            <w:r/>
            <w:r>
              <w:rPr>
                <w:b/>
                <w:color w:val="FFFFFF"/>
                <w:sz w:val="20"/>
              </w:rPr>
              <w:t>Avg. sentiment</w:t>
            </w:r>
          </w:p>
        </w:tc>
      </w:tr>
      <w:tr>
        <w:tc>
          <w:tcPr>
            <w:tcW w:type="dxa" w:w="2160"/>
            <w:vAlign w:val="center"/>
          </w:tcPr>
          <w:p>
            <w:pPr>
              <w:jc w:val="left"/>
            </w:pPr>
            <w:r/>
            <w:r>
              <w:rPr>
                <w:b w:val="0"/>
                <w:sz w:val="20"/>
              </w:rPr>
              <w:t>BBC</w:t>
            </w:r>
          </w:p>
        </w:tc>
        <w:tc>
          <w:tcPr>
            <w:tcW w:type="dxa" w:w="2160"/>
            <w:vAlign w:val="center"/>
          </w:tcPr>
          <w:p>
            <w:pPr>
              <w:jc w:val="left"/>
            </w:pPr>
            <w:r/>
            <w:r>
              <w:rPr>
                <w:b w:val="0"/>
                <w:sz w:val="20"/>
              </w:rPr>
              <w:t>Politics</w:t>
            </w:r>
          </w:p>
        </w:tc>
        <w:tc>
          <w:tcPr>
            <w:tcW w:type="dxa" w:w="1440"/>
            <w:vAlign w:val="center"/>
          </w:tcPr>
          <w:p>
            <w:pPr>
              <w:jc w:val="left"/>
            </w:pPr>
            <w:r/>
            <w:r>
              <w:rPr>
                <w:b w:val="0"/>
                <w:sz w:val="20"/>
              </w:rPr>
              <w:t>12</w:t>
            </w:r>
          </w:p>
        </w:tc>
        <w:tc>
          <w:tcPr>
            <w:tcW w:type="dxa" w:w="2015"/>
            <w:vAlign w:val="center"/>
          </w:tcPr>
          <w:p>
            <w:pPr>
              <w:jc w:val="left"/>
            </w:pPr>
            <w:r/>
            <w:r>
              <w:rPr>
                <w:b w:val="0"/>
                <w:sz w:val="20"/>
              </w:rPr>
              <w:t>0.41</w:t>
            </w:r>
          </w:p>
        </w:tc>
      </w:tr>
      <w:tr>
        <w:tc>
          <w:tcPr>
            <w:tcW w:type="dxa" w:w="2160"/>
            <w:vAlign w:val="center"/>
          </w:tcPr>
          <w:p>
            <w:pPr>
              <w:jc w:val="left"/>
            </w:pPr>
            <w:r/>
            <w:r>
              <w:rPr>
                <w:b w:val="0"/>
                <w:sz w:val="20"/>
              </w:rPr>
              <w:t>Reuters</w:t>
            </w:r>
          </w:p>
        </w:tc>
        <w:tc>
          <w:tcPr>
            <w:tcW w:type="dxa" w:w="2160"/>
            <w:vAlign w:val="center"/>
          </w:tcPr>
          <w:p>
            <w:pPr>
              <w:jc w:val="left"/>
            </w:pPr>
            <w:r/>
            <w:r>
              <w:rPr>
                <w:b w:val="0"/>
                <w:sz w:val="20"/>
              </w:rPr>
              <w:t>Business</w:t>
            </w:r>
          </w:p>
        </w:tc>
        <w:tc>
          <w:tcPr>
            <w:tcW w:type="dxa" w:w="1440"/>
            <w:vAlign w:val="center"/>
          </w:tcPr>
          <w:p>
            <w:pPr>
              <w:jc w:val="left"/>
            </w:pPr>
            <w:r/>
            <w:r>
              <w:rPr>
                <w:b w:val="0"/>
                <w:sz w:val="20"/>
              </w:rPr>
              <w:t>10</w:t>
            </w:r>
          </w:p>
        </w:tc>
        <w:tc>
          <w:tcPr>
            <w:tcW w:type="dxa" w:w="2015"/>
            <w:vAlign w:val="center"/>
          </w:tcPr>
          <w:p>
            <w:pPr>
              <w:jc w:val="left"/>
            </w:pPr>
            <w:r/>
            <w:r>
              <w:rPr>
                <w:b w:val="0"/>
                <w:sz w:val="20"/>
              </w:rPr>
              <w:t>0.63</w:t>
            </w:r>
          </w:p>
        </w:tc>
      </w:tr>
      <w:tr>
        <w:tc>
          <w:tcPr>
            <w:tcW w:type="dxa" w:w="2160"/>
            <w:vAlign w:val="center"/>
          </w:tcPr>
          <w:p>
            <w:pPr>
              <w:jc w:val="left"/>
            </w:pPr>
            <w:r/>
            <w:r>
              <w:rPr>
                <w:b w:val="0"/>
                <w:sz w:val="20"/>
              </w:rPr>
              <w:t>CNN</w:t>
            </w:r>
          </w:p>
        </w:tc>
        <w:tc>
          <w:tcPr>
            <w:tcW w:type="dxa" w:w="2160"/>
            <w:vAlign w:val="center"/>
          </w:tcPr>
          <w:p>
            <w:pPr>
              <w:jc w:val="left"/>
            </w:pPr>
            <w:r/>
            <w:r>
              <w:rPr>
                <w:b w:val="0"/>
                <w:sz w:val="20"/>
              </w:rPr>
              <w:t>Technology</w:t>
            </w:r>
          </w:p>
        </w:tc>
        <w:tc>
          <w:tcPr>
            <w:tcW w:type="dxa" w:w="1440"/>
            <w:vAlign w:val="center"/>
          </w:tcPr>
          <w:p>
            <w:pPr>
              <w:jc w:val="left"/>
            </w:pPr>
            <w:r/>
            <w:r>
              <w:rPr>
                <w:b w:val="0"/>
                <w:sz w:val="20"/>
              </w:rPr>
              <w:t>8</w:t>
            </w:r>
          </w:p>
        </w:tc>
        <w:tc>
          <w:tcPr>
            <w:tcW w:type="dxa" w:w="2015"/>
            <w:vAlign w:val="center"/>
          </w:tcPr>
          <w:p>
            <w:pPr>
              <w:jc w:val="left"/>
            </w:pPr>
            <w:r/>
            <w:r>
              <w:rPr>
                <w:b w:val="0"/>
                <w:sz w:val="20"/>
              </w:rPr>
              <w:t>0.57</w:t>
            </w:r>
          </w:p>
        </w:tc>
      </w:tr>
      <w:tr>
        <w:tc>
          <w:tcPr>
            <w:tcW w:type="dxa" w:w="2160"/>
            <w:vAlign w:val="center"/>
          </w:tcPr>
          <w:p>
            <w:pPr>
              <w:jc w:val="left"/>
            </w:pPr>
            <w:r/>
            <w:r>
              <w:rPr>
                <w:b w:val="0"/>
                <w:sz w:val="20"/>
              </w:rPr>
              <w:t>AP</w:t>
            </w:r>
          </w:p>
        </w:tc>
        <w:tc>
          <w:tcPr>
            <w:tcW w:type="dxa" w:w="2160"/>
            <w:vAlign w:val="center"/>
          </w:tcPr>
          <w:p>
            <w:pPr>
              <w:jc w:val="left"/>
            </w:pPr>
            <w:r/>
            <w:r>
              <w:rPr>
                <w:b w:val="0"/>
                <w:sz w:val="20"/>
              </w:rPr>
              <w:t>Sports</w:t>
            </w:r>
          </w:p>
        </w:tc>
        <w:tc>
          <w:tcPr>
            <w:tcW w:type="dxa" w:w="1440"/>
            <w:vAlign w:val="center"/>
          </w:tcPr>
          <w:p>
            <w:pPr>
              <w:jc w:val="left"/>
            </w:pPr>
            <w:r/>
            <w:r>
              <w:rPr>
                <w:b w:val="0"/>
                <w:sz w:val="20"/>
              </w:rPr>
              <w:t>6</w:t>
            </w:r>
          </w:p>
        </w:tc>
        <w:tc>
          <w:tcPr>
            <w:tcW w:type="dxa" w:w="2015"/>
            <w:vAlign w:val="center"/>
          </w:tcPr>
          <w:p>
            <w:pPr>
              <w:jc w:val="left"/>
            </w:pPr>
            <w:r/>
            <w:r>
              <w:rPr>
                <w:b w:val="0"/>
                <w:sz w:val="20"/>
              </w:rPr>
              <w:t>0.49</w:t>
            </w:r>
          </w:p>
        </w:tc>
      </w:tr>
    </w:tbl>
    <w:p/>
    <w:p>
      <w:pPr>
        <w:jc w:val="center"/>
      </w:pPr>
      <w:r>
        <w:drawing>
          <wp:inline xmlns:a="http://schemas.openxmlformats.org/drawingml/2006/main" xmlns:pic="http://schemas.openxmlformats.org/drawingml/2006/picture">
            <wp:extent cx="5120640" cy="2958592"/>
            <wp:docPr id="2" name="Picture 2"/>
            <wp:cNvGraphicFramePr>
              <a:graphicFrameLocks noChangeAspect="1"/>
            </wp:cNvGraphicFramePr>
            <a:graphic>
              <a:graphicData uri="http://schemas.openxmlformats.org/drawingml/2006/picture">
                <pic:pic>
                  <pic:nvPicPr>
                    <pic:cNvPr id="0" name="mentions_chart.png"/>
                    <pic:cNvPicPr/>
                  </pic:nvPicPr>
                  <pic:blipFill>
                    <a:blip r:embed="rId10"/>
                    <a:stretch>
                      <a:fillRect/>
                    </a:stretch>
                  </pic:blipFill>
                  <pic:spPr>
                    <a:xfrm>
                      <a:off x="0" y="0"/>
                      <a:ext cx="5120640" cy="2958592"/>
                    </a:xfrm>
                    <a:prstGeom prst="rect"/>
                  </pic:spPr>
                </pic:pic>
              </a:graphicData>
            </a:graphic>
          </wp:inline>
        </w:drawing>
      </w:r>
    </w:p>
    <w:p>
      <w:pPr>
        <w:spacing w:before="160" w:after="100"/>
      </w:pPr>
      <w:r>
        <w:rPr>
          <w:b/>
          <w:color w:val="212529"/>
          <w:sz w:val="25"/>
        </w:rPr>
        <w:t>Table without borders — trending keyword snapshot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408"/>
        <w:gridCol w:w="3408"/>
        <w:gridCol w:w="3408"/>
      </w:tblGrid>
      <w:tr>
        <w:tc>
          <w:tcPr>
            <w:tcW w:type="dxa" w:w="2015"/>
            <w:vAlign w:val="center"/>
            <w:shd w:fill="DCE6F1"/>
          </w:tcPr>
          <w:p>
            <w:pPr>
              <w:jc w:val="left"/>
            </w:pPr>
            <w:r/>
            <w:r>
              <w:rPr>
                <w:b/>
                <w:color w:val="0D1B2A"/>
                <w:sz w:val="20"/>
              </w:rPr>
              <w:t>Month</w:t>
            </w:r>
          </w:p>
        </w:tc>
        <w:tc>
          <w:tcPr>
            <w:tcW w:type="dxa" w:w="3888"/>
            <w:vAlign w:val="center"/>
            <w:shd w:fill="DCE6F1"/>
          </w:tcPr>
          <w:p>
            <w:pPr>
              <w:jc w:val="left"/>
            </w:pPr>
            <w:r/>
            <w:r>
              <w:rPr>
                <w:b/>
                <w:color w:val="0D1B2A"/>
                <w:sz w:val="20"/>
              </w:rPr>
              <w:t>Trending keyword</w:t>
            </w:r>
          </w:p>
        </w:tc>
        <w:tc>
          <w:tcPr>
            <w:tcW w:type="dxa" w:w="1440"/>
            <w:vAlign w:val="center"/>
            <w:shd w:fill="DCE6F1"/>
          </w:tcPr>
          <w:p>
            <w:pPr>
              <w:jc w:val="left"/>
            </w:pPr>
            <w:r/>
            <w:r>
              <w:rPr>
                <w:b/>
                <w:color w:val="0D1B2A"/>
                <w:sz w:val="20"/>
              </w:rPr>
              <w:t>Mentions</w:t>
            </w:r>
          </w:p>
        </w:tc>
      </w:tr>
      <w:tr>
        <w:tc>
          <w:tcPr>
            <w:tcW w:type="dxa" w:w="2015"/>
            <w:vAlign w:val="center"/>
          </w:tcPr>
          <w:p>
            <w:pPr>
              <w:jc w:val="left"/>
            </w:pPr>
            <w:r/>
            <w:r>
              <w:rPr>
                <w:b w:val="0"/>
                <w:sz w:val="20"/>
              </w:rPr>
              <w:t>January</w:t>
            </w:r>
          </w:p>
        </w:tc>
        <w:tc>
          <w:tcPr>
            <w:tcW w:type="dxa" w:w="3888"/>
            <w:vAlign w:val="center"/>
          </w:tcPr>
          <w:p>
            <w:pPr>
              <w:jc w:val="left"/>
            </w:pPr>
            <w:r/>
            <w:r>
              <w:rPr>
                <w:b w:val="0"/>
                <w:sz w:val="20"/>
              </w:rPr>
              <w:t>election</w:t>
            </w:r>
          </w:p>
        </w:tc>
        <w:tc>
          <w:tcPr>
            <w:tcW w:type="dxa" w:w="1440"/>
            <w:vAlign w:val="center"/>
          </w:tcPr>
          <w:p>
            <w:pPr>
              <w:jc w:val="left"/>
            </w:pPr>
            <w:r/>
            <w:r>
              <w:rPr>
                <w:b w:val="0"/>
                <w:sz w:val="20"/>
              </w:rPr>
              <w:t>45</w:t>
            </w:r>
          </w:p>
        </w:tc>
      </w:tr>
      <w:tr>
        <w:tc>
          <w:tcPr>
            <w:tcW w:type="dxa" w:w="2015"/>
            <w:vAlign w:val="center"/>
          </w:tcPr>
          <w:p>
            <w:pPr>
              <w:jc w:val="left"/>
            </w:pPr>
            <w:r/>
            <w:r>
              <w:rPr>
                <w:b w:val="0"/>
                <w:sz w:val="20"/>
              </w:rPr>
              <w:t>February</w:t>
            </w:r>
          </w:p>
        </w:tc>
        <w:tc>
          <w:tcPr>
            <w:tcW w:type="dxa" w:w="3888"/>
            <w:vAlign w:val="center"/>
          </w:tcPr>
          <w:p>
            <w:pPr>
              <w:jc w:val="left"/>
            </w:pPr>
            <w:r/>
            <w:r>
              <w:rPr>
                <w:b w:val="0"/>
                <w:sz w:val="20"/>
              </w:rPr>
              <w:t>AI</w:t>
            </w:r>
          </w:p>
        </w:tc>
        <w:tc>
          <w:tcPr>
            <w:tcW w:type="dxa" w:w="1440"/>
            <w:vAlign w:val="center"/>
          </w:tcPr>
          <w:p>
            <w:pPr>
              <w:jc w:val="left"/>
            </w:pPr>
            <w:r/>
            <w:r>
              <w:rPr>
                <w:b w:val="0"/>
                <w:sz w:val="20"/>
              </w:rPr>
              <w:t>52</w:t>
            </w:r>
          </w:p>
        </w:tc>
      </w:tr>
      <w:tr>
        <w:tc>
          <w:tcPr>
            <w:tcW w:type="dxa" w:w="2015"/>
            <w:vAlign w:val="center"/>
          </w:tcPr>
          <w:p>
            <w:pPr>
              <w:jc w:val="left"/>
            </w:pPr>
            <w:r/>
            <w:r>
              <w:rPr>
                <w:b w:val="0"/>
                <w:sz w:val="20"/>
              </w:rPr>
              <w:t>March</w:t>
            </w:r>
          </w:p>
        </w:tc>
        <w:tc>
          <w:tcPr>
            <w:tcW w:type="dxa" w:w="3888"/>
            <w:vAlign w:val="center"/>
          </w:tcPr>
          <w:p>
            <w:pPr>
              <w:jc w:val="left"/>
            </w:pPr>
            <w:r/>
            <w:r>
              <w:rPr>
                <w:b w:val="0"/>
                <w:sz w:val="20"/>
              </w:rPr>
              <w:t>streaming</w:t>
            </w:r>
          </w:p>
        </w:tc>
        <w:tc>
          <w:tcPr>
            <w:tcW w:type="dxa" w:w="1440"/>
            <w:vAlign w:val="center"/>
          </w:tcPr>
          <w:p>
            <w:pPr>
              <w:jc w:val="left"/>
            </w:pPr>
            <w:r/>
            <w:r>
              <w:rPr>
                <w:b w:val="0"/>
                <w:sz w:val="20"/>
              </w:rPr>
              <w:t>61</w:t>
            </w:r>
          </w:p>
        </w:tc>
      </w:tr>
      <w:tr>
        <w:tc>
          <w:tcPr>
            <w:tcW w:type="dxa" w:w="2015"/>
            <w:vAlign w:val="center"/>
          </w:tcPr>
          <w:p>
            <w:pPr>
              <w:jc w:val="left"/>
            </w:pPr>
            <w:r/>
            <w:r>
              <w:rPr>
                <w:b w:val="0"/>
                <w:sz w:val="20"/>
              </w:rPr>
              <w:t>April</w:t>
            </w:r>
          </w:p>
        </w:tc>
        <w:tc>
          <w:tcPr>
            <w:tcW w:type="dxa" w:w="3888"/>
            <w:vAlign w:val="center"/>
          </w:tcPr>
          <w:p>
            <w:pPr>
              <w:jc w:val="left"/>
            </w:pPr>
            <w:r/>
            <w:r>
              <w:rPr>
                <w:b w:val="0"/>
                <w:sz w:val="20"/>
              </w:rPr>
              <w:t>inflation</w:t>
            </w:r>
          </w:p>
        </w:tc>
        <w:tc>
          <w:tcPr>
            <w:tcW w:type="dxa" w:w="1440"/>
            <w:vAlign w:val="center"/>
          </w:tcPr>
          <w:p>
            <w:pPr>
              <w:jc w:val="left"/>
            </w:pPr>
            <w:r/>
            <w:r>
              <w:rPr>
                <w:b w:val="0"/>
                <w:sz w:val="20"/>
              </w:rPr>
              <w:t>56</w:t>
            </w:r>
          </w:p>
        </w:tc>
      </w:tr>
    </w:tbl>
    <w:p/>
    <w:p>
      <w:pPr>
        <w:jc w:val="center"/>
      </w:pPr>
      <w:r>
        <w:drawing>
          <wp:inline xmlns:a="http://schemas.openxmlformats.org/drawingml/2006/main" xmlns:pic="http://schemas.openxmlformats.org/drawingml/2006/picture">
            <wp:extent cx="4937760" cy="2852928"/>
            <wp:docPr id="3" name="Picture 3"/>
            <wp:cNvGraphicFramePr>
              <a:graphicFrameLocks noChangeAspect="1"/>
            </wp:cNvGraphicFramePr>
            <a:graphic>
              <a:graphicData uri="http://schemas.openxmlformats.org/drawingml/2006/picture">
                <pic:pic>
                  <pic:nvPicPr>
                    <pic:cNvPr id="0" name="keyword_cloud.png"/>
                    <pic:cNvPicPr/>
                  </pic:nvPicPr>
                  <pic:blipFill>
                    <a:blip r:embed="rId11"/>
                    <a:stretch>
                      <a:fillRect/>
                    </a:stretch>
                  </pic:blipFill>
                  <pic:spPr>
                    <a:xfrm>
                      <a:off x="0" y="0"/>
                      <a:ext cx="4937760" cy="2852928"/>
                    </a:xfrm>
                    <a:prstGeom prst="rect"/>
                  </pic:spPr>
                </pic:pic>
              </a:graphicData>
            </a:graphic>
          </wp:inline>
        </w:drawing>
      </w:r>
    </w:p>
    <w:p>
      <w:pPr>
        <w:jc w:val="left"/>
      </w:pPr>
      <w:r>
        <w:rPr>
          <w:i/>
          <w:sz w:val="20"/>
        </w:rPr>
        <w:t>Suggested extraction metadata: file name, document type, source path, extraction timestamp, page number, and extraction library.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