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120"/>
        <w:jc w:val="center"/>
      </w:pPr>
      <w:r>
        <w:rPr>
          <w:rFonts w:ascii="Montserrat" w:hAnsi="Montserrat"/>
          <w:b/>
          <w:color w:val="000000"/>
          <w:sz w:val="26"/>
        </w:rPr>
        <w:t>INFORMATION TECHNOLOGY AUDIT REPORT</w:t>
        <w:br/>
      </w:r>
      <w:r>
        <w:rPr>
          <w:rFonts w:ascii="Montserrat" w:hAnsi="Montserrat"/>
          <w:b/>
          <w:color w:val="000000"/>
          <w:sz w:val="24"/>
        </w:rPr>
        <w:t>DATA SENSITIVITY MANAGEMENT SYSTEM</w:t>
        <w:br/>
      </w:r>
      <w:r>
        <w:rPr>
          <w:rFonts w:ascii="Montserrat" w:hAnsi="Montserrat"/>
          <w:b/>
          <w:color w:val="000000"/>
          <w:sz w:val="21"/>
        </w:rPr>
        <w:t>Professional Audit Report - Increment 2</w:t>
        <w:br/>
      </w:r>
      <w:r>
        <w:rPr>
          <w:rFonts w:ascii="Montserrat" w:hAnsi="Montserrat"/>
          <w:b/>
          <w:color w:val="000000"/>
          <w:sz w:val="20"/>
        </w:rPr>
        <w:t>Lab 8: Asset Inventory and System Documentation</w:t>
        <w:br/>
      </w:r>
      <w:r>
        <w:rPr>
          <w:rFonts w:ascii="Montserrat" w:hAnsi="Montserrat"/>
          <w:b/>
          <w:color w:val="00B0F0"/>
          <w:sz w:val="18"/>
        </w:rPr>
        <w:t>INSTRUCTOR REFERENCE SAMPLE</w:t>
      </w:r>
    </w:p>
    <w:tbl>
      <w:tblPr>
        <w:tblStyle w:val="TableGrid"/>
        <w:tblW w:type="dxa" w:w="10368"/>
        <w:tblLayout w:type="fixed"/>
        <w:tblLook w:firstColumn="1" w:firstRow="1" w:lastColumn="0" w:lastRow="0" w:noHBand="0" w:noVBand="1" w:val="04A0"/>
        <w:tblInd w:w="0" w:type="dxa"/>
      </w:tblPr>
      <w:tblGrid>
        <w:gridCol w:w="3150"/>
        <w:gridCol w:w="7218"/>
      </w:tblGrid>
      <w:tr>
        <w:trPr>
          <w:cantSplit/>
        </w:trPr>
        <w:tc>
          <w:tcPr>
            <w:tcW w:type="dxa" w:w="31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7"/>
              </w:rPr>
              <w:t>Audit Team / Group No.</w:t>
            </w:r>
          </w:p>
        </w:tc>
        <w:tc>
          <w:tcPr>
            <w:tcW w:type="dxa" w:w="72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5"/>
              </w:rPr>
              <w:t>Instructor Sample Team / Reference Group 00</w:t>
            </w:r>
          </w:p>
        </w:tc>
      </w:tr>
      <w:tr>
        <w:trPr>
          <w:cantSplit/>
        </w:trPr>
        <w:tc>
          <w:tcPr>
            <w:tcW w:type="dxa" w:w="31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7"/>
              </w:rPr>
              <w:t>Capstone System / Build</w:t>
            </w:r>
          </w:p>
        </w:tc>
        <w:tc>
          <w:tcPr>
            <w:tcW w:type="dxa" w:w="72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5"/>
              </w:rPr>
              <w:t>Data Sensitivity Management System | DSMS v1.0 | controlled deployed test environment</w:t>
            </w:r>
          </w:p>
        </w:tc>
      </w:tr>
      <w:tr>
        <w:trPr>
          <w:cantSplit/>
        </w:trPr>
        <w:tc>
          <w:tcPr>
            <w:tcW w:type="dxa" w:w="31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7"/>
              </w:rPr>
              <w:t>Partner Organization</w:t>
            </w:r>
          </w:p>
        </w:tc>
        <w:tc>
          <w:tcPr>
            <w:tcW w:type="dxa" w:w="72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5"/>
              </w:rPr>
              <w:t>Enterprise Technology Services Organization (ETSO - approved pseudonym)</w:t>
            </w:r>
          </w:p>
        </w:tc>
      </w:tr>
      <w:tr>
        <w:trPr>
          <w:cantSplit/>
        </w:trPr>
        <w:tc>
          <w:tcPr>
            <w:tcW w:type="dxa" w:w="31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7"/>
              </w:rPr>
              <w:t>Member 1 / Role</w:t>
            </w:r>
          </w:p>
        </w:tc>
        <w:tc>
          <w:tcPr>
            <w:tcW w:type="dxa" w:w="72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5"/>
              </w:rPr>
              <w:t>Sample Auditor A | Asset and Configuration Auditor</w:t>
            </w:r>
          </w:p>
        </w:tc>
      </w:tr>
      <w:tr>
        <w:trPr>
          <w:cantSplit/>
        </w:trPr>
        <w:tc>
          <w:tcPr>
            <w:tcW w:type="dxa" w:w="31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7"/>
              </w:rPr>
              <w:t>Member 2 / Role</w:t>
            </w:r>
          </w:p>
        </w:tc>
        <w:tc>
          <w:tcPr>
            <w:tcW w:type="dxa" w:w="72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5"/>
              </w:rPr>
              <w:t>Sample Auditor B | Architecture and Data-Flow Auditor</w:t>
            </w:r>
          </w:p>
        </w:tc>
      </w:tr>
      <w:tr>
        <w:trPr>
          <w:cantSplit/>
        </w:trPr>
        <w:tc>
          <w:tcPr>
            <w:tcW w:type="dxa" w:w="31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7"/>
              </w:rPr>
              <w:t>Member 3 / Role</w:t>
            </w:r>
          </w:p>
        </w:tc>
        <w:tc>
          <w:tcPr>
            <w:tcW w:type="dxa" w:w="72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5"/>
              </w:rPr>
              <w:t>Sample Auditor C | Access and Evidence Auditor</w:t>
            </w:r>
          </w:p>
        </w:tc>
      </w:tr>
      <w:tr>
        <w:trPr>
          <w:cantSplit/>
        </w:trPr>
        <w:tc>
          <w:tcPr>
            <w:tcW w:type="dxa" w:w="31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7"/>
              </w:rPr>
              <w:t>Prior Approved Version</w:t>
            </w:r>
          </w:p>
        </w:tc>
        <w:tc>
          <w:tcPr>
            <w:tcW w:type="dxa" w:w="72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5"/>
              </w:rPr>
              <w:t>Lab 7 version 0.1 / September 9, 2026</w:t>
            </w:r>
          </w:p>
        </w:tc>
      </w:tr>
      <w:tr>
        <w:trPr>
          <w:cantSplit/>
        </w:trPr>
        <w:tc>
          <w:tcPr>
            <w:tcW w:type="dxa" w:w="31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7"/>
              </w:rPr>
              <w:t>Current Version / Date</w:t>
            </w:r>
          </w:p>
        </w:tc>
        <w:tc>
          <w:tcPr>
            <w:tcW w:type="dxa" w:w="72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5"/>
              </w:rPr>
              <w:t>Version 0.2 | September 9, 2026 | instructor reference copy</w:t>
            </w:r>
          </w:p>
        </w:tc>
      </w:tr>
      <w:tr>
        <w:trPr>
          <w:cantSplit/>
        </w:trPr>
        <w:tc>
          <w:tcPr>
            <w:tcW w:type="dxa" w:w="31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7"/>
              </w:rPr>
              <w:t>Audit / Evidence Cutoff</w:t>
            </w:r>
          </w:p>
        </w:tc>
        <w:tc>
          <w:tcPr>
            <w:tcW w:type="dxa" w:w="72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5"/>
              </w:rPr>
              <w:t>Evidence available through August 31, 2026</w:t>
            </w:r>
          </w:p>
        </w:tc>
      </w:tr>
    </w:tbl>
    <w:p>
      <w:pPr>
        <w:spacing w:after="40"/>
      </w:pPr>
    </w:p>
    <w:tbl>
      <w:tblPr>
        <w:tblStyle w:val="TableGrid"/>
        <w:tblW w:type="dxa" w:w="10368"/>
        <w:tblLayout w:type="fixed"/>
        <w:tblLook w:firstColumn="1" w:firstRow="1" w:lastColumn="0" w:lastRow="0" w:noHBand="0" w:noVBand="1" w:val="04A0"/>
        <w:tblInd w:w="0" w:type="dxa"/>
      </w:tblPr>
      <w:tblGrid>
        <w:gridCol w:w="10368"/>
      </w:tblGrid>
      <w:tr>
        <w:trPr>
          <w:cantSplit/>
          <w:tblHeader w:val="true"/>
        </w:trPr>
        <w:tc>
          <w:tcPr>
            <w:tcW w:type="dxa" w:w="103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8"/>
              </w:rPr>
              <w:t>Master-report instruction</w:t>
            </w:r>
          </w:p>
        </w:tc>
      </w:tr>
      <w:tr>
        <w:trPr>
          <w:cantSplit/>
        </w:trPr>
        <w:tc>
          <w:tcPr>
            <w:tcW w:type="dxa" w:w="10368"/>
            <w:vAlign w:val="center"/>
            <w:tcMar>
              <w:top w:w="75" w:type="dxa"/>
              <w:start w:w="90" w:type="dxa"/>
              <w:bottom w:w="75" w:type="dxa"/>
              <w:end w:w="90" w:type="dxa"/>
            </w:tcMar>
            <w:shd w:fill="DDEBF7"/>
          </w:tcPr>
          <w:p>
            <w:pPr>
              <w:spacing w:before="0" w:after="0" w:line="240" w:lineRule="auto"/>
              <w:jc w:val="left"/>
            </w:pPr>
            <w:r/>
            <w:r>
              <w:rPr>
                <w:rFonts w:ascii="Montserrat" w:hAnsi="Montserrat"/>
                <w:b w:val="0"/>
                <w:color w:val="000000"/>
                <w:sz w:val="16"/>
              </w:rPr>
              <w:t>This completed instructor sample demonstrates Lab 8 as part of one controlled professional audit report. Students must replace the DSMS example with evidence from their own capstone, retain approved identifiers, apply prior feedback, and carry this version forward to the next increment.</w:t>
            </w:r>
          </w:p>
        </w:tc>
      </w:tr>
    </w:tbl>
    <w:p>
      <w:pPr>
        <w:spacing w:after="60"/>
      </w:pPr>
    </w:p>
    <w:p>
      <w:pPr>
        <w:pStyle w:val="Heading1"/>
        <w:keepNext/>
        <w:pageBreakBefore/>
        <w:spacing w:before="140" w:after="40"/>
      </w:pPr>
      <w:r>
        <w:rPr>
          <w:rFonts w:ascii="Montserrat" w:hAnsi="Montserrat"/>
          <w:b/>
          <w:color w:val="00B0F0"/>
          <w:sz w:val="20"/>
        </w:rPr>
        <w:t>A. Master Report Update Control</w:t>
      </w:r>
    </w:p>
    <w:p>
      <w:pPr>
        <w:pStyle w:val="Heading2"/>
        <w:keepNext/>
        <w:spacing w:before="100" w:after="20"/>
      </w:pPr>
      <w:r>
        <w:rPr>
          <w:rFonts w:ascii="Montserrat" w:hAnsi="Montserrat"/>
          <w:b/>
          <w:color w:val="000000"/>
          <w:sz w:val="19"/>
        </w:rPr>
        <w:t>A.1 Version History Entry</w:t>
      </w:r>
    </w:p>
    <w:tbl>
      <w:tblPr>
        <w:tblStyle w:val="TableGrid"/>
        <w:tblW w:type="dxa" w:w="10368"/>
        <w:tblLayout w:type="fixed"/>
        <w:tblLook w:firstColumn="1" w:firstRow="1" w:lastColumn="0" w:lastRow="0" w:noHBand="0" w:noVBand="1" w:val="04A0"/>
        <w:tblInd w:w="0" w:type="dxa"/>
      </w:tblPr>
      <w:tblGrid>
        <w:gridCol w:w="850"/>
        <w:gridCol w:w="1200"/>
        <w:gridCol w:w="1800"/>
        <w:gridCol w:w="1700"/>
        <w:gridCol w:w="1700"/>
        <w:gridCol w:w="3118"/>
      </w:tblGrid>
      <w:tr>
        <w:trPr>
          <w:cantSplit/>
          <w:tblHeader w:val="true"/>
        </w:trPr>
        <w:tc>
          <w:tcPr>
            <w:tcW w:type="dxa" w:w="8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5"/>
              </w:rPr>
              <w:t>Version</w:t>
            </w:r>
          </w:p>
        </w:tc>
        <w:tc>
          <w:tcPr>
            <w:tcW w:type="dxa" w:w="12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5"/>
              </w:rPr>
              <w:t>Date</w:t>
            </w:r>
          </w:p>
        </w:tc>
        <w:tc>
          <w:tcPr>
            <w:tcW w:type="dxa" w:w="18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5"/>
              </w:rPr>
              <w:t>Lab / Increment</w:t>
            </w:r>
          </w:p>
        </w:tc>
        <w:tc>
          <w:tcPr>
            <w:tcW w:type="dxa" w:w="17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5"/>
              </w:rPr>
              <w:t>Prepared By</w:t>
            </w:r>
          </w:p>
        </w:tc>
        <w:tc>
          <w:tcPr>
            <w:tcW w:type="dxa" w:w="17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5"/>
              </w:rPr>
              <w:t>Reviewed By</w:t>
            </w:r>
          </w:p>
        </w:tc>
        <w:tc>
          <w:tcPr>
            <w:tcW w:type="dxa" w:w="311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5"/>
              </w:rPr>
              <w:t>Change Summary</w:t>
            </w:r>
          </w:p>
        </w:tc>
      </w:tr>
      <w:tr>
        <w:trPr>
          <w:cantSplit/>
        </w:trPr>
        <w:tc>
          <w:tcPr>
            <w:tcW w:type="dxa" w:w="8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0.2</w:t>
            </w:r>
          </w:p>
        </w:tc>
        <w:tc>
          <w:tcPr>
            <w:tcW w:type="dxa" w:w="12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September 9, 2026</w:t>
            </w:r>
          </w:p>
        </w:tc>
        <w:tc>
          <w:tcPr>
            <w:tcW w:type="dxa" w:w="1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Lab 8 / Increment 2</w:t>
            </w:r>
          </w:p>
        </w:tc>
        <w:tc>
          <w:tcPr>
            <w:tcW w:type="dxa" w:w="1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Sample Auditors A, B, and C</w:t>
            </w:r>
          </w:p>
        </w:tc>
        <w:tc>
          <w:tcPr>
            <w:tcW w:type="dxa" w:w="1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Cross-reviewed by all sample auditors</w:t>
            </w:r>
          </w:p>
        </w:tc>
        <w:tc>
          <w:tcPr>
            <w:tcW w:type="dxa" w:w="31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Added the DSMS asset baseline, architecture, data flows, account inventory, reconciliation, and evidence additions.</w:t>
            </w:r>
          </w:p>
        </w:tc>
      </w:tr>
    </w:tbl>
    <w:p>
      <w:pPr>
        <w:spacing w:after="40"/>
      </w:pPr>
    </w:p>
    <w:p>
      <w:pPr>
        <w:pStyle w:val="Heading2"/>
        <w:keepNext/>
        <w:spacing w:before="100" w:after="20"/>
      </w:pPr>
      <w:r>
        <w:rPr>
          <w:rFonts w:ascii="Montserrat" w:hAnsi="Montserrat"/>
          <w:b/>
          <w:color w:val="000000"/>
          <w:sz w:val="19"/>
        </w:rPr>
        <w:t>A.2 Final Audit Report Build Register Update</w:t>
      </w:r>
    </w:p>
    <w:tbl>
      <w:tblPr>
        <w:tblStyle w:val="TableGrid"/>
        <w:tblW w:type="dxa" w:w="10368"/>
        <w:tblLayout w:type="fixed"/>
        <w:tblLook w:firstColumn="1" w:firstRow="1" w:lastColumn="0" w:lastRow="0" w:noHBand="0" w:noVBand="1" w:val="04A0"/>
        <w:tblInd w:w="0" w:type="dxa"/>
      </w:tblPr>
      <w:tblGrid>
        <w:gridCol w:w="650"/>
        <w:gridCol w:w="3800"/>
        <w:gridCol w:w="1950"/>
        <w:gridCol w:w="1900"/>
        <w:gridCol w:w="2068"/>
      </w:tblGrid>
      <w:tr>
        <w:trPr>
          <w:cantSplit/>
          <w:tblHeader w:val="true"/>
        </w:trPr>
        <w:tc>
          <w:tcPr>
            <w:tcW w:type="dxa" w:w="6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Lab</w:t>
            </w:r>
          </w:p>
        </w:tc>
        <w:tc>
          <w:tcPr>
            <w:tcW w:type="dxa" w:w="38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Report Section</w:t>
            </w:r>
          </w:p>
        </w:tc>
        <w:tc>
          <w:tcPr>
            <w:tcW w:type="dxa" w:w="19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Status</w:t>
            </w:r>
          </w:p>
        </w:tc>
        <w:tc>
          <w:tcPr>
            <w:tcW w:type="dxa" w:w="19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Version / Date</w:t>
            </w:r>
          </w:p>
        </w:tc>
        <w:tc>
          <w:tcPr>
            <w:tcW w:type="dxa" w:w="20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Instructor Action</w:t>
            </w:r>
          </w:p>
        </w:tc>
      </w:tr>
      <w:tr>
        <w:trPr>
          <w:cantSplit/>
        </w:trPr>
        <w:tc>
          <w:tcPr>
            <w:tcW w:type="dxa" w:w="6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7</w:t>
            </w:r>
          </w:p>
        </w:tc>
        <w:tc>
          <w:tcPr>
            <w:tcW w:type="dxa" w:w="3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Engagement Profile and Scope</w:t>
            </w:r>
          </w:p>
        </w:tc>
        <w:tc>
          <w:tcPr>
            <w:tcW w:type="dxa" w:w="19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Completed - sample</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0.1 / September 9, 2026</w:t>
            </w:r>
          </w:p>
        </w:tc>
        <w:tc>
          <w:tcPr>
            <w:tcW w:type="dxa" w:w="20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Reference example</w:t>
            </w:r>
          </w:p>
        </w:tc>
      </w:tr>
      <w:tr>
        <w:trPr>
          <w:cantSplit/>
        </w:trPr>
        <w:tc>
          <w:tcPr>
            <w:tcW w:type="dxa" w:w="6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8</w:t>
            </w:r>
          </w:p>
        </w:tc>
        <w:tc>
          <w:tcPr>
            <w:tcW w:type="dxa" w:w="3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Asset Inventory and System Documentation</w:t>
            </w:r>
          </w:p>
        </w:tc>
        <w:tc>
          <w:tcPr>
            <w:tcW w:type="dxa" w:w="19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Completed - sample</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0.2 / September 9, 2026</w:t>
            </w:r>
          </w:p>
        </w:tc>
        <w:tc>
          <w:tcPr>
            <w:tcW w:type="dxa" w:w="20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Reference example</w:t>
            </w:r>
          </w:p>
        </w:tc>
      </w:tr>
      <w:tr>
        <w:trPr>
          <w:cantSplit/>
        </w:trPr>
        <w:tc>
          <w:tcPr>
            <w:tcW w:type="dxa" w:w="6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9</w:t>
            </w:r>
          </w:p>
        </w:tc>
        <w:tc>
          <w:tcPr>
            <w:tcW w:type="dxa" w:w="3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Risk and Compliance Assessment</w:t>
            </w:r>
          </w:p>
        </w:tc>
        <w:tc>
          <w:tcPr>
            <w:tcW w:type="dxa" w:w="19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Reserved</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r>
          </w:p>
        </w:tc>
        <w:tc>
          <w:tcPr>
            <w:tcW w:type="dxa" w:w="20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Pending</w:t>
            </w:r>
          </w:p>
        </w:tc>
      </w:tr>
      <w:tr>
        <w:trPr>
          <w:cantSplit/>
        </w:trPr>
        <w:tc>
          <w:tcPr>
            <w:tcW w:type="dxa" w:w="6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10</w:t>
            </w:r>
          </w:p>
        </w:tc>
        <w:tc>
          <w:tcPr>
            <w:tcW w:type="dxa" w:w="3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Control Assessment and Gap Analysis</w:t>
            </w:r>
          </w:p>
        </w:tc>
        <w:tc>
          <w:tcPr>
            <w:tcW w:type="dxa" w:w="19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Reserved</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r>
          </w:p>
        </w:tc>
        <w:tc>
          <w:tcPr>
            <w:tcW w:type="dxa" w:w="20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Pending</w:t>
            </w:r>
          </w:p>
        </w:tc>
      </w:tr>
      <w:tr>
        <w:trPr>
          <w:cantSplit/>
        </w:trPr>
        <w:tc>
          <w:tcPr>
            <w:tcW w:type="dxa" w:w="6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11</w:t>
            </w:r>
          </w:p>
        </w:tc>
        <w:tc>
          <w:tcPr>
            <w:tcW w:type="dxa" w:w="3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Audit Findings and Recommendations</w:t>
            </w:r>
          </w:p>
        </w:tc>
        <w:tc>
          <w:tcPr>
            <w:tcW w:type="dxa" w:w="19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Reserved</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r>
          </w:p>
        </w:tc>
        <w:tc>
          <w:tcPr>
            <w:tcW w:type="dxa" w:w="20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Pending</w:t>
            </w:r>
          </w:p>
        </w:tc>
      </w:tr>
      <w:tr>
        <w:trPr>
          <w:cantSplit/>
        </w:trPr>
        <w:tc>
          <w:tcPr>
            <w:tcW w:type="dxa" w:w="6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12</w:t>
            </w:r>
          </w:p>
        </w:tc>
        <w:tc>
          <w:tcPr>
            <w:tcW w:type="dxa" w:w="3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AI Validation Portfolio and Final Report Integration</w:t>
            </w:r>
          </w:p>
        </w:tc>
        <w:tc>
          <w:tcPr>
            <w:tcW w:type="dxa" w:w="19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Reserved</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r>
          </w:p>
        </w:tc>
        <w:tc>
          <w:tcPr>
            <w:tcW w:type="dxa" w:w="20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Pending</w:t>
            </w:r>
          </w:p>
        </w:tc>
      </w:tr>
    </w:tbl>
    <w:p>
      <w:pPr>
        <w:spacing w:after="40"/>
      </w:pPr>
    </w:p>
    <w:p>
      <w:pPr>
        <w:pStyle w:val="Heading2"/>
        <w:keepNext/>
        <w:spacing w:before="100" w:after="20"/>
      </w:pPr>
      <w:r>
        <w:rPr>
          <w:rFonts w:ascii="Montserrat" w:hAnsi="Montserrat"/>
          <w:b/>
          <w:color w:val="000000"/>
          <w:sz w:val="19"/>
        </w:rPr>
        <w:t>A.3 Prior Feedback Closure</w:t>
      </w:r>
    </w:p>
    <w:tbl>
      <w:tblPr>
        <w:tblStyle w:val="TableGrid"/>
        <w:tblW w:type="dxa" w:w="10368"/>
        <w:tblLayout w:type="fixed"/>
        <w:tblLook w:firstColumn="1" w:firstRow="1" w:lastColumn="0" w:lastRow="0" w:noHBand="0" w:noVBand="1" w:val="04A0"/>
        <w:tblInd w:w="0" w:type="dxa"/>
      </w:tblPr>
      <w:tblGrid>
        <w:gridCol w:w="900"/>
        <w:gridCol w:w="3000"/>
        <w:gridCol w:w="2700"/>
        <w:gridCol w:w="1900"/>
        <w:gridCol w:w="1868"/>
      </w:tblGrid>
      <w:tr>
        <w:trPr>
          <w:cantSplit/>
          <w:tblHeader w:val="true"/>
        </w:trPr>
        <w:tc>
          <w:tcPr>
            <w:tcW w:type="dxa" w:w="9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Feedback ID</w:t>
            </w:r>
          </w:p>
        </w:tc>
        <w:tc>
          <w:tcPr>
            <w:tcW w:type="dxa" w:w="30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Prior Instructor Comment / Required Revision</w:t>
            </w:r>
          </w:p>
        </w:tc>
        <w:tc>
          <w:tcPr>
            <w:tcW w:type="dxa" w:w="27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Action Taken</w:t>
            </w:r>
          </w:p>
        </w:tc>
        <w:tc>
          <w:tcPr>
            <w:tcW w:type="dxa" w:w="19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Section / IDs Affected</w:t>
            </w:r>
          </w:p>
        </w:tc>
        <w:tc>
          <w:tcPr>
            <w:tcW w:type="dxa" w:w="18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Closed By / Date</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FB-08-01</w:t>
            </w:r>
          </w:p>
        </w:tc>
        <w:tc>
          <w:tcPr>
            <w:tcW w:type="dxa" w:w="30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Keep the scope limited to DSMS rather than enterprise-wide DLP.</w:t>
            </w:r>
          </w:p>
        </w:tc>
        <w:tc>
          <w:tcPr>
            <w:tcW w:type="dxa" w:w="2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Marked external endpoints and enterprise enforcement as excluded.</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AST, INT, DEP, FLOW; LIM-02</w:t>
            </w:r>
          </w:p>
        </w:tc>
        <w:tc>
          <w:tcPr>
            <w:tcW w:type="dxa" w:w="18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Sample Auditor A / September 9, 2026</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FB-08-02</w:t>
            </w:r>
          </w:p>
        </w:tc>
        <w:tc>
          <w:tcPr>
            <w:tcW w:type="dxa" w:w="30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Make trust boundaries explicit.</w:t>
            </w:r>
          </w:p>
        </w:tc>
        <w:tc>
          <w:tcPr>
            <w:tcW w:type="dxa" w:w="2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Added deployment links and identified each boundary crossing.</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Figure 2; DEP-01 to DEP-07</w:t>
            </w:r>
          </w:p>
        </w:tc>
        <w:tc>
          <w:tcPr>
            <w:tcW w:type="dxa" w:w="18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Sample Auditor B / September 9, 2026</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FB-08-03</w:t>
            </w:r>
          </w:p>
        </w:tc>
        <w:tc>
          <w:tcPr>
            <w:tcW w:type="dxa" w:w="30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Separate factual architecture from assumptions.</w:t>
            </w:r>
          </w:p>
        </w:tc>
        <w:tc>
          <w:tcPr>
            <w:tcW w:type="dxa" w:w="2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Tagged logical document storage and provider internals as evidence limitations.</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AST-06, INT-01 to INT-04; EVD-08-07</w:t>
            </w:r>
          </w:p>
        </w:tc>
        <w:tc>
          <w:tcPr>
            <w:tcW w:type="dxa" w:w="18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Sample Auditor C / September 9, 2026</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FB-08-04</w:t>
            </w:r>
          </w:p>
        </w:tc>
        <w:tc>
          <w:tcPr>
            <w:tcW w:type="dxa" w:w="30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Retain the High-class recall limitation.</w:t>
            </w:r>
          </w:p>
        </w:tc>
        <w:tc>
          <w:tcPr>
            <w:tcW w:type="dxa" w:w="2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Linked model evidence and human-review dependency to the asset baseline.</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AST-05; FLOW-02; EVD-07-05</w:t>
            </w:r>
          </w:p>
        </w:tc>
        <w:tc>
          <w:tcPr>
            <w:tcW w:type="dxa" w:w="18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Sample Auditor A / September 9, 2026</w:t>
            </w:r>
          </w:p>
        </w:tc>
      </w:tr>
    </w:tbl>
    <w:p>
      <w:pPr>
        <w:spacing w:after="40"/>
      </w:pPr>
    </w:p>
    <w:p>
      <w:pPr>
        <w:pStyle w:val="Heading1"/>
        <w:keepNext/>
        <w:spacing w:before="140" w:after="40"/>
      </w:pPr>
      <w:r>
        <w:rPr>
          <w:rFonts w:ascii="Montserrat" w:hAnsi="Montserrat"/>
          <w:b/>
          <w:color w:val="00B0F0"/>
          <w:sz w:val="20"/>
        </w:rPr>
        <w:t>XIII. Asset Inventory and System Documentation</w:t>
      </w:r>
    </w:p>
    <w:p>
      <w:pPr>
        <w:pStyle w:val="Heading2"/>
        <w:keepNext/>
        <w:spacing w:before="100" w:after="20"/>
      </w:pPr>
      <w:r>
        <w:rPr>
          <w:rFonts w:ascii="Montserrat" w:hAnsi="Montserrat"/>
          <w:b/>
          <w:color w:val="000000"/>
          <w:sz w:val="19"/>
        </w:rPr>
        <w:t>13.1 Asset Inventory</w:t>
      </w:r>
    </w:p>
    <w:tbl>
      <w:tblPr>
        <w:tblStyle w:val="TableGrid"/>
        <w:tblW w:type="dxa" w:w="10368"/>
        <w:tblLayout w:type="fixed"/>
        <w:tblLook w:firstColumn="1" w:firstRow="1" w:lastColumn="0" w:lastRow="0" w:noHBand="0" w:noVBand="1" w:val="04A0"/>
        <w:tblInd w:w="0" w:type="dxa"/>
      </w:tblPr>
      <w:tblGrid>
        <w:gridCol w:w="593"/>
        <w:gridCol w:w="1322"/>
        <w:gridCol w:w="1049"/>
        <w:gridCol w:w="1596"/>
        <w:gridCol w:w="1186"/>
        <w:gridCol w:w="1277"/>
        <w:gridCol w:w="1186"/>
        <w:gridCol w:w="1459"/>
        <w:gridCol w:w="700"/>
      </w:tblGrid>
      <w:tr>
        <w:trPr>
          <w:cantSplit/>
          <w:tblHeader w:val="true"/>
        </w:trPr>
        <w:tc>
          <w:tcPr>
            <w:tcW w:type="dxa" w:w="593"/>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AST ID</w:t>
            </w:r>
          </w:p>
        </w:tc>
        <w:tc>
          <w:tcPr>
            <w:tcW w:type="dxa" w:w="1322"/>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Asset / Component</w:t>
            </w:r>
          </w:p>
        </w:tc>
        <w:tc>
          <w:tcPr>
            <w:tcW w:type="dxa" w:w="1049"/>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Type</w:t>
            </w:r>
          </w:p>
        </w:tc>
        <w:tc>
          <w:tcPr>
            <w:tcW w:type="dxa" w:w="1596"/>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Purpose / Related MOD</w:t>
            </w:r>
          </w:p>
        </w:tc>
        <w:tc>
          <w:tcPr>
            <w:tcW w:type="dxa" w:w="1186"/>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Owner / Custodian</w:t>
            </w:r>
          </w:p>
        </w:tc>
        <w:tc>
          <w:tcPr>
            <w:tcW w:type="dxa" w:w="1277"/>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Location / Environment</w:t>
            </w:r>
          </w:p>
        </w:tc>
        <w:tc>
          <w:tcPr>
            <w:tcW w:type="dxa" w:w="1186"/>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Version / Status</w:t>
            </w:r>
          </w:p>
        </w:tc>
        <w:tc>
          <w:tcPr>
            <w:tcW w:type="dxa" w:w="1459"/>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Criticality / Sensitivity</w:t>
            </w:r>
          </w:p>
        </w:tc>
        <w:tc>
          <w:tcPr>
            <w:tcW w:type="dxa" w:w="7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Evidence</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AST-01</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React and Vite web client</w:t>
            </w:r>
          </w:p>
        </w:tc>
        <w:tc>
          <w:tcPr>
            <w:tcW w:type="dxa" w:w="10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Software</w:t>
            </w:r>
          </w:p>
        </w:tc>
        <w:tc>
          <w:tcPr>
            <w:tcW w:type="dxa" w:w="159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User interface, upload, search, dashboard, and preview / MOD-01, MOD-06, MOD-08</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ORG-08</w:t>
            </w:r>
          </w:p>
        </w:tc>
        <w:tc>
          <w:tcPr>
            <w:tcW w:type="dxa" w:w="127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Vercel hosted client / test deployment</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DSMS v1.0 / active</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Medium / Internal</w:t>
            </w:r>
          </w:p>
        </w:tc>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EVD-07-02, EVD-08-01</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AST-02</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Node and Express application API</w:t>
            </w:r>
          </w:p>
        </w:tc>
        <w:tc>
          <w:tcPr>
            <w:tcW w:type="dxa" w:w="10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Software/Service</w:t>
            </w:r>
          </w:p>
        </w:tc>
        <w:tc>
          <w:tcPr>
            <w:tcW w:type="dxa" w:w="159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Business logic, access decisions, audit events / MOD-01 to MOD-09</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ORG-04</w:t>
            </w:r>
          </w:p>
        </w:tc>
        <w:tc>
          <w:tcPr>
            <w:tcW w:type="dxa" w:w="127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Railway API / test deployment</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DSMS v1.0 / active</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High / Confidential</w:t>
            </w:r>
          </w:p>
        </w:tc>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EVD-07-02, EVD-08-01</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AST-03</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Prisma data access layer</w:t>
            </w:r>
          </w:p>
        </w:tc>
        <w:tc>
          <w:tcPr>
            <w:tcW w:type="dxa" w:w="10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Software</w:t>
            </w:r>
          </w:p>
        </w:tc>
        <w:tc>
          <w:tcPr>
            <w:tcW w:type="dxa" w:w="159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Controlled application-to-database access / MOD-03 to MOD-09</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ORG-04</w:t>
            </w:r>
          </w:p>
        </w:tc>
        <w:tc>
          <w:tcPr>
            <w:tcW w:type="dxa" w:w="127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API runtime</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Version in release manifest / active</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High / Internal</w:t>
            </w:r>
          </w:p>
        </w:tc>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EVD-08-01, EVD-08-02</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AST-04</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PostgreSQL database</w:t>
            </w:r>
          </w:p>
        </w:tc>
        <w:tc>
          <w:tcPr>
            <w:tcW w:type="dxa" w:w="10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Data/Service</w:t>
            </w:r>
          </w:p>
        </w:tc>
        <w:tc>
          <w:tcPr>
            <w:tcW w:type="dxa" w:w="159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Stores users, metadata, policies, access records, and logs</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ORG-02</w:t>
            </w:r>
          </w:p>
        </w:tc>
        <w:tc>
          <w:tcPr>
            <w:tcW w:type="dxa" w:w="127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Neon hosted database / test deployment</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Schema for DSMS v1.0 / active</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High / Restricted</w:t>
            </w:r>
          </w:p>
        </w:tc>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EVD-08-02, EVD-08-06</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AST-05</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TF-IDF and Logistic Regression model artifacts</w:t>
            </w:r>
          </w:p>
        </w:tc>
        <w:tc>
          <w:tcPr>
            <w:tcW w:type="dxa" w:w="10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Software/Data</w:t>
            </w:r>
          </w:p>
        </w:tc>
        <w:tc>
          <w:tcPr>
            <w:tcW w:type="dxa" w:w="159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Document sensitivity prediction and confidence scoring / MOD-03</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ORG-06</w:t>
            </w:r>
          </w:p>
        </w:tc>
        <w:tc>
          <w:tcPr>
            <w:tcW w:type="dxa" w:w="127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Controlled model package and analytical runtime</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Evaluated model / active</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High / Confidential</w:t>
            </w:r>
          </w:p>
        </w:tc>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EVD-07-05, EVD-08-03</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AST-06</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Document extraction and managed content storage</w:t>
            </w:r>
          </w:p>
        </w:tc>
        <w:tc>
          <w:tcPr>
            <w:tcW w:type="dxa" w:w="10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Software/Data</w:t>
            </w:r>
          </w:p>
        </w:tc>
        <w:tc>
          <w:tcPr>
            <w:tcW w:type="dxa" w:w="159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Extracts PDF, DOCX, TXT, log, configuration, and source-code content / MOD-02</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ORG-02</w:t>
            </w:r>
          </w:p>
        </w:tc>
        <w:tc>
          <w:tcPr>
            <w:tcW w:type="dxa" w:w="127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Logical DSMS storage boundary; implementation detail restricted</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DSMS v1.0 / active; location limited</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High / Restricted</w:t>
            </w:r>
          </w:p>
        </w:tc>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EVD-07-06, EVD-08-04</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AST-07</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RBAC, ABAC, and policy rules</w:t>
            </w:r>
          </w:p>
        </w:tc>
        <w:tc>
          <w:tcPr>
            <w:tcW w:type="dxa" w:w="10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Software/Document</w:t>
            </w:r>
          </w:p>
        </w:tc>
        <w:tc>
          <w:tcPr>
            <w:tcW w:type="dxa" w:w="159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Maps sensitivity to Public, Internal, Confidential, or Restricted access / MOD-04 to MOD-06</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ORG-02</w:t>
            </w:r>
          </w:p>
        </w:tc>
        <w:tc>
          <w:tcPr>
            <w:tcW w:type="dxa" w:w="127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API and approved policy configuration</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DSMS v1.0 / active</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High / Confidential</w:t>
            </w:r>
          </w:p>
        </w:tc>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EVD-07-04, EVD-08-05</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AST-08</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Activity and audit log store</w:t>
            </w:r>
          </w:p>
        </w:tc>
        <w:tc>
          <w:tcPr>
            <w:tcW w:type="dxa" w:w="10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Data</w:t>
            </w:r>
          </w:p>
        </w:tc>
        <w:tc>
          <w:tcPr>
            <w:tcW w:type="dxa" w:w="159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Records upload, review, request, approval, access, and administration events / MOD-07</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ORG-05</w:t>
            </w:r>
          </w:p>
        </w:tc>
        <w:tc>
          <w:tcPr>
            <w:tcW w:type="dxa" w:w="127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PostgreSQL logical log tables</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Active; retention evidence incomplete</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High / Confidential</w:t>
            </w:r>
          </w:p>
        </w:tc>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EVD-07-08, EVD-08-06</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AST-09</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Deployment configuration and secrets</w:t>
            </w:r>
          </w:p>
        </w:tc>
        <w:tc>
          <w:tcPr>
            <w:tcW w:type="dxa" w:w="10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Document/Configuration</w:t>
            </w:r>
          </w:p>
        </w:tc>
        <w:tc>
          <w:tcPr>
            <w:tcW w:type="dxa" w:w="159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Connects hosted client, API, database, and analytical services</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ORG-08</w:t>
            </w:r>
          </w:p>
        </w:tc>
        <w:tc>
          <w:tcPr>
            <w:tcW w:type="dxa" w:w="127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Controlled deployment platforms</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Active; values excluded</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High / Restricted</w:t>
            </w:r>
          </w:p>
        </w:tc>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EVD-07-02, EVD-08-07</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AST-10</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Research corpus and evaluation results</w:t>
            </w:r>
          </w:p>
        </w:tc>
        <w:tc>
          <w:tcPr>
            <w:tcW w:type="dxa" w:w="10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Data/Document</w:t>
            </w:r>
          </w:p>
        </w:tc>
        <w:tc>
          <w:tcPr>
            <w:tcW w:type="dxa" w:w="159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3,420-document training/evaluation basis and ISO/IEC 25010 results</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ORG-06</w:t>
            </w:r>
          </w:p>
        </w:tc>
        <w:tc>
          <w:tcPr>
            <w:tcW w:type="dxa" w:w="127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Controlled research repository</w:t>
            </w:r>
          </w:p>
        </w:tc>
        <w:tc>
          <w:tcPr>
            <w:tcW w:type="dxa" w:w="118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Final dissertation dataset and results</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High / Confidential</w:t>
            </w:r>
          </w:p>
        </w:tc>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EVD-07-05, EVD-07-09</w:t>
            </w:r>
          </w:p>
        </w:tc>
      </w:tr>
    </w:tbl>
    <w:p>
      <w:pPr>
        <w:spacing w:after="40"/>
      </w:pPr>
    </w:p>
    <w:p>
      <w:pPr>
        <w:pStyle w:val="Heading2"/>
        <w:keepNext/>
        <w:spacing w:before="100" w:after="20"/>
      </w:pPr>
      <w:r>
        <w:rPr>
          <w:rFonts w:ascii="Montserrat" w:hAnsi="Montserrat"/>
          <w:b/>
          <w:color w:val="000000"/>
          <w:sz w:val="19"/>
        </w:rPr>
        <w:t>13.2 External Services, Interfaces, and Dependencies</w:t>
      </w:r>
    </w:p>
    <w:tbl>
      <w:tblPr>
        <w:tblStyle w:val="TableGrid"/>
        <w:tblW w:type="dxa" w:w="10368"/>
        <w:tblLayout w:type="fixed"/>
        <w:tblLook w:firstColumn="1" w:firstRow="1" w:lastColumn="0" w:lastRow="0" w:noHBand="0" w:noVBand="1" w:val="04A0"/>
        <w:tblInd w:w="0" w:type="dxa"/>
      </w:tblPr>
      <w:tblGrid>
        <w:gridCol w:w="626"/>
        <w:gridCol w:w="1637"/>
        <w:gridCol w:w="1348"/>
        <w:gridCol w:w="1492"/>
        <w:gridCol w:w="1541"/>
        <w:gridCol w:w="1637"/>
        <w:gridCol w:w="1444"/>
        <w:gridCol w:w="643"/>
      </w:tblGrid>
      <w:tr>
        <w:trPr>
          <w:cantSplit/>
          <w:tblHeader w:val="true"/>
        </w:trPr>
        <w:tc>
          <w:tcPr>
            <w:tcW w:type="dxa" w:w="626"/>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ID</w:t>
            </w:r>
          </w:p>
        </w:tc>
        <w:tc>
          <w:tcPr>
            <w:tcW w:type="dxa" w:w="1637"/>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Service / Dependency</w:t>
            </w:r>
          </w:p>
        </w:tc>
        <w:tc>
          <w:tcPr>
            <w:tcW w:type="dxa" w:w="134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Provider / Owner</w:t>
            </w:r>
          </w:p>
        </w:tc>
        <w:tc>
          <w:tcPr>
            <w:tcW w:type="dxa" w:w="1492"/>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Source -&gt; Destination</w:t>
            </w:r>
          </w:p>
        </w:tc>
        <w:tc>
          <w:tcPr>
            <w:tcW w:type="dxa" w:w="1541"/>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Data / Function</w:t>
            </w:r>
          </w:p>
        </w:tc>
        <w:tc>
          <w:tcPr>
            <w:tcW w:type="dxa" w:w="1637"/>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Authentication / Protection</w:t>
            </w:r>
          </w:p>
        </w:tc>
        <w:tc>
          <w:tcPr>
            <w:tcW w:type="dxa" w:w="1444"/>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Availability / Failure Impact</w:t>
            </w:r>
          </w:p>
        </w:tc>
        <w:tc>
          <w:tcPr>
            <w:tcW w:type="dxa" w:w="643"/>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Evidence</w:t>
            </w:r>
          </w:p>
        </w:tc>
      </w:tr>
      <w:tr>
        <w:trPr>
          <w:cantSplit/>
        </w:trPr>
        <w:tc>
          <w:tcPr>
            <w:tcW w:type="dxa" w:w="62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INT-01</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Web-client hosting</w:t>
            </w:r>
          </w:p>
        </w:tc>
        <w:tc>
          <w:tcPr>
            <w:tcW w:type="dxa" w:w="134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Vercel / ORG-08</w:t>
            </w:r>
          </w:p>
        </w:tc>
        <w:tc>
          <w:tcPr>
            <w:tcW w:type="dxa" w:w="149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Browser -&gt; AST-01</w:t>
            </w:r>
          </w:p>
        </w:tc>
        <w:tc>
          <w:tcPr>
            <w:tcW w:type="dxa" w:w="154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Static client delivery</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HTTPS; provider account access</w:t>
            </w:r>
          </w:p>
        </w:tc>
        <w:tc>
          <w:tcPr>
            <w:tcW w:type="dxa" w:w="144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Client unavailable; direct API use not intended</w:t>
            </w:r>
          </w:p>
        </w:tc>
        <w:tc>
          <w:tcPr>
            <w:tcW w:type="dxa" w:w="64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EVD-07-02, EVD-08-01</w:t>
            </w:r>
          </w:p>
        </w:tc>
      </w:tr>
      <w:tr>
        <w:trPr>
          <w:cantSplit/>
        </w:trPr>
        <w:tc>
          <w:tcPr>
            <w:tcW w:type="dxa" w:w="62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INT-02</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API hosting</w:t>
            </w:r>
          </w:p>
        </w:tc>
        <w:tc>
          <w:tcPr>
            <w:tcW w:type="dxa" w:w="134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Railway / ORG-08</w:t>
            </w:r>
          </w:p>
        </w:tc>
        <w:tc>
          <w:tcPr>
            <w:tcW w:type="dxa" w:w="149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AST-01 -&gt; AST-02</w:t>
            </w:r>
          </w:p>
        </w:tc>
        <w:tc>
          <w:tcPr>
            <w:tcW w:type="dxa" w:w="154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DSMS API and business logic</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HTTPS; deployment credentials restricted</w:t>
            </w:r>
          </w:p>
        </w:tc>
        <w:tc>
          <w:tcPr>
            <w:tcW w:type="dxa" w:w="144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Core functions unavailable if service fails</w:t>
            </w:r>
          </w:p>
        </w:tc>
        <w:tc>
          <w:tcPr>
            <w:tcW w:type="dxa" w:w="64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EVD-07-02, EVD-08-01</w:t>
            </w:r>
          </w:p>
        </w:tc>
      </w:tr>
      <w:tr>
        <w:trPr>
          <w:cantSplit/>
        </w:trPr>
        <w:tc>
          <w:tcPr>
            <w:tcW w:type="dxa" w:w="62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INT-03</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Managed PostgreSQL</w:t>
            </w:r>
          </w:p>
        </w:tc>
        <w:tc>
          <w:tcPr>
            <w:tcW w:type="dxa" w:w="134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Neon / ORG-02</w:t>
            </w:r>
          </w:p>
        </w:tc>
        <w:tc>
          <w:tcPr>
            <w:tcW w:type="dxa" w:w="149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AST-02/AST-03 -&gt; AST-04</w:t>
            </w:r>
          </w:p>
        </w:tc>
        <w:tc>
          <w:tcPr>
            <w:tcW w:type="dxa" w:w="154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Metadata, access, policy, and log records</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TLS connection; secrets excluded</w:t>
            </w:r>
          </w:p>
        </w:tc>
        <w:tc>
          <w:tcPr>
            <w:tcW w:type="dxa" w:w="144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Processing and evidence unavailable; recovery depends on provider</w:t>
            </w:r>
          </w:p>
        </w:tc>
        <w:tc>
          <w:tcPr>
            <w:tcW w:type="dxa" w:w="64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EVD-08-02, EVD-08-07</w:t>
            </w:r>
          </w:p>
        </w:tc>
      </w:tr>
      <w:tr>
        <w:trPr>
          <w:cantSplit/>
        </w:trPr>
        <w:tc>
          <w:tcPr>
            <w:tcW w:type="dxa" w:w="62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INT-04</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MCP analytical services</w:t>
            </w:r>
          </w:p>
        </w:tc>
        <w:tc>
          <w:tcPr>
            <w:tcW w:type="dxa" w:w="134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Controlled analytical service / ORG-06</w:t>
            </w:r>
          </w:p>
        </w:tc>
        <w:tc>
          <w:tcPr>
            <w:tcW w:type="dxa" w:w="149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AST-02 -&gt; analytical endpoint</w:t>
            </w:r>
          </w:p>
        </w:tc>
        <w:tc>
          <w:tcPr>
            <w:tcW w:type="dxa" w:w="154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Classification or analytical support</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Authenticated service path; endpoint details restricted</w:t>
            </w:r>
          </w:p>
        </w:tc>
        <w:tc>
          <w:tcPr>
            <w:tcW w:type="dxa" w:w="144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Classification support degraded; manual review required</w:t>
            </w:r>
          </w:p>
        </w:tc>
        <w:tc>
          <w:tcPr>
            <w:tcW w:type="dxa" w:w="64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EVD-07-02, EVD-08-03</w:t>
            </w:r>
          </w:p>
        </w:tc>
      </w:tr>
      <w:tr>
        <w:trPr>
          <w:cantSplit/>
        </w:trPr>
        <w:tc>
          <w:tcPr>
            <w:tcW w:type="dxa" w:w="62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INT-05</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Browser and HTTPS channel</w:t>
            </w:r>
          </w:p>
        </w:tc>
        <w:tc>
          <w:tcPr>
            <w:tcW w:type="dxa" w:w="134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User device / ORG-07</w:t>
            </w:r>
          </w:p>
        </w:tc>
        <w:tc>
          <w:tcPr>
            <w:tcW w:type="dxa" w:w="149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USR roles -&gt; AST-01</w:t>
            </w:r>
          </w:p>
        </w:tc>
        <w:tc>
          <w:tcPr>
            <w:tcW w:type="dxa" w:w="154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Authentication, upload, preview, and access</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HTTPS; session controls</w:t>
            </w:r>
          </w:p>
        </w:tc>
        <w:tc>
          <w:tcPr>
            <w:tcW w:type="dxa" w:w="144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User cannot operate DSMS; unmanaged-device risk remains</w:t>
            </w:r>
          </w:p>
        </w:tc>
        <w:tc>
          <w:tcPr>
            <w:tcW w:type="dxa" w:w="64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EVD-08-04, EVD-08-05</w:t>
            </w:r>
          </w:p>
        </w:tc>
      </w:tr>
      <w:tr>
        <w:trPr>
          <w:cantSplit/>
        </w:trPr>
        <w:tc>
          <w:tcPr>
            <w:tcW w:type="dxa" w:w="62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INT-06</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Document parsing libraries</w:t>
            </w:r>
          </w:p>
        </w:tc>
        <w:tc>
          <w:tcPr>
            <w:tcW w:type="dxa" w:w="134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Open-source dependencies / ORG-08</w:t>
            </w:r>
          </w:p>
        </w:tc>
        <w:tc>
          <w:tcPr>
            <w:tcW w:type="dxa" w:w="149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AST-06 -&gt; MOD-02</w:t>
            </w:r>
          </w:p>
        </w:tc>
        <w:tc>
          <w:tcPr>
            <w:tcW w:type="dxa" w:w="154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Extract supported document text</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Application-level validation and dependency management</w:t>
            </w:r>
          </w:p>
        </w:tc>
        <w:tc>
          <w:tcPr>
            <w:tcW w:type="dxa" w:w="144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Malformed/unsupported files may fail extraction</w:t>
            </w:r>
          </w:p>
        </w:tc>
        <w:tc>
          <w:tcPr>
            <w:tcW w:type="dxa" w:w="64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EVD-08-04</w:t>
            </w:r>
          </w:p>
        </w:tc>
      </w:tr>
      <w:tr>
        <w:trPr>
          <w:cantSplit/>
        </w:trPr>
        <w:tc>
          <w:tcPr>
            <w:tcW w:type="dxa" w:w="626"/>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INT-07</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Office/PDF preview capability</w:t>
            </w:r>
          </w:p>
        </w:tc>
        <w:tc>
          <w:tcPr>
            <w:tcW w:type="dxa" w:w="134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Application library / ORG-08</w:t>
            </w:r>
          </w:p>
        </w:tc>
        <w:tc>
          <w:tcPr>
            <w:tcW w:type="dxa" w:w="149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AST-06 -&gt; MOD-06</w:t>
            </w:r>
          </w:p>
        </w:tc>
        <w:tc>
          <w:tcPr>
            <w:tcW w:type="dxa" w:w="154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Controlled document viewing and watermarking</w:t>
            </w:r>
          </w:p>
        </w:tc>
        <w:tc>
          <w:tcPr>
            <w:tcW w:type="dxa" w:w="163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Authorized session and policy decision</w:t>
            </w:r>
          </w:p>
        </w:tc>
        <w:tc>
          <w:tcPr>
            <w:tcW w:type="dxa" w:w="144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Preview may fail; direct export must remain controlled</w:t>
            </w:r>
          </w:p>
        </w:tc>
        <w:tc>
          <w:tcPr>
            <w:tcW w:type="dxa" w:w="64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EVD-08-04, EVD-08-05</w:t>
            </w:r>
          </w:p>
        </w:tc>
      </w:tr>
    </w:tbl>
    <w:p>
      <w:pPr>
        <w:spacing w:after="40"/>
      </w:pPr>
    </w:p>
    <w:p>
      <w:pPr>
        <w:pStyle w:val="Heading1"/>
        <w:keepNext/>
        <w:spacing w:before="140" w:after="40"/>
      </w:pPr>
      <w:r>
        <w:rPr>
          <w:rFonts w:ascii="Montserrat" w:hAnsi="Montserrat"/>
          <w:b/>
          <w:color w:val="00B0F0"/>
          <w:sz w:val="20"/>
        </w:rPr>
        <w:t>XIV. Architecture, Data Flow, and Trust Boundaries</w:t>
      </w:r>
    </w:p>
    <w:tbl>
      <w:tblPr>
        <w:tblStyle w:val="TableGrid"/>
        <w:tblW w:type="dxa" w:w="10368"/>
        <w:tblLayout w:type="fixed"/>
        <w:tblLook w:firstColumn="1" w:firstRow="1" w:lastColumn="0" w:lastRow="0" w:noHBand="0" w:noVBand="1" w:val="04A0"/>
        <w:tblInd w:w="0" w:type="dxa"/>
      </w:tblPr>
      <w:tblGrid>
        <w:gridCol w:w="10368"/>
      </w:tblGrid>
      <w:tr>
        <w:trPr>
          <w:cantSplit/>
          <w:tblHeader w:val="true"/>
        </w:trPr>
        <w:tc>
          <w:tcPr>
            <w:tcW w:type="dxa" w:w="103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7"/>
              </w:rPr>
              <w:t>Figure 2. System Context and Deployment Architecture</w:t>
            </w:r>
          </w:p>
        </w:tc>
      </w:tr>
      <w:tr>
        <w:trPr>
          <w:cantSplit/>
        </w:trPr>
        <w:tc>
          <w:tcPr>
            <w:tcW w:type="dxa" w:w="10368"/>
            <w:vAlign w:val="center"/>
            <w:tcMar>
              <w:top w:w="75" w:type="dxa"/>
              <w:start w:w="90" w:type="dxa"/>
              <w:bottom w:w="75" w:type="dxa"/>
              <w:end w:w="90" w:type="dxa"/>
            </w:tcMar>
          </w:tcPr>
          <w:p>
            <w:pPr>
              <w:jc w:val="center"/>
            </w:pPr>
            <w:r/>
            <w:r>
              <w:drawing>
                <wp:inline xmlns:a="http://schemas.openxmlformats.org/drawingml/2006/main" xmlns:pic="http://schemas.openxmlformats.org/drawingml/2006/picture">
                  <wp:extent cx="5989320" cy="3009709"/>
                  <wp:docPr id="1" name="Picture 1"/>
                  <wp:cNvGraphicFramePr>
                    <a:graphicFrameLocks noChangeAspect="1"/>
                  </wp:cNvGraphicFramePr>
                  <a:graphic>
                    <a:graphicData uri="http://schemas.openxmlformats.org/drawingml/2006/picture">
                      <pic:pic>
                        <pic:nvPicPr>
                          <pic:cNvPr id="0" name="dsms_architecture.png"/>
                          <pic:cNvPicPr/>
                        </pic:nvPicPr>
                        <pic:blipFill>
                          <a:blip r:embed="rId12"/>
                          <a:stretch>
                            <a:fillRect/>
                          </a:stretch>
                        </pic:blipFill>
                        <pic:spPr>
                          <a:xfrm>
                            <a:off x="0" y="0"/>
                            <a:ext cx="5989320" cy="3009709"/>
                          </a:xfrm>
                          <a:prstGeom prst="rect"/>
                        </pic:spPr>
                      </pic:pic>
                    </a:graphicData>
                  </a:graphic>
                </wp:inline>
              </w:drawing>
            </w:r>
          </w:p>
          <w:p>
            <w:pPr>
              <w:spacing w:before="40" w:after="0"/>
            </w:pPr>
            <w:r>
              <w:rPr>
                <w:rFonts w:ascii="Montserrat" w:hAnsi="Montserrat"/>
                <w:b w:val="0"/>
                <w:color w:val="000000"/>
                <w:sz w:val="13"/>
              </w:rPr>
              <w:t>Accessible description: Browser users cross an HTTPS boundary to the hosted React client, then the Railway API. The API reaches the Prisma and Neon data tier, classification assets, MCP analytics, activity logs, and controlled deployment configuration.</w:t>
            </w:r>
          </w:p>
        </w:tc>
      </w:tr>
    </w:tbl>
    <w:p>
      <w:pPr>
        <w:spacing w:after="60"/>
      </w:pPr>
    </w:p>
    <w:p>
      <w:pPr>
        <w:pStyle w:val="Heading2"/>
        <w:keepNext/>
        <w:spacing w:before="100" w:after="20"/>
      </w:pPr>
      <w:r>
        <w:rPr>
          <w:rFonts w:ascii="Montserrat" w:hAnsi="Montserrat"/>
          <w:b/>
          <w:color w:val="000000"/>
          <w:sz w:val="19"/>
        </w:rPr>
        <w:t>14.1 Architecture Node and Connection Register</w:t>
      </w:r>
    </w:p>
    <w:tbl>
      <w:tblPr>
        <w:tblStyle w:val="TableGrid"/>
        <w:tblW w:type="dxa" w:w="10368"/>
        <w:tblLayout w:type="fixed"/>
        <w:tblLook w:firstColumn="1" w:firstRow="1" w:lastColumn="0" w:lastRow="0" w:noHBand="0" w:noVBand="1" w:val="04A0"/>
        <w:tblInd w:w="0" w:type="dxa"/>
      </w:tblPr>
      <w:tblGrid>
        <w:gridCol w:w="900"/>
        <w:gridCol w:w="1600"/>
        <w:gridCol w:w="1600"/>
        <w:gridCol w:w="1500"/>
        <w:gridCol w:w="2100"/>
        <w:gridCol w:w="1300"/>
        <w:gridCol w:w="1368"/>
      </w:tblGrid>
      <w:tr>
        <w:trPr>
          <w:cantSplit/>
          <w:tblHeader w:val="true"/>
        </w:trPr>
        <w:tc>
          <w:tcPr>
            <w:tcW w:type="dxa" w:w="9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Node / Link ID</w:t>
            </w:r>
          </w:p>
        </w:tc>
        <w:tc>
          <w:tcPr>
            <w:tcW w:type="dxa" w:w="16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Source / Component</w:t>
            </w:r>
          </w:p>
        </w:tc>
        <w:tc>
          <w:tcPr>
            <w:tcW w:type="dxa" w:w="16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Destination</w:t>
            </w:r>
          </w:p>
        </w:tc>
        <w:tc>
          <w:tcPr>
            <w:tcW w:type="dxa" w:w="15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Direction / Channel</w:t>
            </w:r>
          </w:p>
        </w:tc>
        <w:tc>
          <w:tcPr>
            <w:tcW w:type="dxa" w:w="21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Purpose / Data</w:t>
            </w:r>
          </w:p>
        </w:tc>
        <w:tc>
          <w:tcPr>
            <w:tcW w:type="dxa" w:w="13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Trust Boundary?</w:t>
            </w:r>
          </w:p>
        </w:tc>
        <w:tc>
          <w:tcPr>
            <w:tcW w:type="dxa" w:w="13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Evidence / Assumption</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DEP-01</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USR-01 to USR-05</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AST-01 Vercel client</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Inbound / HTTPS</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User sessions, uploads, searches, previews</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Yes - user device to hosted client</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EVD-08-01, EVD-08-04</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DEP-02</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AST-01</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AST-02 Railway API</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Bidirectional / HTTPS API</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Commands, metadata, access decisions</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Yes - client to API</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EVD-08-01</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DEP-03</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AST-02 through AST-03</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AST-04 Neon database</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Bidirectional / TLS database connection</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Users, labels, requests, policies, logs</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Yes - API host to managed database</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EVD-08-02</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DEP-04</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AST-02</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AST-05 classification assets</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Internal call / controlled runtime</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Features, predicted label, confidence</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Yes if separate analytical runtime</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EVD-08-03; architecture assumption</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DEP-05</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AST-02</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INT-04 MCP analytics</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Outbound/API</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Analytical request and result</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Yes - application to analytical service</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EVD-07-02; endpoint detail limited</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DEP-06</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AST-02</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AST-08 log store</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Internal database write</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Event actor, time, object, decision, result</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No separate boundary if same database</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EVD-08-06</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DEP-07</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ORG-08 deployment operator</w:t>
            </w:r>
          </w:p>
        </w:tc>
        <w:tc>
          <w:tcPr>
            <w:tcW w:type="dxa" w:w="1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INT-01 to INT-04 and AST-09</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Administrative channel</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Release and configuration management</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Yes - privileged provider consoles</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EVD-08-07; provider records limited</w:t>
            </w:r>
          </w:p>
        </w:tc>
      </w:tr>
    </w:tbl>
    <w:p>
      <w:pPr>
        <w:spacing w:after="40"/>
      </w:pPr>
    </w:p>
    <w:tbl>
      <w:tblPr>
        <w:tblStyle w:val="TableGrid"/>
        <w:tblW w:type="dxa" w:w="10368"/>
        <w:tblLayout w:type="fixed"/>
        <w:tblLook w:firstColumn="1" w:firstRow="1" w:lastColumn="0" w:lastRow="0" w:noHBand="0" w:noVBand="1" w:val="04A0"/>
        <w:tblInd w:w="0" w:type="dxa"/>
      </w:tblPr>
      <w:tblGrid>
        <w:gridCol w:w="10368"/>
      </w:tblGrid>
      <w:tr>
        <w:trPr>
          <w:cantSplit/>
          <w:tblHeader w:val="true"/>
        </w:trPr>
        <w:tc>
          <w:tcPr>
            <w:tcW w:type="dxa" w:w="103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7"/>
              </w:rPr>
              <w:t>Figure 3. Key Data-Flow Diagram</w:t>
            </w:r>
          </w:p>
        </w:tc>
      </w:tr>
      <w:tr>
        <w:trPr>
          <w:cantSplit/>
        </w:trPr>
        <w:tc>
          <w:tcPr>
            <w:tcW w:type="dxa" w:w="10368"/>
            <w:vAlign w:val="center"/>
            <w:tcMar>
              <w:top w:w="75" w:type="dxa"/>
              <w:start w:w="90" w:type="dxa"/>
              <w:bottom w:w="75" w:type="dxa"/>
              <w:end w:w="90" w:type="dxa"/>
            </w:tcMar>
          </w:tcPr>
          <w:p>
            <w:pPr>
              <w:jc w:val="center"/>
            </w:pPr>
            <w:r/>
            <w:r>
              <w:drawing>
                <wp:inline xmlns:a="http://schemas.openxmlformats.org/drawingml/2006/main" xmlns:pic="http://schemas.openxmlformats.org/drawingml/2006/picture">
                  <wp:extent cx="5989320" cy="3175243"/>
                  <wp:docPr id="2" name="Picture 2"/>
                  <wp:cNvGraphicFramePr>
                    <a:graphicFrameLocks noChangeAspect="1"/>
                  </wp:cNvGraphicFramePr>
                  <a:graphic>
                    <a:graphicData uri="http://schemas.openxmlformats.org/drawingml/2006/picture">
                      <pic:pic>
                        <pic:nvPicPr>
                          <pic:cNvPr id="0" name="dsms_data_flow.png"/>
                          <pic:cNvPicPr/>
                        </pic:nvPicPr>
                        <pic:blipFill>
                          <a:blip r:embed="rId13"/>
                          <a:stretch>
                            <a:fillRect/>
                          </a:stretch>
                        </pic:blipFill>
                        <pic:spPr>
                          <a:xfrm>
                            <a:off x="0" y="0"/>
                            <a:ext cx="5989320" cy="3175243"/>
                          </a:xfrm>
                          <a:prstGeom prst="rect"/>
                        </pic:spPr>
                      </pic:pic>
                    </a:graphicData>
                  </a:graphic>
                </wp:inline>
              </w:drawing>
            </w:r>
          </w:p>
          <w:p>
            <w:pPr>
              <w:spacing w:before="40" w:after="0"/>
            </w:pPr>
            <w:r>
              <w:rPr>
                <w:rFonts w:ascii="Montserrat" w:hAnsi="Montserrat"/>
                <w:b w:val="0"/>
                <w:color w:val="000000"/>
                <w:sz w:val="13"/>
              </w:rPr>
              <w:t>Accessible description: A document moves from upload through extraction, classification and policy mapping, optional analyst review, access request and approval, controlled preview or sharing, and activity logging.</w:t>
            </w:r>
          </w:p>
        </w:tc>
      </w:tr>
    </w:tbl>
    <w:p>
      <w:pPr>
        <w:spacing w:after="60"/>
      </w:pPr>
    </w:p>
    <w:p>
      <w:pPr>
        <w:pStyle w:val="Heading2"/>
        <w:keepNext/>
        <w:spacing w:before="100" w:after="20"/>
      </w:pPr>
      <w:r>
        <w:rPr>
          <w:rFonts w:ascii="Montserrat" w:hAnsi="Montserrat"/>
          <w:b/>
          <w:color w:val="000000"/>
          <w:sz w:val="19"/>
        </w:rPr>
        <w:t>14.2 Data-Flow Register</w:t>
      </w:r>
    </w:p>
    <w:tbl>
      <w:tblPr>
        <w:tblStyle w:val="TableGrid"/>
        <w:tblW w:type="dxa" w:w="10368"/>
        <w:tblLayout w:type="fixed"/>
        <w:tblLook w:firstColumn="1" w:firstRow="1" w:lastColumn="0" w:lastRow="0" w:noHBand="0" w:noVBand="1" w:val="04A0"/>
        <w:tblInd w:w="0" w:type="dxa"/>
      </w:tblPr>
      <w:tblGrid>
        <w:gridCol w:w="680"/>
        <w:gridCol w:w="1555"/>
        <w:gridCol w:w="1263"/>
        <w:gridCol w:w="1749"/>
        <w:gridCol w:w="1361"/>
        <w:gridCol w:w="1652"/>
        <w:gridCol w:w="1263"/>
        <w:gridCol w:w="845"/>
      </w:tblGrid>
      <w:tr>
        <w:trPr>
          <w:cantSplit/>
          <w:tblHeader w:val="true"/>
        </w:trPr>
        <w:tc>
          <w:tcPr>
            <w:tcW w:type="dxa" w:w="68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FLOW ID</w:t>
            </w:r>
          </w:p>
        </w:tc>
        <w:tc>
          <w:tcPr>
            <w:tcW w:type="dxa" w:w="1555"/>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Transaction / Journey</w:t>
            </w:r>
          </w:p>
        </w:tc>
        <w:tc>
          <w:tcPr>
            <w:tcW w:type="dxa" w:w="1263"/>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Actor / Source</w:t>
            </w:r>
          </w:p>
        </w:tc>
        <w:tc>
          <w:tcPr>
            <w:tcW w:type="dxa" w:w="1749"/>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Validation / Processing</w:t>
            </w:r>
          </w:p>
        </w:tc>
        <w:tc>
          <w:tcPr>
            <w:tcW w:type="dxa" w:w="1361"/>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Store / Destination</w:t>
            </w:r>
          </w:p>
        </w:tc>
        <w:tc>
          <w:tcPr>
            <w:tcW w:type="dxa" w:w="1652"/>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Transmission / Protection</w:t>
            </w:r>
          </w:p>
        </w:tc>
        <w:tc>
          <w:tcPr>
            <w:tcW w:type="dxa" w:w="1263"/>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Retention / Disposal</w:t>
            </w:r>
          </w:p>
        </w:tc>
        <w:tc>
          <w:tcPr>
            <w:tcW w:type="dxa" w:w="845"/>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Related IDs</w:t>
            </w:r>
          </w:p>
        </w:tc>
      </w:tr>
      <w:tr>
        <w:trPr>
          <w:cantSplit/>
        </w:trPr>
        <w:tc>
          <w:tcPr>
            <w:tcW w:type="dxa" w:w="68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FLOW-01</w:t>
            </w:r>
          </w:p>
        </w:tc>
        <w:tc>
          <w:tcPr>
            <w:tcW w:type="dxa" w:w="155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Upload and initial classification</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USR-01 uploader</w:t>
            </w:r>
          </w:p>
        </w:tc>
        <w:tc>
          <w:tcPr>
            <w:tcW w:type="dxa" w:w="17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Type/size validation, extraction, preprocessing, TF-IDF, Logistic Regression</w:t>
            </w:r>
          </w:p>
        </w:tc>
        <w:tc>
          <w:tcPr>
            <w:tcW w:type="dxa" w:w="136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AST-04 metadata and AST-06 content</w:t>
            </w:r>
          </w:p>
        </w:tc>
        <w:tc>
          <w:tcPr>
            <w:tcW w:type="dxa" w:w="165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HTTPS; authenticated session; policy assignment</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Retention policy requires later confirmation</w:t>
            </w:r>
          </w:p>
        </w:tc>
        <w:tc>
          <w:tcPr>
            <w:tcW w:type="dxa" w:w="84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MOD-01 to MOD-03; EVD-08-04</w:t>
            </w:r>
          </w:p>
        </w:tc>
      </w:tr>
      <w:tr>
        <w:trPr>
          <w:cantSplit/>
        </w:trPr>
        <w:tc>
          <w:tcPr>
            <w:tcW w:type="dxa" w:w="68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FLOW-02</w:t>
            </w:r>
          </w:p>
        </w:tc>
        <w:tc>
          <w:tcPr>
            <w:tcW w:type="dxa" w:w="155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Low-confidence or high-risk review</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MOD-03 / ORG-06 analyst</w:t>
            </w:r>
          </w:p>
        </w:tc>
        <w:tc>
          <w:tcPr>
            <w:tcW w:type="dxa" w:w="17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Confidence and sensitivity trigger; analyst confirms or changes result</w:t>
            </w:r>
          </w:p>
        </w:tc>
        <w:tc>
          <w:tcPr>
            <w:tcW w:type="dxa" w:w="136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AST-04 review record</w:t>
            </w:r>
          </w:p>
        </w:tc>
        <w:tc>
          <w:tcPr>
            <w:tcW w:type="dxa" w:w="165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Role-controlled review; decision logged</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Review history retained with document record</w:t>
            </w:r>
          </w:p>
        </w:tc>
        <w:tc>
          <w:tcPr>
            <w:tcW w:type="dxa" w:w="84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MOD-04; AST-05; EVD-07-06</w:t>
            </w:r>
          </w:p>
        </w:tc>
      </w:tr>
      <w:tr>
        <w:trPr>
          <w:cantSplit/>
        </w:trPr>
        <w:tc>
          <w:tcPr>
            <w:tcW w:type="dxa" w:w="68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FLOW-03</w:t>
            </w:r>
          </w:p>
        </w:tc>
        <w:tc>
          <w:tcPr>
            <w:tcW w:type="dxa" w:w="155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Access request and approval</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USR-02 requester / ORG-03 approver</w:t>
            </w:r>
          </w:p>
        </w:tc>
        <w:tc>
          <w:tcPr>
            <w:tcW w:type="dxa" w:w="17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Role, department, owner, sensitivity, limits, and duration checks</w:t>
            </w:r>
          </w:p>
        </w:tc>
        <w:tc>
          <w:tcPr>
            <w:tcW w:type="dxa" w:w="136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AST-04 request/grant record</w:t>
            </w:r>
          </w:p>
        </w:tc>
        <w:tc>
          <w:tcPr>
            <w:tcW w:type="dxa" w:w="165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Authenticated workflow; least-privilege decision</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Grant expires or is revoked; evidence incomplete</w:t>
            </w:r>
          </w:p>
        </w:tc>
        <w:tc>
          <w:tcPr>
            <w:tcW w:type="dxa" w:w="84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MOD-05; AST-07; EVD-07-07</w:t>
            </w:r>
          </w:p>
        </w:tc>
      </w:tr>
      <w:tr>
        <w:trPr>
          <w:cantSplit/>
        </w:trPr>
        <w:tc>
          <w:tcPr>
            <w:tcW w:type="dxa" w:w="68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FLOW-04</w:t>
            </w:r>
          </w:p>
        </w:tc>
        <w:tc>
          <w:tcPr>
            <w:tcW w:type="dxa" w:w="155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Controlled document access</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Approved viewer</w:t>
            </w:r>
          </w:p>
        </w:tc>
        <w:tc>
          <w:tcPr>
            <w:tcW w:type="dxa" w:w="17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Policy and grant validation before preview/download/link</w:t>
            </w:r>
          </w:p>
        </w:tc>
        <w:tc>
          <w:tcPr>
            <w:tcW w:type="dxa" w:w="136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AST-06 content; AST-08 event</w:t>
            </w:r>
          </w:p>
        </w:tc>
        <w:tc>
          <w:tcPr>
            <w:tcW w:type="dxa" w:w="165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Authorized session; watermark and time limit where applicable</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Access event retained; link expires</w:t>
            </w:r>
          </w:p>
        </w:tc>
        <w:tc>
          <w:tcPr>
            <w:tcW w:type="dxa" w:w="84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MOD-06; EVD-08-05</w:t>
            </w:r>
          </w:p>
        </w:tc>
      </w:tr>
      <w:tr>
        <w:trPr>
          <w:cantSplit/>
        </w:trPr>
        <w:tc>
          <w:tcPr>
            <w:tcW w:type="dxa" w:w="68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FLOW-05</w:t>
            </w:r>
          </w:p>
        </w:tc>
        <w:tc>
          <w:tcPr>
            <w:tcW w:type="dxa" w:w="155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Semantic search</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Authorized user</w:t>
            </w:r>
          </w:p>
        </w:tc>
        <w:tc>
          <w:tcPr>
            <w:tcW w:type="dxa" w:w="17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Query processing plus authorization filtering</w:t>
            </w:r>
          </w:p>
        </w:tc>
        <w:tc>
          <w:tcPr>
            <w:tcW w:type="dxa" w:w="136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AST-04 metadata and allowed results</w:t>
            </w:r>
          </w:p>
        </w:tc>
        <w:tc>
          <w:tcPr>
            <w:tcW w:type="dxa" w:w="165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Results limited by identity and policy</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Search event retention requires confirmation</w:t>
            </w:r>
          </w:p>
        </w:tc>
        <w:tc>
          <w:tcPr>
            <w:tcW w:type="dxa" w:w="84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MOD-08; EVD-07-10</w:t>
            </w:r>
          </w:p>
        </w:tc>
      </w:tr>
      <w:tr>
        <w:trPr>
          <w:cantSplit/>
        </w:trPr>
        <w:tc>
          <w:tcPr>
            <w:tcW w:type="dxa" w:w="68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FLOW-06</w:t>
            </w:r>
          </w:p>
        </w:tc>
        <w:tc>
          <w:tcPr>
            <w:tcW w:type="dxa" w:w="155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Audit monitoring</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All modules -&gt; ORG-05 reviewer</w:t>
            </w:r>
          </w:p>
        </w:tc>
        <w:tc>
          <w:tcPr>
            <w:tcW w:type="dxa" w:w="174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Capture and filter administrative, review, access, and approval events</w:t>
            </w:r>
          </w:p>
        </w:tc>
        <w:tc>
          <w:tcPr>
            <w:tcW w:type="dxa" w:w="1361"/>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AST-08 log store and dashboard</w:t>
            </w:r>
          </w:p>
        </w:tc>
        <w:tc>
          <w:tcPr>
            <w:tcW w:type="dxa" w:w="165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Restricted monitoring view</w:t>
            </w:r>
          </w:p>
        </w:tc>
        <w:tc>
          <w:tcPr>
            <w:tcW w:type="dxa" w:w="126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Retention and completeness not independently verified</w:t>
            </w:r>
          </w:p>
        </w:tc>
        <w:tc>
          <w:tcPr>
            <w:tcW w:type="dxa" w:w="845"/>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MOD-07; EVD-08-06</w:t>
            </w:r>
          </w:p>
        </w:tc>
      </w:tr>
    </w:tbl>
    <w:p>
      <w:pPr>
        <w:spacing w:after="40"/>
      </w:pPr>
    </w:p>
    <w:p>
      <w:pPr>
        <w:pStyle w:val="Heading1"/>
        <w:keepNext/>
        <w:spacing w:before="140" w:after="40"/>
      </w:pPr>
      <w:r>
        <w:rPr>
          <w:rFonts w:ascii="Montserrat" w:hAnsi="Montserrat"/>
          <w:b/>
          <w:color w:val="00B0F0"/>
          <w:sz w:val="20"/>
        </w:rPr>
        <w:t>XV. Account, Privilege, and Documentation Reconciliation</w:t>
      </w:r>
    </w:p>
    <w:p>
      <w:pPr>
        <w:pStyle w:val="Heading2"/>
        <w:keepNext/>
        <w:spacing w:before="100" w:after="20"/>
      </w:pPr>
      <w:r>
        <w:rPr>
          <w:rFonts w:ascii="Montserrat" w:hAnsi="Montserrat"/>
          <w:b/>
          <w:color w:val="000000"/>
          <w:sz w:val="19"/>
        </w:rPr>
        <w:t>15.1 Account and Privilege Inventory</w:t>
      </w:r>
    </w:p>
    <w:tbl>
      <w:tblPr>
        <w:tblStyle w:val="TableGrid"/>
        <w:tblW w:type="dxa" w:w="10368"/>
        <w:tblLayout w:type="fixed"/>
        <w:tblLook w:firstColumn="1" w:firstRow="1" w:lastColumn="0" w:lastRow="0" w:noHBand="0" w:noVBand="1" w:val="04A0"/>
        <w:tblInd w:w="0" w:type="dxa"/>
      </w:tblPr>
      <w:tblGrid>
        <w:gridCol w:w="593"/>
        <w:gridCol w:w="1322"/>
        <w:gridCol w:w="1094"/>
        <w:gridCol w:w="1094"/>
        <w:gridCol w:w="1459"/>
        <w:gridCol w:w="1368"/>
        <w:gridCol w:w="1368"/>
        <w:gridCol w:w="1003"/>
        <w:gridCol w:w="1067"/>
      </w:tblGrid>
      <w:tr>
        <w:trPr>
          <w:cantSplit/>
          <w:tblHeader w:val="true"/>
        </w:trPr>
        <w:tc>
          <w:tcPr>
            <w:tcW w:type="dxa" w:w="593"/>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ACC ID</w:t>
            </w:r>
          </w:p>
        </w:tc>
        <w:tc>
          <w:tcPr>
            <w:tcW w:type="dxa" w:w="1322"/>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Account Type / Role</w:t>
            </w:r>
          </w:p>
        </w:tc>
        <w:tc>
          <w:tcPr>
            <w:tcW w:type="dxa" w:w="1094"/>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Related USR / ORG</w:t>
            </w:r>
          </w:p>
        </w:tc>
        <w:tc>
          <w:tcPr>
            <w:tcW w:type="dxa" w:w="1094"/>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Authentication</w:t>
            </w:r>
          </w:p>
        </w:tc>
        <w:tc>
          <w:tcPr>
            <w:tcW w:type="dxa" w:w="1459"/>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Privilege / Access</w:t>
            </w:r>
          </w:p>
        </w:tc>
        <w:tc>
          <w:tcPr>
            <w:tcW w:type="dxa" w:w="13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Provision / Approval</w:t>
            </w:r>
          </w:p>
        </w:tc>
        <w:tc>
          <w:tcPr>
            <w:tcW w:type="dxa" w:w="13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Review / Deactivate</w:t>
            </w:r>
          </w:p>
        </w:tc>
        <w:tc>
          <w:tcPr>
            <w:tcW w:type="dxa" w:w="1003"/>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Logging</w:t>
            </w:r>
          </w:p>
        </w:tc>
        <w:tc>
          <w:tcPr>
            <w:tcW w:type="dxa" w:w="1067"/>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3"/>
              </w:rPr>
              <w:t>Evidence / Concern</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ACC-01</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Operational uploader/requester</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USR-01 / ORG-07</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Named account and authenticated session</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Upload, own metadata, request access, permitted search</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Approved user onboarding</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Deactivate on role exit; periodic review planned</w:t>
            </w:r>
          </w:p>
        </w:tc>
        <w:tc>
          <w:tcPr>
            <w:tcW w:type="dxa" w:w="100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Upload, request, search, access</w:t>
            </w:r>
          </w:p>
        </w:tc>
        <w:tc>
          <w:tcPr>
            <w:tcW w:type="dxa" w:w="106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EVD-07-03, EVD-08-05</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ACC-02</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Analyst</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USR-03 / ORG-06</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Named account</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Review confidence exceptions and labels</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System owner approval</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Review assignment and role change</w:t>
            </w:r>
          </w:p>
        </w:tc>
        <w:tc>
          <w:tcPr>
            <w:tcW w:type="dxa" w:w="100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Review decision and rationale</w:t>
            </w:r>
          </w:p>
        </w:tc>
        <w:tc>
          <w:tcPr>
            <w:tcW w:type="dxa" w:w="106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EVD-07-03, EVD-07-06</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ACC-03</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Access approver</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USR-04 / ORG-03</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Named account</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Approve/reject within policy limits</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Business role authorization</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Periodic approval-role review</w:t>
            </w:r>
          </w:p>
        </w:tc>
        <w:tc>
          <w:tcPr>
            <w:tcW w:type="dxa" w:w="100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Approval, denial, duration</w:t>
            </w:r>
          </w:p>
        </w:tc>
        <w:tc>
          <w:tcPr>
            <w:tcW w:type="dxa" w:w="106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EVD-07-03, EVD-07-07</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ACC-04</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DSMS administrator</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USR-02 / ORG-04</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Privileged named account</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Manage users, roles, configuration, policies</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System owner approval</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Privileged review and prompt deactivation</w:t>
            </w:r>
          </w:p>
        </w:tc>
        <w:tc>
          <w:tcPr>
            <w:tcW w:type="dxa" w:w="100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Administrative changes</w:t>
            </w:r>
          </w:p>
        </w:tc>
        <w:tc>
          <w:tcPr>
            <w:tcW w:type="dxa" w:w="106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EVD-07-03; segregation evidence limited</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ACC-05</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Viewer</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USR-05 / ORG-07</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Named account</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View approved Public/Internal or granted content</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Role/department assignment</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Remove on transfer/exit</w:t>
            </w:r>
          </w:p>
        </w:tc>
        <w:tc>
          <w:tcPr>
            <w:tcW w:type="dxa" w:w="100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Preview, download, link use</w:t>
            </w:r>
          </w:p>
        </w:tc>
        <w:tc>
          <w:tcPr>
            <w:tcW w:type="dxa" w:w="106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EVD-08-05</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ACC-06</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API service identity</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AST-02 / ORG-08</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Deployment secret or managed credential</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Application-to-database/service calls</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Provisioned through deployment configuration</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Rotate/revoke per change; schedule not evidenced</w:t>
            </w:r>
          </w:p>
        </w:tc>
        <w:tc>
          <w:tcPr>
            <w:tcW w:type="dxa" w:w="100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Service errors and selected calls</w:t>
            </w:r>
          </w:p>
        </w:tc>
        <w:tc>
          <w:tcPr>
            <w:tcW w:type="dxa" w:w="106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EVD-08-07</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ACC-07</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Database connection identity</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AST-03/AST-04 / ORG-04</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Restricted connection string</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Application schema operations</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Controlled deployment secret</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Rotate and disable upon compromise</w:t>
            </w:r>
          </w:p>
        </w:tc>
        <w:tc>
          <w:tcPr>
            <w:tcW w:type="dxa" w:w="100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Database/provider logging not fully available</w:t>
            </w:r>
          </w:p>
        </w:tc>
        <w:tc>
          <w:tcPr>
            <w:tcW w:type="dxa" w:w="106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EVD-08-02, EVD-08-07</w:t>
            </w:r>
          </w:p>
        </w:tc>
      </w:tr>
      <w:tr>
        <w:trPr>
          <w:cantSplit/>
        </w:trPr>
        <w:tc>
          <w:tcPr>
            <w:tcW w:type="dxa" w:w="59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ACC-08</w:t>
            </w:r>
          </w:p>
        </w:tc>
        <w:tc>
          <w:tcPr>
            <w:tcW w:type="dxa" w:w="1322"/>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Deployment operator</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ORG-08</w:t>
            </w:r>
          </w:p>
        </w:tc>
        <w:tc>
          <w:tcPr>
            <w:tcW w:type="dxa" w:w="1094"/>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Provider-console accounts</w:t>
            </w:r>
          </w:p>
        </w:tc>
        <w:tc>
          <w:tcPr>
            <w:tcW w:type="dxa" w:w="1459"/>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Deploy client/API and manage environment variables</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Technical owner authorization</w:t>
            </w:r>
          </w:p>
        </w:tc>
        <w:tc>
          <w:tcPr>
            <w:tcW w:type="dxa" w:w="1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Review provider membership; evidence pending</w:t>
            </w:r>
          </w:p>
        </w:tc>
        <w:tc>
          <w:tcPr>
            <w:tcW w:type="dxa" w:w="1003"/>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Provider audit trail availability limited</w:t>
            </w:r>
          </w:p>
        </w:tc>
        <w:tc>
          <w:tcPr>
            <w:tcW w:type="dxa" w:w="1067"/>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EVD-08-07</w:t>
            </w:r>
          </w:p>
        </w:tc>
      </w:tr>
    </w:tbl>
    <w:p>
      <w:pPr>
        <w:spacing w:after="40"/>
      </w:pPr>
    </w:p>
    <w:p>
      <w:pPr>
        <w:pStyle w:val="Heading2"/>
        <w:keepNext/>
        <w:spacing w:before="100" w:after="20"/>
      </w:pPr>
      <w:r>
        <w:rPr>
          <w:rFonts w:ascii="Montserrat" w:hAnsi="Montserrat"/>
          <w:b/>
          <w:color w:val="000000"/>
          <w:sz w:val="19"/>
        </w:rPr>
        <w:t>15.2 Inventory and Diagram Reconciliation</w:t>
      </w:r>
    </w:p>
    <w:tbl>
      <w:tblPr>
        <w:tblStyle w:val="TableGrid"/>
        <w:tblW w:type="dxa" w:w="10368"/>
        <w:tblLayout w:type="fixed"/>
        <w:tblLook w:firstColumn="1" w:firstRow="1" w:lastColumn="0" w:lastRow="0" w:noHBand="0" w:noVBand="1" w:val="04A0"/>
        <w:tblInd w:w="0" w:type="dxa"/>
      </w:tblPr>
      <w:tblGrid>
        <w:gridCol w:w="900"/>
        <w:gridCol w:w="2500"/>
        <w:gridCol w:w="1900"/>
        <w:gridCol w:w="1200"/>
        <w:gridCol w:w="1900"/>
        <w:gridCol w:w="1968"/>
      </w:tblGrid>
      <w:tr>
        <w:trPr>
          <w:cantSplit/>
          <w:tblHeader w:val="true"/>
        </w:trPr>
        <w:tc>
          <w:tcPr>
            <w:tcW w:type="dxa" w:w="9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Check ID</w:t>
            </w:r>
          </w:p>
        </w:tc>
        <w:tc>
          <w:tcPr>
            <w:tcW w:type="dxa" w:w="25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Expected Population / Relationship</w:t>
            </w:r>
          </w:p>
        </w:tc>
        <w:tc>
          <w:tcPr>
            <w:tcW w:type="dxa" w:w="19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Source Compared</w:t>
            </w:r>
          </w:p>
        </w:tc>
        <w:tc>
          <w:tcPr>
            <w:tcW w:type="dxa" w:w="12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Result</w:t>
            </w:r>
          </w:p>
        </w:tc>
        <w:tc>
          <w:tcPr>
            <w:tcW w:type="dxa" w:w="19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Missing / Unmatched Item</w:t>
            </w:r>
          </w:p>
        </w:tc>
        <w:tc>
          <w:tcPr>
            <w:tcW w:type="dxa" w:w="19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Resolution / Limitation</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REC-08-01</w:t>
            </w:r>
          </w:p>
        </w:tc>
        <w:tc>
          <w:tcPr>
            <w:tcW w:type="dxa" w:w="2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All nine approved MOD records map to assets</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Lab 7 MOD register vs AST register</w:t>
            </w:r>
          </w:p>
        </w:tc>
        <w:tc>
          <w:tcPr>
            <w:tcW w:type="dxa" w:w="12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Complete</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None</w:t>
            </w:r>
          </w:p>
        </w:tc>
        <w:tc>
          <w:tcPr>
            <w:tcW w:type="dxa" w:w="19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MOD-09 supported through AST-02/AST-04/AST-07.</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REC-08-02</w:t>
            </w:r>
          </w:p>
        </w:tc>
        <w:tc>
          <w:tcPr>
            <w:tcW w:type="dxa" w:w="2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Seven DATA/INT entries map to stores and flows</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Lab 7 data register vs AST/FLOW</w:t>
            </w:r>
          </w:p>
        </w:tc>
        <w:tc>
          <w:tcPr>
            <w:tcW w:type="dxa" w:w="12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Exception</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Physical document storage implementation detail</w:t>
            </w:r>
          </w:p>
        </w:tc>
        <w:tc>
          <w:tcPr>
            <w:tcW w:type="dxa" w:w="19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Recorded as AST-06 and limitation; verify in Lab 10.</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REC-08-03</w:t>
            </w:r>
          </w:p>
        </w:tc>
        <w:tc>
          <w:tcPr>
            <w:tcW w:type="dxa" w:w="2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All user roles map to account types</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USR register vs ACC register</w:t>
            </w:r>
          </w:p>
        </w:tc>
        <w:tc>
          <w:tcPr>
            <w:tcW w:type="dxa" w:w="12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Complete</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None</w:t>
            </w:r>
          </w:p>
        </w:tc>
        <w:tc>
          <w:tcPr>
            <w:tcW w:type="dxa" w:w="19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Five user roles and three service/technical identities recorded.</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REC-08-04</w:t>
            </w:r>
          </w:p>
        </w:tc>
        <w:tc>
          <w:tcPr>
            <w:tcW w:type="dxa" w:w="2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Every external dependency maps to a DEP link</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INT register vs DEP register</w:t>
            </w:r>
          </w:p>
        </w:tc>
        <w:tc>
          <w:tcPr>
            <w:tcW w:type="dxa" w:w="12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Complete</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None</w:t>
            </w:r>
          </w:p>
        </w:tc>
        <w:tc>
          <w:tcPr>
            <w:tcW w:type="dxa" w:w="19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Provider and administrative paths cross-referenced.</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REC-08-05</w:t>
            </w:r>
          </w:p>
        </w:tc>
        <w:tc>
          <w:tcPr>
            <w:tcW w:type="dxa" w:w="2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Evidence supports version and environment</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Deployment records vs AST status</w:t>
            </w:r>
          </w:p>
        </w:tc>
        <w:tc>
          <w:tcPr>
            <w:tcW w:type="dxa" w:w="12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Exception</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Provider-internal versions and recovery controls</w:t>
            </w:r>
          </w:p>
        </w:tc>
        <w:tc>
          <w:tcPr>
            <w:tcW w:type="dxa" w:w="19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Do not infer; request EVD-08-07 and test in Lab 10.</w:t>
            </w:r>
          </w:p>
        </w:tc>
      </w:tr>
      <w:tr>
        <w:trPr>
          <w:cantSplit/>
        </w:trPr>
        <w:tc>
          <w:tcPr>
            <w:tcW w:type="dxa" w:w="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REC-08-06</w:t>
            </w:r>
          </w:p>
        </w:tc>
        <w:tc>
          <w:tcPr>
            <w:tcW w:type="dxa" w:w="2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Asset baseline remains within scope</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AST/INT vs SCP-01 to SCP-12</w:t>
            </w:r>
          </w:p>
        </w:tc>
        <w:tc>
          <w:tcPr>
            <w:tcW w:type="dxa" w:w="12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Complete</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Enterprise DLP endpoints excluded</w:t>
            </w:r>
          </w:p>
        </w:tc>
        <w:tc>
          <w:tcPr>
            <w:tcW w:type="dxa" w:w="19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Retained SCP-11/SCP-12 boundary.</w:t>
            </w:r>
          </w:p>
        </w:tc>
      </w:tr>
    </w:tbl>
    <w:p>
      <w:pPr>
        <w:spacing w:after="40"/>
      </w:pPr>
    </w:p>
    <w:p>
      <w:pPr>
        <w:pStyle w:val="Heading2"/>
        <w:keepNext/>
        <w:spacing w:before="100" w:after="20"/>
      </w:pPr>
      <w:r>
        <w:rPr>
          <w:rFonts w:ascii="Montserrat" w:hAnsi="Montserrat"/>
          <w:b/>
          <w:color w:val="000000"/>
          <w:sz w:val="19"/>
        </w:rPr>
        <w:t>15.3 Evidence Index Additions</w:t>
      </w:r>
    </w:p>
    <w:tbl>
      <w:tblPr>
        <w:tblStyle w:val="TableGrid"/>
        <w:tblW w:type="dxa" w:w="10368"/>
        <w:tblLayout w:type="fixed"/>
        <w:tblLook w:firstColumn="1" w:firstRow="1" w:lastColumn="0" w:lastRow="0" w:noHBand="0" w:noVBand="1" w:val="04A0"/>
        <w:tblInd w:w="0" w:type="dxa"/>
      </w:tblPr>
      <w:tblGrid>
        <w:gridCol w:w="850"/>
        <w:gridCol w:w="2100"/>
        <w:gridCol w:w="1500"/>
        <w:gridCol w:w="1300"/>
        <w:gridCol w:w="1800"/>
        <w:gridCol w:w="1500"/>
        <w:gridCol w:w="1318"/>
      </w:tblGrid>
      <w:tr>
        <w:trPr>
          <w:cantSplit/>
          <w:tblHeader w:val="true"/>
        </w:trPr>
        <w:tc>
          <w:tcPr>
            <w:tcW w:type="dxa" w:w="8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EVD ID</w:t>
            </w:r>
          </w:p>
        </w:tc>
        <w:tc>
          <w:tcPr>
            <w:tcW w:type="dxa" w:w="21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Evidence Title / Description</w:t>
            </w:r>
          </w:p>
        </w:tc>
        <w:tc>
          <w:tcPr>
            <w:tcW w:type="dxa" w:w="15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Source / Owner</w:t>
            </w:r>
          </w:p>
        </w:tc>
        <w:tc>
          <w:tcPr>
            <w:tcW w:type="dxa" w:w="13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Date / Version</w:t>
            </w:r>
          </w:p>
        </w:tc>
        <w:tc>
          <w:tcPr>
            <w:tcW w:type="dxa" w:w="18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Related IDs</w:t>
            </w:r>
          </w:p>
        </w:tc>
        <w:tc>
          <w:tcPr>
            <w:tcW w:type="dxa" w:w="15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Privacy Treatment</w:t>
            </w:r>
          </w:p>
        </w:tc>
        <w:tc>
          <w:tcPr>
            <w:tcW w:type="dxa" w:w="131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Reliability / Limitation</w:t>
            </w:r>
          </w:p>
        </w:tc>
      </w:tr>
      <w:tr>
        <w:trPr>
          <w:cantSplit/>
        </w:trPr>
        <w:tc>
          <w:tcPr>
            <w:tcW w:type="dxa" w:w="8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EVD-08-01</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DSMS deployment architecture and release manifest</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ORG-08 / controlled repository</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DSMS v1.0 / August 2026</w:t>
            </w:r>
          </w:p>
        </w:tc>
        <w:tc>
          <w:tcPr>
            <w:tcW w:type="dxa" w:w="1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AST-01 to AST-03; INT-01, INT-02; DEP-01, DEP-02</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Exclude URLs, tokens, and secrets</w:t>
            </w:r>
          </w:p>
        </w:tc>
        <w:tc>
          <w:tcPr>
            <w:tcW w:type="dxa" w:w="13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Available; reconcile with live configuration</w:t>
            </w:r>
          </w:p>
        </w:tc>
      </w:tr>
      <w:tr>
        <w:trPr>
          <w:cantSplit/>
        </w:trPr>
        <w:tc>
          <w:tcPr>
            <w:tcW w:type="dxa" w:w="8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EVD-08-02</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Database schema and Prisma model extract</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ORG-04</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DSMS v1.0</w:t>
            </w:r>
          </w:p>
        </w:tc>
        <w:tc>
          <w:tcPr>
            <w:tcW w:type="dxa" w:w="1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AST-03, AST-04, DEP-03, ACC-07</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Use schema only; no record contents</w:t>
            </w:r>
          </w:p>
        </w:tc>
        <w:tc>
          <w:tcPr>
            <w:tcW w:type="dxa" w:w="13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Available; production/provider controls not shown</w:t>
            </w:r>
          </w:p>
        </w:tc>
      </w:tr>
      <w:tr>
        <w:trPr>
          <w:cantSplit/>
        </w:trPr>
        <w:tc>
          <w:tcPr>
            <w:tcW w:type="dxa" w:w="8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EVD-08-03</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Classification component and model package inventory</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ORG-06</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Final evaluated model</w:t>
            </w:r>
          </w:p>
        </w:tc>
        <w:tc>
          <w:tcPr>
            <w:tcW w:type="dxa" w:w="1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AST-05, DEP-04, FLOW-01, FLOW-02</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Aggregated metrics; no raw sensitive text</w:t>
            </w:r>
          </w:p>
        </w:tc>
        <w:tc>
          <w:tcPr>
            <w:tcW w:type="dxa" w:w="13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Available; fit/transform sequence needs reperformance</w:t>
            </w:r>
          </w:p>
        </w:tc>
      </w:tr>
      <w:tr>
        <w:trPr>
          <w:cantSplit/>
        </w:trPr>
        <w:tc>
          <w:tcPr>
            <w:tcW w:type="dxa" w:w="8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EVD-08-04</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Sanitized upload, extraction, and preview demonstrations</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ORG-02 and ORG-08</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August 2026</w:t>
            </w:r>
          </w:p>
        </w:tc>
        <w:tc>
          <w:tcPr>
            <w:tcW w:type="dxa" w:w="1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AST-06, INT-06, INT-07, FLOW-01, FLOW-04</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Synthetic files and redacted titles</w:t>
            </w:r>
          </w:p>
        </w:tc>
        <w:tc>
          <w:tcPr>
            <w:tcW w:type="dxa" w:w="13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Available; sample only</w:t>
            </w:r>
          </w:p>
        </w:tc>
      </w:tr>
      <w:tr>
        <w:trPr>
          <w:cantSplit/>
        </w:trPr>
        <w:tc>
          <w:tcPr>
            <w:tcW w:type="dxa" w:w="8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EVD-08-05</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Role, policy, access, and controlled-sharing screenshots</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ORG-03 and ORG-04</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DSMS v1.0</w:t>
            </w:r>
          </w:p>
        </w:tc>
        <w:tc>
          <w:tcPr>
            <w:tcW w:type="dxa" w:w="1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AST-07; ACC-01 to ACC-05; FLOW-03, FLOW-04</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Test accounts; redact identifiers</w:t>
            </w:r>
          </w:p>
        </w:tc>
        <w:tc>
          <w:tcPr>
            <w:tcW w:type="dxa" w:w="13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Available; historical operating population limited</w:t>
            </w:r>
          </w:p>
        </w:tc>
      </w:tr>
      <w:tr>
        <w:trPr>
          <w:cantSplit/>
        </w:trPr>
        <w:tc>
          <w:tcPr>
            <w:tcW w:type="dxa" w:w="8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EVD-08-06</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Activity-log schema and sanitized event sample</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ORG-05</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Through August 31, 2026</w:t>
            </w:r>
          </w:p>
        </w:tc>
        <w:tc>
          <w:tcPr>
            <w:tcW w:type="dxa" w:w="1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AST-08, DEP-06, FLOW-06</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Redact identity, IP, object name, and token data</w:t>
            </w:r>
          </w:p>
        </w:tc>
        <w:tc>
          <w:tcPr>
            <w:tcW w:type="dxa" w:w="13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Partial; retention and completeness need testing</w:t>
            </w:r>
          </w:p>
        </w:tc>
      </w:tr>
      <w:tr>
        <w:trPr>
          <w:cantSplit/>
        </w:trPr>
        <w:tc>
          <w:tcPr>
            <w:tcW w:type="dxa" w:w="8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EVD-08-07</w:t>
            </w:r>
          </w:p>
        </w:tc>
        <w:tc>
          <w:tcPr>
            <w:tcW w:type="dxa" w:w="2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Deployment access, configuration, backup, and recovery evidence request</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ORG-08 and providers</w:t>
            </w:r>
          </w:p>
        </w:tc>
        <w:tc>
          <w:tcPr>
            <w:tcW w:type="dxa" w:w="1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Needed as of August 31, 2026</w:t>
            </w:r>
          </w:p>
        </w:tc>
        <w:tc>
          <w:tcPr>
            <w:tcW w:type="dxa" w:w="1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AST-09; INT-01 to INT-04; ACC-06 to ACC-08</w:t>
            </w:r>
          </w:p>
        </w:tc>
        <w:tc>
          <w:tcPr>
            <w:tcW w:type="dxa" w:w="1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No secret values; provider report only</w:t>
            </w:r>
          </w:p>
        </w:tc>
        <w:tc>
          <w:tcPr>
            <w:tcW w:type="dxa" w:w="13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1"/>
              </w:rPr>
              <w:t>Partially available; independent provider evidence pending</w:t>
            </w:r>
          </w:p>
        </w:tc>
      </w:tr>
    </w:tbl>
    <w:p>
      <w:pPr>
        <w:spacing w:after="40"/>
      </w:pPr>
    </w:p>
    <w:p>
      <w:pPr>
        <w:pStyle w:val="Heading1"/>
        <w:keepNext/>
        <w:spacing w:before="140" w:after="40"/>
      </w:pPr>
      <w:r>
        <w:rPr>
          <w:rFonts w:ascii="Montserrat" w:hAnsi="Montserrat"/>
          <w:b/>
          <w:color w:val="00B0F0"/>
          <w:sz w:val="20"/>
        </w:rPr>
        <w:t>XVI. Lab 8 Completion Checklist</w:t>
      </w:r>
    </w:p>
    <w:tbl>
      <w:tblPr>
        <w:tblStyle w:val="TableGrid"/>
        <w:tblW w:type="dxa" w:w="10368"/>
        <w:tblLayout w:type="fixed"/>
        <w:tblLook w:firstColumn="1" w:firstRow="1" w:lastColumn="0" w:lastRow="0" w:noHBand="0" w:noVBand="1" w:val="04A0"/>
        <w:tblInd w:w="0" w:type="dxa"/>
      </w:tblPr>
      <w:tblGrid>
        <w:gridCol w:w="800"/>
        <w:gridCol w:w="9568"/>
      </w:tblGrid>
      <w:tr>
        <w:trPr>
          <w:cantSplit/>
          <w:tblHeader w:val="true"/>
        </w:trPr>
        <w:tc>
          <w:tcPr>
            <w:tcW w:type="dxa" w:w="8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6"/>
              </w:rPr>
              <w:t>Check</w:t>
            </w:r>
          </w:p>
        </w:tc>
        <w:tc>
          <w:tcPr>
            <w:tcW w:type="dxa" w:w="95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6"/>
              </w:rPr>
              <w:t>Completion Requirement</w:t>
            </w:r>
          </w:p>
        </w:tc>
      </w:tr>
      <w:tr>
        <w:trPr>
          <w:cantSplit/>
        </w:trPr>
        <w:tc>
          <w:tcPr>
            <w:tcW w:type="dxa" w:w="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YES</w:t>
            </w:r>
          </w:p>
        </w:tc>
        <w:tc>
          <w:tcPr>
            <w:tcW w:type="dxa" w:w="95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All in-scope modules, environments, interfaces, data categories, and user roles map to assets.</w:t>
            </w:r>
          </w:p>
        </w:tc>
      </w:tr>
      <w:tr>
        <w:trPr>
          <w:cantSplit/>
        </w:trPr>
        <w:tc>
          <w:tcPr>
            <w:tcW w:type="dxa" w:w="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YES</w:t>
            </w:r>
          </w:p>
        </w:tc>
        <w:tc>
          <w:tcPr>
            <w:tcW w:type="dxa" w:w="95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Every diagram node and connection has an ID, source, direction, purpose, and evidence or stated assumption.</w:t>
            </w:r>
          </w:p>
        </w:tc>
      </w:tr>
      <w:tr>
        <w:trPr>
          <w:cantSplit/>
        </w:trPr>
        <w:tc>
          <w:tcPr>
            <w:tcW w:type="dxa" w:w="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YES</w:t>
            </w:r>
          </w:p>
        </w:tc>
        <w:tc>
          <w:tcPr>
            <w:tcW w:type="dxa" w:w="95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Critical data flows show input, validation, processing, storage, transmission, output, retention, disposal, and protection points.</w:t>
            </w:r>
          </w:p>
        </w:tc>
      </w:tr>
      <w:tr>
        <w:trPr>
          <w:cantSplit/>
        </w:trPr>
        <w:tc>
          <w:tcPr>
            <w:tcW w:type="dxa" w:w="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YES</w:t>
            </w:r>
          </w:p>
        </w:tc>
        <w:tc>
          <w:tcPr>
            <w:tcW w:type="dxa" w:w="95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User, privileged, service, database, and integration account types are documented without exposing secrets.</w:t>
            </w:r>
          </w:p>
        </w:tc>
      </w:tr>
      <w:tr>
        <w:trPr>
          <w:cantSplit/>
        </w:trPr>
        <w:tc>
          <w:tcPr>
            <w:tcW w:type="dxa" w:w="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YES</w:t>
            </w:r>
          </w:p>
        </w:tc>
        <w:tc>
          <w:tcPr>
            <w:tcW w:type="dxa" w:w="95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Asset, architecture, data-flow, account, and evidence records reconcile with the approved Lab 7 scope.</w:t>
            </w:r>
          </w:p>
        </w:tc>
      </w:tr>
      <w:tr>
        <w:trPr>
          <w:cantSplit/>
        </w:trPr>
        <w:tc>
          <w:tcPr>
            <w:tcW w:type="dxa" w:w="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YES</w:t>
            </w:r>
          </w:p>
        </w:tc>
        <w:tc>
          <w:tcPr>
            <w:tcW w:type="dxa" w:w="95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Version history, build register, feedback closure, cross-review, AI validation, and attestation are complete.</w:t>
            </w:r>
          </w:p>
        </w:tc>
      </w:tr>
    </w:tbl>
    <w:p>
      <w:pPr>
        <w:spacing w:after="40"/>
      </w:pPr>
    </w:p>
    <w:p>
      <w:pPr>
        <w:pStyle w:val="Heading1"/>
        <w:keepNext/>
        <w:pageBreakBefore/>
        <w:spacing w:before="140" w:after="40"/>
      </w:pPr>
      <w:r>
        <w:rPr>
          <w:rFonts w:ascii="Montserrat" w:hAnsi="Montserrat"/>
          <w:b/>
          <w:color w:val="00B0F0"/>
          <w:sz w:val="20"/>
        </w:rPr>
        <w:t>Z. Collaboration, AI Validation, and Instructor Review</w:t>
      </w:r>
    </w:p>
    <w:p>
      <w:pPr>
        <w:pStyle w:val="Heading2"/>
        <w:keepNext/>
        <w:spacing w:before="100" w:after="20"/>
      </w:pPr>
      <w:r>
        <w:rPr>
          <w:rFonts w:ascii="Montserrat" w:hAnsi="Montserrat"/>
          <w:b/>
          <w:color w:val="000000"/>
          <w:sz w:val="19"/>
        </w:rPr>
        <w:t>Z.1 Cross-Member Challenge Record</w:t>
      </w:r>
    </w:p>
    <w:tbl>
      <w:tblPr>
        <w:tblStyle w:val="TableGrid"/>
        <w:tblW w:type="dxa" w:w="10368"/>
        <w:tblLayout w:type="fixed"/>
        <w:tblLook w:firstColumn="1" w:firstRow="1" w:lastColumn="0" w:lastRow="0" w:noHBand="0" w:noVBand="1" w:val="04A0"/>
        <w:tblInd w:w="0" w:type="dxa"/>
      </w:tblPr>
      <w:tblGrid>
        <w:gridCol w:w="850"/>
        <w:gridCol w:w="1250"/>
        <w:gridCol w:w="1250"/>
        <w:gridCol w:w="1800"/>
        <w:gridCol w:w="2600"/>
        <w:gridCol w:w="2618"/>
      </w:tblGrid>
      <w:tr>
        <w:trPr>
          <w:cantSplit/>
          <w:tblHeader w:val="true"/>
        </w:trPr>
        <w:tc>
          <w:tcPr>
            <w:tcW w:type="dxa" w:w="8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Review ID</w:t>
            </w:r>
          </w:p>
        </w:tc>
        <w:tc>
          <w:tcPr>
            <w:tcW w:type="dxa" w:w="12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Prepared By</w:t>
            </w:r>
          </w:p>
        </w:tc>
        <w:tc>
          <w:tcPr>
            <w:tcW w:type="dxa" w:w="125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Reviewed By</w:t>
            </w:r>
          </w:p>
        </w:tc>
        <w:tc>
          <w:tcPr>
            <w:tcW w:type="dxa" w:w="18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Item / Section</w:t>
            </w:r>
          </w:p>
        </w:tc>
        <w:tc>
          <w:tcPr>
            <w:tcW w:type="dxa" w:w="26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Challenge or Check</w:t>
            </w:r>
          </w:p>
        </w:tc>
        <w:tc>
          <w:tcPr>
            <w:tcW w:type="dxa" w:w="261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Resolution / Evidence</w:t>
            </w:r>
          </w:p>
        </w:tc>
      </w:tr>
      <w:tr>
        <w:trPr>
          <w:cantSplit/>
        </w:trPr>
        <w:tc>
          <w:tcPr>
            <w:tcW w:type="dxa" w:w="8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REV-08-01</w:t>
            </w:r>
          </w:p>
        </w:tc>
        <w:tc>
          <w:tcPr>
            <w:tcW w:type="dxa" w:w="12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Sample Auditor A</w:t>
            </w:r>
          </w:p>
        </w:tc>
        <w:tc>
          <w:tcPr>
            <w:tcW w:type="dxa" w:w="12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Sample Auditor B</w:t>
            </w:r>
          </w:p>
        </w:tc>
        <w:tc>
          <w:tcPr>
            <w:tcW w:type="dxa" w:w="1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AST-06 and FLOW-01</w:t>
            </w:r>
          </w:p>
        </w:tc>
        <w:tc>
          <w:tcPr>
            <w:tcW w:type="dxa" w:w="2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Is document storage a verified physical component or only a logical boundary?</w:t>
            </w:r>
          </w:p>
        </w:tc>
        <w:tc>
          <w:tcPr>
            <w:tcW w:type="dxa" w:w="26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Retained logical wording and added EVD-08-04/EVD-08-07 limitation.</w:t>
            </w:r>
          </w:p>
        </w:tc>
      </w:tr>
      <w:tr>
        <w:trPr>
          <w:cantSplit/>
        </w:trPr>
        <w:tc>
          <w:tcPr>
            <w:tcW w:type="dxa" w:w="8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REV-08-02</w:t>
            </w:r>
          </w:p>
        </w:tc>
        <w:tc>
          <w:tcPr>
            <w:tcW w:type="dxa" w:w="12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Sample Auditor B</w:t>
            </w:r>
          </w:p>
        </w:tc>
        <w:tc>
          <w:tcPr>
            <w:tcW w:type="dxa" w:w="12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Sample Auditor C</w:t>
            </w:r>
          </w:p>
        </w:tc>
        <w:tc>
          <w:tcPr>
            <w:tcW w:type="dxa" w:w="1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DEP-04 and DEP-05</w:t>
            </w:r>
          </w:p>
        </w:tc>
        <w:tc>
          <w:tcPr>
            <w:tcW w:type="dxa" w:w="2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Are the model runtime and MCP service being treated as the same component?</w:t>
            </w:r>
          </w:p>
        </w:tc>
        <w:tc>
          <w:tcPr>
            <w:tcW w:type="dxa" w:w="26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Separated classification assets from the external analytical interface.</w:t>
            </w:r>
          </w:p>
        </w:tc>
      </w:tr>
      <w:tr>
        <w:trPr>
          <w:cantSplit/>
        </w:trPr>
        <w:tc>
          <w:tcPr>
            <w:tcW w:type="dxa" w:w="8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REV-08-03</w:t>
            </w:r>
          </w:p>
        </w:tc>
        <w:tc>
          <w:tcPr>
            <w:tcW w:type="dxa" w:w="12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Sample Auditor C</w:t>
            </w:r>
          </w:p>
        </w:tc>
        <w:tc>
          <w:tcPr>
            <w:tcW w:type="dxa" w:w="125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Sample Auditor A</w:t>
            </w:r>
          </w:p>
        </w:tc>
        <w:tc>
          <w:tcPr>
            <w:tcW w:type="dxa" w:w="18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ACC-04 and ACC-08</w:t>
            </w:r>
          </w:p>
        </w:tc>
        <w:tc>
          <w:tcPr>
            <w:tcW w:type="dxa" w:w="2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Are administrator and deployment privileges independently reviewed?</w:t>
            </w:r>
          </w:p>
        </w:tc>
        <w:tc>
          <w:tcPr>
            <w:tcW w:type="dxa" w:w="261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3"/>
              </w:rPr>
              <w:t>Recorded separate roles but disclosed missing operating evidence.</w:t>
            </w:r>
          </w:p>
        </w:tc>
      </w:tr>
    </w:tbl>
    <w:p>
      <w:pPr>
        <w:spacing w:after="40"/>
      </w:pPr>
    </w:p>
    <w:p>
      <w:pPr>
        <w:pStyle w:val="Heading2"/>
        <w:keepNext/>
        <w:spacing w:before="100" w:after="20"/>
      </w:pPr>
      <w:r>
        <w:rPr>
          <w:rFonts w:ascii="Montserrat" w:hAnsi="Montserrat"/>
          <w:b/>
          <w:color w:val="000000"/>
          <w:sz w:val="19"/>
        </w:rPr>
        <w:t>Z.2 Human-in-the-Loop AI Validation Log</w:t>
      </w:r>
    </w:p>
    <w:tbl>
      <w:tblPr>
        <w:tblStyle w:val="TableGrid"/>
        <w:tblW w:type="dxa" w:w="10368"/>
        <w:tblLayout w:type="fixed"/>
        <w:tblLook w:firstColumn="1" w:firstRow="1" w:lastColumn="0" w:lastRow="0" w:noHBand="0" w:noVBand="1" w:val="04A0"/>
        <w:tblInd w:w="0" w:type="dxa"/>
      </w:tblPr>
      <w:tblGrid>
        <w:gridCol w:w="700"/>
        <w:gridCol w:w="1400"/>
        <w:gridCol w:w="1900"/>
        <w:gridCol w:w="1900"/>
        <w:gridCol w:w="1100"/>
        <w:gridCol w:w="2200"/>
        <w:gridCol w:w="1168"/>
      </w:tblGrid>
      <w:tr>
        <w:trPr>
          <w:cantSplit/>
          <w:tblHeader w:val="true"/>
        </w:trPr>
        <w:tc>
          <w:tcPr>
            <w:tcW w:type="dxa" w:w="7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AI ID</w:t>
            </w:r>
          </w:p>
        </w:tc>
        <w:tc>
          <w:tcPr>
            <w:tcW w:type="dxa" w:w="14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Tool / Purpose</w:t>
            </w:r>
          </w:p>
        </w:tc>
        <w:tc>
          <w:tcPr>
            <w:tcW w:type="dxa" w:w="19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Material Suggestion</w:t>
            </w:r>
          </w:p>
        </w:tc>
        <w:tc>
          <w:tcPr>
            <w:tcW w:type="dxa" w:w="19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Evidence / Criteria Checked</w:t>
            </w:r>
          </w:p>
        </w:tc>
        <w:tc>
          <w:tcPr>
            <w:tcW w:type="dxa" w:w="11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Decision</w:t>
            </w:r>
          </w:p>
        </w:tc>
        <w:tc>
          <w:tcPr>
            <w:tcW w:type="dxa" w:w="22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Correction / Rationale</w:t>
            </w:r>
          </w:p>
        </w:tc>
        <w:tc>
          <w:tcPr>
            <w:tcW w:type="dxa" w:w="11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4"/>
              </w:rPr>
              <w:t>Privacy Check</w:t>
            </w:r>
          </w:p>
        </w:tc>
      </w:tr>
      <w:tr>
        <w:trPr>
          <w:cantSplit/>
        </w:trPr>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AI-08-01</w:t>
            </w:r>
          </w:p>
        </w:tc>
        <w:tc>
          <w:tcPr>
            <w:tcW w:type="dxa" w:w="14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ChatGPT / organize asset candidates</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Treat every software library as a critical asset.</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SCP register, MOD register, EVD-08-01</w:t>
            </w:r>
          </w:p>
        </w:tc>
        <w:tc>
          <w:tcPr>
            <w:tcW w:type="dxa" w:w="1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Revise</w:t>
            </w:r>
          </w:p>
        </w:tc>
        <w:tc>
          <w:tcPr>
            <w:tcW w:type="dxa" w:w="22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Included only components material to DSMS operation, security, evidence, or dependency.</w:t>
            </w:r>
          </w:p>
        </w:tc>
        <w:tc>
          <w:tcPr>
            <w:tcW w:type="dxa" w:w="11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No sensitive data entered.</w:t>
            </w:r>
          </w:p>
        </w:tc>
      </w:tr>
      <w:tr>
        <w:trPr>
          <w:cantSplit/>
        </w:trPr>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AI-08-02</w:t>
            </w:r>
          </w:p>
        </w:tc>
        <w:tc>
          <w:tcPr>
            <w:tcW w:type="dxa" w:w="14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ChatGPT / draft architecture labels</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Assume a separate object-storage provider.</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EVD-07-02, EVD-08-01, EVD-08-04</w:t>
            </w:r>
          </w:p>
        </w:tc>
        <w:tc>
          <w:tcPr>
            <w:tcW w:type="dxa" w:w="1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Reject</w:t>
            </w:r>
          </w:p>
        </w:tc>
        <w:tc>
          <w:tcPr>
            <w:tcW w:type="dxa" w:w="22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Used logical AST-06 because a separate provider was not evidenced.</w:t>
            </w:r>
          </w:p>
        </w:tc>
        <w:tc>
          <w:tcPr>
            <w:tcW w:type="dxa" w:w="11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Used system-level descriptions only.</w:t>
            </w:r>
          </w:p>
        </w:tc>
      </w:tr>
      <w:tr>
        <w:trPr>
          <w:cantSplit/>
        </w:trPr>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AI-08-03</w:t>
            </w:r>
          </w:p>
        </w:tc>
        <w:tc>
          <w:tcPr>
            <w:tcW w:type="dxa" w:w="14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ChatGPT / check reconciliation</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Mark provider backup controls effective.</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EVD-08-07 and scope limitations</w:t>
            </w:r>
          </w:p>
        </w:tc>
        <w:tc>
          <w:tcPr>
            <w:tcW w:type="dxa" w:w="1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Reject</w:t>
            </w:r>
          </w:p>
        </w:tc>
        <w:tc>
          <w:tcPr>
            <w:tcW w:type="dxa" w:w="22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Provider recovery remains not determined pending evidence and testing.</w:t>
            </w:r>
          </w:p>
        </w:tc>
        <w:tc>
          <w:tcPr>
            <w:tcW w:type="dxa" w:w="11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No provider credentials used.</w:t>
            </w:r>
          </w:p>
        </w:tc>
      </w:tr>
      <w:tr>
        <w:trPr>
          <w:cantSplit/>
        </w:trPr>
        <w:tc>
          <w:tcPr>
            <w:tcW w:type="dxa" w:w="7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AI-08-04</w:t>
            </w:r>
          </w:p>
        </w:tc>
        <w:tc>
          <w:tcPr>
            <w:tcW w:type="dxa" w:w="14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ChatGPT / improve data-flow wording</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Use stable IDs for actors, flows, stores, and controls.</w:t>
            </w:r>
          </w:p>
        </w:tc>
        <w:tc>
          <w:tcPr>
            <w:tcW w:type="dxa" w:w="19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Lab 7 IDs and EVD-08 records</w:t>
            </w:r>
          </w:p>
        </w:tc>
        <w:tc>
          <w:tcPr>
            <w:tcW w:type="dxa" w:w="11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Accept</w:t>
            </w:r>
          </w:p>
        </w:tc>
        <w:tc>
          <w:tcPr>
            <w:tcW w:type="dxa" w:w="22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Accepted after human review and cross-member reconciliation.</w:t>
            </w:r>
          </w:p>
        </w:tc>
        <w:tc>
          <w:tcPr>
            <w:tcW w:type="dxa" w:w="11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2"/>
              </w:rPr>
              <w:t>No raw documents entered.</w:t>
            </w:r>
          </w:p>
        </w:tc>
      </w:tr>
    </w:tbl>
    <w:p>
      <w:pPr>
        <w:spacing w:after="40"/>
      </w:pPr>
    </w:p>
    <w:p>
      <w:pPr>
        <w:pStyle w:val="Heading2"/>
        <w:keepNext/>
        <w:spacing w:before="100" w:after="20"/>
      </w:pPr>
      <w:r>
        <w:rPr>
          <w:rFonts w:ascii="Montserrat" w:hAnsi="Montserrat"/>
          <w:b/>
          <w:color w:val="000000"/>
          <w:sz w:val="19"/>
        </w:rPr>
        <w:t>Z.3 Group Attestation</w:t>
      </w:r>
    </w:p>
    <w:p>
      <w:pPr>
        <w:spacing w:after="80" w:line="240" w:lineRule="auto" w:before="60"/>
      </w:pPr>
      <w:r>
        <w:rPr>
          <w:rFonts w:ascii="Montserrat" w:hAnsi="Montserrat"/>
          <w:b w:val="0"/>
          <w:color w:val="000000"/>
          <w:sz w:val="16"/>
        </w:rPr>
        <w:t>This instructor reference sample demonstrates the expected Lab 8 attestation. Student groups must certify that their report reflects their own identified capstone build and authorized evidence, that all members completed assigned work and cross-review, that confidential information was protected, that AI output was not treated as audit evidence, and that material limitations were disclosed.</w:t>
      </w:r>
    </w:p>
    <w:tbl>
      <w:tblPr>
        <w:tblStyle w:val="TableGrid"/>
        <w:tblW w:type="dxa" w:w="10368"/>
        <w:tblLayout w:type="fixed"/>
        <w:tblLook w:firstColumn="1" w:firstRow="1" w:lastColumn="0" w:lastRow="0" w:noHBand="0" w:noVBand="1" w:val="04A0"/>
        <w:tblInd w:w="0" w:type="dxa"/>
      </w:tblPr>
      <w:tblGrid>
        <w:gridCol w:w="1400"/>
        <w:gridCol w:w="3000"/>
        <w:gridCol w:w="3600"/>
        <w:gridCol w:w="2368"/>
      </w:tblGrid>
      <w:tr>
        <w:trPr>
          <w:cantSplit/>
          <w:tblHeader w:val="true"/>
        </w:trPr>
        <w:tc>
          <w:tcPr>
            <w:tcW w:type="dxa" w:w="14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6"/>
              </w:rPr>
              <w:t>Member</w:t>
            </w:r>
          </w:p>
        </w:tc>
        <w:tc>
          <w:tcPr>
            <w:tcW w:type="dxa" w:w="30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6"/>
              </w:rPr>
              <w:t>Printed Name</w:t>
            </w:r>
          </w:p>
        </w:tc>
        <w:tc>
          <w:tcPr>
            <w:tcW w:type="dxa" w:w="36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6"/>
              </w:rPr>
              <w:t>Signature</w:t>
            </w:r>
          </w:p>
        </w:tc>
        <w:tc>
          <w:tcPr>
            <w:tcW w:type="dxa" w:w="23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6"/>
              </w:rPr>
              <w:t>Date</w:t>
            </w:r>
          </w:p>
        </w:tc>
      </w:tr>
      <w:tr>
        <w:trPr>
          <w:cantSplit/>
        </w:trPr>
        <w:tc>
          <w:tcPr>
            <w:tcW w:type="dxa" w:w="14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Member 1</w:t>
            </w:r>
          </w:p>
        </w:tc>
        <w:tc>
          <w:tcPr>
            <w:tcW w:type="dxa" w:w="30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Sample Auditor A</w:t>
            </w:r>
          </w:p>
        </w:tc>
        <w:tc>
          <w:tcPr>
            <w:tcW w:type="dxa" w:w="3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Reference sample - not signed</w:t>
            </w:r>
          </w:p>
        </w:tc>
        <w:tc>
          <w:tcPr>
            <w:tcW w:type="dxa" w:w="2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September 9, 2026</w:t>
            </w:r>
          </w:p>
        </w:tc>
      </w:tr>
      <w:tr>
        <w:trPr>
          <w:cantSplit/>
        </w:trPr>
        <w:tc>
          <w:tcPr>
            <w:tcW w:type="dxa" w:w="14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Member 2</w:t>
            </w:r>
          </w:p>
        </w:tc>
        <w:tc>
          <w:tcPr>
            <w:tcW w:type="dxa" w:w="30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Sample Auditor B</w:t>
            </w:r>
          </w:p>
        </w:tc>
        <w:tc>
          <w:tcPr>
            <w:tcW w:type="dxa" w:w="3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Reference sample - not signed</w:t>
            </w:r>
          </w:p>
        </w:tc>
        <w:tc>
          <w:tcPr>
            <w:tcW w:type="dxa" w:w="2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September 9, 2026</w:t>
            </w:r>
          </w:p>
        </w:tc>
      </w:tr>
      <w:tr>
        <w:trPr>
          <w:cantSplit/>
        </w:trPr>
        <w:tc>
          <w:tcPr>
            <w:tcW w:type="dxa" w:w="14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Member 3</w:t>
            </w:r>
          </w:p>
        </w:tc>
        <w:tc>
          <w:tcPr>
            <w:tcW w:type="dxa" w:w="30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Sample Auditor C</w:t>
            </w:r>
          </w:p>
        </w:tc>
        <w:tc>
          <w:tcPr>
            <w:tcW w:type="dxa" w:w="36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Reference sample - not signed</w:t>
            </w:r>
          </w:p>
        </w:tc>
        <w:tc>
          <w:tcPr>
            <w:tcW w:type="dxa" w:w="23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September 9, 2026</w:t>
            </w:r>
          </w:p>
        </w:tc>
      </w:tr>
    </w:tbl>
    <w:p>
      <w:pPr>
        <w:spacing w:after="40"/>
      </w:pPr>
    </w:p>
    <w:p>
      <w:pPr>
        <w:pStyle w:val="Heading2"/>
        <w:keepNext/>
        <w:pageBreakBefore/>
        <w:spacing w:before="100" w:after="20"/>
      </w:pPr>
      <w:r>
        <w:rPr>
          <w:rFonts w:ascii="Montserrat" w:hAnsi="Montserrat"/>
          <w:b/>
          <w:color w:val="000000"/>
          <w:sz w:val="19"/>
        </w:rPr>
        <w:t>Z.4 Instructor Review</w:t>
      </w:r>
    </w:p>
    <w:tbl>
      <w:tblPr>
        <w:tblStyle w:val="TableGrid"/>
        <w:tblW w:type="dxa" w:w="10368"/>
        <w:tblLayout w:type="fixed"/>
        <w:tblLook w:firstColumn="1" w:firstRow="1" w:lastColumn="0" w:lastRow="0" w:noHBand="0" w:noVBand="1" w:val="04A0"/>
        <w:tblInd w:w="0" w:type="dxa"/>
      </w:tblPr>
      <w:tblGrid>
        <w:gridCol w:w="3500"/>
        <w:gridCol w:w="2300"/>
        <w:gridCol w:w="4568"/>
      </w:tblGrid>
      <w:tr>
        <w:trPr>
          <w:cantSplit/>
          <w:tblHeader w:val="true"/>
        </w:trPr>
        <w:tc>
          <w:tcPr>
            <w:tcW w:type="dxa" w:w="35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5"/>
              </w:rPr>
              <w:t>Review Area</w:t>
            </w:r>
          </w:p>
        </w:tc>
        <w:tc>
          <w:tcPr>
            <w:tcW w:type="dxa" w:w="2300"/>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5"/>
              </w:rPr>
              <w:t>Status</w:t>
            </w:r>
          </w:p>
        </w:tc>
        <w:tc>
          <w:tcPr>
            <w:tcW w:type="dxa" w:w="4568"/>
            <w:vAlign w:val="center"/>
            <w:tcMar>
              <w:top w:w="75" w:type="dxa"/>
              <w:start w:w="90" w:type="dxa"/>
              <w:bottom w:w="75" w:type="dxa"/>
              <w:end w:w="90" w:type="dxa"/>
            </w:tcMar>
            <w:shd w:fill="00B0F0"/>
          </w:tcPr>
          <w:p>
            <w:pPr>
              <w:spacing w:before="0" w:after="0" w:line="240" w:lineRule="auto"/>
            </w:pPr>
            <w:r>
              <w:rPr>
                <w:rFonts w:ascii="Montserrat" w:hAnsi="Montserrat"/>
                <w:b/>
                <w:color w:val="000000"/>
                <w:sz w:val="15"/>
              </w:rPr>
              <w:t>Instructor Notes</w:t>
            </w:r>
          </w:p>
        </w:tc>
      </w:tr>
      <w:tr>
        <w:trPr>
          <w:cantSplit/>
        </w:trPr>
        <w:tc>
          <w:tcPr>
            <w:tcW w:type="dxa" w:w="3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Master-report continuity and prior feedback</w:t>
            </w:r>
          </w:p>
        </w:tc>
        <w:tc>
          <w:tcPr>
            <w:tcW w:type="dxa" w:w="2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Reference sample</w:t>
            </w:r>
          </w:p>
        </w:tc>
        <w:tc>
          <w:tcPr>
            <w:tcW w:type="dxa" w:w="45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Lab 8 is presented as a completed instructional increment.</w:t>
            </w:r>
          </w:p>
        </w:tc>
      </w:tr>
      <w:tr>
        <w:trPr>
          <w:cantSplit/>
        </w:trPr>
        <w:tc>
          <w:tcPr>
            <w:tcW w:type="dxa" w:w="3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Technical completeness and traceability</w:t>
            </w:r>
          </w:p>
        </w:tc>
        <w:tc>
          <w:tcPr>
            <w:tcW w:type="dxa" w:w="2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Reference sample</w:t>
            </w:r>
          </w:p>
        </w:tc>
        <w:tc>
          <w:tcPr>
            <w:tcW w:type="dxa" w:w="45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Students should follow the linked identifiers and evidence-based wording, not copy DSMS content.</w:t>
            </w:r>
          </w:p>
        </w:tc>
      </w:tr>
      <w:tr>
        <w:trPr>
          <w:cantSplit/>
        </w:trPr>
        <w:tc>
          <w:tcPr>
            <w:tcW w:type="dxa" w:w="35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Evidence, limitations, collaboration, AI validation, and professional judgment</w:t>
            </w:r>
          </w:p>
        </w:tc>
        <w:tc>
          <w:tcPr>
            <w:tcW w:type="dxa" w:w="2300"/>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Reference sample</w:t>
            </w:r>
          </w:p>
        </w:tc>
        <w:tc>
          <w:tcPr>
            <w:tcW w:type="dxa" w:w="4568"/>
            <w:vAlign w:val="center"/>
            <w:tcMar>
              <w:top w:w="75" w:type="dxa"/>
              <w:start w:w="90" w:type="dxa"/>
              <w:bottom w:w="75" w:type="dxa"/>
              <w:end w:w="90" w:type="dxa"/>
            </w:tcMar>
          </w:tcPr>
          <w:p>
            <w:pPr>
              <w:spacing w:before="0" w:after="0" w:line="240" w:lineRule="auto"/>
              <w:jc w:val="left"/>
            </w:pPr>
            <w:r/>
            <w:r>
              <w:rPr>
                <w:rFonts w:ascii="Montserrat" w:hAnsi="Montserrat"/>
                <w:b w:val="0"/>
                <w:color w:val="000000"/>
                <w:sz w:val="14"/>
              </w:rPr>
              <w:t>Demonstrates sanitized evidence, disclosed limitations, cross-review, and human validation.</w:t>
            </w:r>
          </w:p>
        </w:tc>
      </w:tr>
    </w:tbl>
    <w:p>
      <w:pPr>
        <w:spacing w:after="40"/>
      </w:pPr>
    </w:p>
    <w:p>
      <w:pPr>
        <w:spacing w:after="60" w:line="252" w:lineRule="auto"/>
      </w:pPr>
      <w:r>
        <w:rPr>
          <w:rFonts w:ascii="Montserrat" w:hAnsi="Montserrat"/>
          <w:i/>
          <w:color w:val="000000"/>
          <w:sz w:val="16"/>
        </w:rPr>
        <w:t>Instructor disposition and required revisions: Record the decision and detailed comments in the Instructor Notes column above or on the institution's grading sheet.</w:t>
      </w:r>
    </w:p>
    <w:sectPr w:rsidR="00763AE2" w:rsidRPr="00B33153"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67FFB" w14:textId="77777777" w:rsidR="00EB084D" w:rsidRDefault="00EB084D" w:rsidP="007C7C26">
      <w:r>
        <w:separator/>
      </w:r>
    </w:p>
  </w:endnote>
  <w:endnote w:type="continuationSeparator" w:id="0">
    <w:p w14:paraId="47E8ED28" w14:textId="77777777" w:rsidR="00EB084D" w:rsidRDefault="00EB084D"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pos="10296" w:val="right"/>
      </w:tabs>
    </w:pPr>
    <w:r/>
    <w:r>
      <w:rPr>
        <w:rFonts w:ascii="Montserrat" w:hAnsi="Montserrat"/>
        <w:color w:val="000000"/>
        <w:sz w:val="15"/>
      </w:rPr>
      <w:t>PEIS002 - Elective IT Audits and Control</w:t>
    </w:r>
    <w:r>
      <w:tab/>
    </w:r>
    <w:r>
      <w:rPr>
        <w:rFonts w:ascii="Montserrat" w:hAnsi="Montserrat"/>
        <w:color w:val="000000"/>
        <w:sz w:val="15"/>
      </w:rPr>
      <w:t xml:space="preserve">Page </w:t>
    </w:r>
    <w:r>
      <w:rPr>
        <w:rFonts w:ascii="Montserrat" w:hAnsi="Montserrat"/>
        <w:color w:val="000000"/>
        <w:sz w:val="15"/>
      </w:rPr>
      <w:fldChar w:fldCharType="begin"/>
      <w:instrText xml:space="preserve">PAGE</w:instrText>
      <w:fldChar w:fldCharType="separate"/>
      <w:t>1</w:t>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EA4D4" w14:textId="77777777" w:rsidR="00EB084D" w:rsidRDefault="00EB084D" w:rsidP="007C7C26">
      <w:r>
        <w:separator/>
      </w:r>
    </w:p>
  </w:footnote>
  <w:footnote w:type="continuationSeparator" w:id="0">
    <w:p w14:paraId="0FA39744" w14:textId="77777777" w:rsidR="00EB084D" w:rsidRDefault="00EB084D"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ascii="Montserrat" w:eastAsia="Bookman Old Style" w:hAnsi="Montserrat" w:cs="Bookman Old Style"/>
        <w:b/>
      </w:rPr>
    </w:pPr>
    <w:r w:rsidRPr="001D5D30">
      <w:rPr>
        <w:rFonts w:ascii="Montserrat" w:hAnsi="Montserrat"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ascii="Montserrat" w:eastAsia="Bookman Old Style" w:hAnsi="Montserrat" w:cs="Bookman Old Style"/>
        <w:b/>
        <w:color w:val="000000"/>
      </w:rPr>
      <w:t>MANDALUYONG COLLEGE OF SCIENCE AND TECHNOLOGY</w:t>
    </w:r>
  </w:p>
  <w:p w14:paraId="34FAF2AC" w14:textId="77777777" w:rsidR="001D5D30" w:rsidRPr="001D5D30" w:rsidRDefault="001D5D30" w:rsidP="001D5D30">
    <w:pPr>
      <w:jc w:val="center"/>
      <w:rPr>
        <w:rFonts w:ascii="Montserrat" w:eastAsia="Bookman Old Style" w:hAnsi="Montserrat" w:cs="Bookman Old Style"/>
        <w:b/>
      </w:rPr>
    </w:pPr>
    <w:r w:rsidRPr="001D5D30">
      <w:rPr>
        <w:rFonts w:ascii="Montserrat" w:eastAsia="Bookman Old Style" w:hAnsi="Montserrat" w:cs="Bookman Old Style"/>
        <w:b/>
        <w:color w:val="000000"/>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color w:val="000000"/>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B1E0B"/>
    <w:rsid w:val="000D5C10"/>
    <w:rsid w:val="000D66D5"/>
    <w:rsid w:val="000E7919"/>
    <w:rsid w:val="0011347E"/>
    <w:rsid w:val="00160EAA"/>
    <w:rsid w:val="001701DB"/>
    <w:rsid w:val="001735DA"/>
    <w:rsid w:val="001D075E"/>
    <w:rsid w:val="001D5D30"/>
    <w:rsid w:val="001F27B6"/>
    <w:rsid w:val="00203C36"/>
    <w:rsid w:val="00233EAB"/>
    <w:rsid w:val="002505AD"/>
    <w:rsid w:val="00276A00"/>
    <w:rsid w:val="002B11C1"/>
    <w:rsid w:val="002B22F6"/>
    <w:rsid w:val="002B34D9"/>
    <w:rsid w:val="002B72B6"/>
    <w:rsid w:val="002E020A"/>
    <w:rsid w:val="003215D5"/>
    <w:rsid w:val="00321622"/>
    <w:rsid w:val="00321A9E"/>
    <w:rsid w:val="003308A8"/>
    <w:rsid w:val="0035463C"/>
    <w:rsid w:val="00362B79"/>
    <w:rsid w:val="00365AD1"/>
    <w:rsid w:val="003715E6"/>
    <w:rsid w:val="00374E3A"/>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5231A4"/>
    <w:rsid w:val="0053719E"/>
    <w:rsid w:val="005417D9"/>
    <w:rsid w:val="00560D49"/>
    <w:rsid w:val="00580E95"/>
    <w:rsid w:val="00582F9B"/>
    <w:rsid w:val="00584852"/>
    <w:rsid w:val="00587656"/>
    <w:rsid w:val="00593CB8"/>
    <w:rsid w:val="005A46F6"/>
    <w:rsid w:val="005A53AD"/>
    <w:rsid w:val="005B6BB0"/>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49C9"/>
    <w:rsid w:val="006B5434"/>
    <w:rsid w:val="006D5B9F"/>
    <w:rsid w:val="006E4AF5"/>
    <w:rsid w:val="006F1D3E"/>
    <w:rsid w:val="006F30D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75FFF"/>
    <w:rsid w:val="00977B1D"/>
    <w:rsid w:val="009C64A7"/>
    <w:rsid w:val="009E20E8"/>
    <w:rsid w:val="009E7ECB"/>
    <w:rsid w:val="00A23CFB"/>
    <w:rsid w:val="00A343DD"/>
    <w:rsid w:val="00A64B94"/>
    <w:rsid w:val="00A822FE"/>
    <w:rsid w:val="00A834C3"/>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43949"/>
    <w:rsid w:val="00C4728D"/>
    <w:rsid w:val="00C478F9"/>
    <w:rsid w:val="00C517B1"/>
    <w:rsid w:val="00C73503"/>
    <w:rsid w:val="00C75624"/>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23562"/>
    <w:rsid w:val="00E23DEE"/>
    <w:rsid w:val="00E503C8"/>
    <w:rsid w:val="00E54C88"/>
    <w:rsid w:val="00E6396B"/>
    <w:rsid w:val="00E63AEA"/>
    <w:rsid w:val="00E8539A"/>
    <w:rsid w:val="00EB084D"/>
    <w:rsid w:val="00EC5A4D"/>
    <w:rsid w:val="00EE06B1"/>
    <w:rsid w:val="00EE34A5"/>
    <w:rsid w:val="00EE6494"/>
    <w:rsid w:val="00EF401A"/>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line="240" w:lineRule="auto" w:after="40"/>
      <w:outlineLvl w:val="0"/>
    </w:pPr>
    <w:rPr>
      <w:rFonts w:asciiTheme="majorHAnsi" w:eastAsiaTheme="majorEastAsia" w:hAnsiTheme="majorHAnsi" w:cstheme="majorBidi" w:ascii="Montserrat" w:hAnsi="Montserrat"/>
      <w:b/>
      <w:bCs/>
      <w:color w:val="00B0F0"/>
      <w:sz w:val="2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ascii="Montserrat" w:hAnsi="Montserrat"/>
      <w:b/>
      <w:color w:val="000000"/>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color w:val="000000"/>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5</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PEIS002 Lab 8 DSMS Asset Inventory and System Documentation Instructor Sample</dc:title>
  <dc:subject>Completed instructor-reference sample for the incremental capstone IT audit report</dc:subject>
  <dc:creator>PEIS002 Instructor Reference Sample</dc:creator>
  <cp:keywords>PEIS002, IT audit, DSMS, capstone, sample report</cp:keywords>
  <dc:description/>
  <cp:lastModifiedBy>Denver Jhon Calantoc</cp:lastModifiedBy>
  <cp:revision>94</cp:revision>
  <cp:lastPrinted>2022-10-19T12:17:00Z</cp:lastPrinted>
  <dcterms:created xsi:type="dcterms:W3CDTF">2022-10-19T12:17:00Z</dcterms:created>
  <dcterms:modified xsi:type="dcterms:W3CDTF">2026-08-14T10:19:00Z</dcterms:modified>
</cp:coreProperties>
</file>