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B790" w14:textId="77777777" w:rsidR="00461EB8" w:rsidRPr="00461EB8" w:rsidRDefault="00461EB8" w:rsidP="00461EB8">
      <w:pPr>
        <w:spacing w:before="100" w:after="160"/>
        <w:jc w:val="center"/>
        <w:rPr>
          <w:rFonts w:ascii="Montserrat" w:hAnsi="Montserrat"/>
          <w:sz w:val="20"/>
          <w:szCs w:val="20"/>
        </w:rPr>
      </w:pPr>
      <w:r w:rsidRPr="00461EB8">
        <w:rPr>
          <w:rFonts w:ascii="Montserrat" w:hAnsi="Montserrat"/>
          <w:b/>
          <w:color w:val="0B4A86"/>
          <w:sz w:val="20"/>
          <w:szCs w:val="20"/>
        </w:rPr>
        <w:t>Week 12 Performance Task 2: Compliance and Ethical Case Analysis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2333"/>
        <w:gridCol w:w="2520"/>
        <w:gridCol w:w="2131"/>
        <w:gridCol w:w="2088"/>
      </w:tblGrid>
      <w:tr w:rsidR="00461EB8" w:rsidRPr="00461EB8" w14:paraId="1A8485A7" w14:textId="77777777" w:rsidTr="00CA276E">
        <w:tc>
          <w:tcPr>
            <w:tcW w:w="2333" w:type="dxa"/>
            <w:shd w:val="clear" w:color="auto" w:fill="0B4A86"/>
            <w:tcMar>
              <w:top w:w="90" w:type="dxa"/>
              <w:left w:w="90" w:type="dxa"/>
              <w:bottom w:w="90" w:type="dxa"/>
              <w:right w:w="90" w:type="dxa"/>
            </w:tcMar>
            <w:vAlign w:val="center"/>
          </w:tcPr>
          <w:p w14:paraId="268AF119"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Topic</w:t>
            </w:r>
          </w:p>
        </w:tc>
        <w:tc>
          <w:tcPr>
            <w:tcW w:w="2520" w:type="dxa"/>
            <w:shd w:val="clear" w:color="auto" w:fill="0B4A86"/>
            <w:tcMar>
              <w:top w:w="90" w:type="dxa"/>
              <w:left w:w="90" w:type="dxa"/>
              <w:bottom w:w="90" w:type="dxa"/>
              <w:right w:w="90" w:type="dxa"/>
            </w:tcMar>
            <w:vAlign w:val="center"/>
          </w:tcPr>
          <w:p w14:paraId="3B50012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Activity</w:t>
            </w:r>
          </w:p>
        </w:tc>
        <w:tc>
          <w:tcPr>
            <w:tcW w:w="2131" w:type="dxa"/>
            <w:shd w:val="clear" w:color="auto" w:fill="0B4A86"/>
            <w:tcMar>
              <w:top w:w="90" w:type="dxa"/>
              <w:left w:w="90" w:type="dxa"/>
              <w:bottom w:w="90" w:type="dxa"/>
              <w:right w:w="90" w:type="dxa"/>
            </w:tcMar>
            <w:vAlign w:val="center"/>
          </w:tcPr>
          <w:p w14:paraId="07483FE9"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Time</w:t>
            </w:r>
          </w:p>
        </w:tc>
        <w:tc>
          <w:tcPr>
            <w:tcW w:w="2088" w:type="dxa"/>
            <w:shd w:val="clear" w:color="auto" w:fill="0B4A86"/>
            <w:tcMar>
              <w:top w:w="90" w:type="dxa"/>
              <w:left w:w="90" w:type="dxa"/>
              <w:bottom w:w="90" w:type="dxa"/>
              <w:right w:w="90" w:type="dxa"/>
            </w:tcMar>
            <w:vAlign w:val="center"/>
          </w:tcPr>
          <w:p w14:paraId="79C876DA"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Points</w:t>
            </w:r>
          </w:p>
        </w:tc>
      </w:tr>
      <w:tr w:rsidR="00461EB8" w:rsidRPr="00461EB8" w14:paraId="6AF4B65A" w14:textId="77777777" w:rsidTr="00CA276E">
        <w:tc>
          <w:tcPr>
            <w:tcW w:w="2333" w:type="dxa"/>
            <w:tcMar>
              <w:top w:w="90" w:type="dxa"/>
              <w:left w:w="90" w:type="dxa"/>
              <w:bottom w:w="90" w:type="dxa"/>
              <w:right w:w="90" w:type="dxa"/>
            </w:tcMar>
            <w:vAlign w:val="center"/>
          </w:tcPr>
          <w:p w14:paraId="69082644"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SOX, HIPAA, GDPR, and Audit Ethics</w:t>
            </w:r>
          </w:p>
        </w:tc>
        <w:tc>
          <w:tcPr>
            <w:tcW w:w="2520" w:type="dxa"/>
            <w:tcMar>
              <w:top w:w="90" w:type="dxa"/>
              <w:left w:w="90" w:type="dxa"/>
              <w:bottom w:w="90" w:type="dxa"/>
              <w:right w:w="90" w:type="dxa"/>
            </w:tcMar>
            <w:vAlign w:val="center"/>
          </w:tcPr>
          <w:p w14:paraId="78B0ED4B"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Compliance and Ethics Analysis</w:t>
            </w:r>
          </w:p>
        </w:tc>
        <w:tc>
          <w:tcPr>
            <w:tcW w:w="2131" w:type="dxa"/>
            <w:tcMar>
              <w:top w:w="90" w:type="dxa"/>
              <w:left w:w="90" w:type="dxa"/>
              <w:bottom w:w="90" w:type="dxa"/>
              <w:right w:w="90" w:type="dxa"/>
            </w:tcMar>
            <w:vAlign w:val="center"/>
          </w:tcPr>
          <w:p w14:paraId="368C5A58"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60 minutes</w:t>
            </w:r>
          </w:p>
        </w:tc>
        <w:tc>
          <w:tcPr>
            <w:tcW w:w="2088" w:type="dxa"/>
            <w:tcMar>
              <w:top w:w="90" w:type="dxa"/>
              <w:left w:w="90" w:type="dxa"/>
              <w:bottom w:w="90" w:type="dxa"/>
              <w:right w:w="90" w:type="dxa"/>
            </w:tcMar>
            <w:vAlign w:val="center"/>
          </w:tcPr>
          <w:p w14:paraId="4172C4CD"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30 points</w:t>
            </w:r>
          </w:p>
        </w:tc>
      </w:tr>
    </w:tbl>
    <w:p w14:paraId="49047848" w14:textId="77777777" w:rsidR="00461EB8" w:rsidRPr="00461EB8" w:rsidRDefault="00461EB8" w:rsidP="00461EB8">
      <w:pPr>
        <w:rPr>
          <w:rFonts w:ascii="Montserrat" w:hAnsi="Montserrat"/>
          <w:sz w:val="20"/>
          <w:szCs w:val="20"/>
        </w:rPr>
      </w:pPr>
    </w:p>
    <w:p w14:paraId="4B87370D" w14:textId="77777777" w:rsidR="00461EB8" w:rsidRPr="00461EB8" w:rsidRDefault="00461EB8" w:rsidP="00461EB8">
      <w:pPr>
        <w:spacing w:after="100" w:line="252" w:lineRule="auto"/>
        <w:rPr>
          <w:rFonts w:ascii="Montserrat" w:hAnsi="Montserrat"/>
          <w:sz w:val="20"/>
          <w:szCs w:val="20"/>
        </w:rPr>
      </w:pPr>
      <w:r w:rsidRPr="00461EB8">
        <w:rPr>
          <w:rFonts w:ascii="Montserrat" w:hAnsi="Montserrat"/>
          <w:b/>
          <w:color w:val="0B4A86"/>
          <w:sz w:val="20"/>
          <w:szCs w:val="20"/>
        </w:rPr>
        <w:t xml:space="preserve">Learning Target: </w:t>
      </w:r>
      <w:r w:rsidRPr="00461EB8">
        <w:rPr>
          <w:rFonts w:ascii="Montserrat" w:hAnsi="Montserrat"/>
          <w:sz w:val="20"/>
          <w:szCs w:val="20"/>
        </w:rPr>
        <w:t>Identify compliance and ethical issues, recommend appropriate actions, and request relevant audit evidence.</w:t>
      </w:r>
    </w:p>
    <w:p w14:paraId="1D57BFD9" w14:textId="77777777" w:rsidR="00461EB8" w:rsidRPr="00461EB8" w:rsidRDefault="00461EB8" w:rsidP="00461EB8">
      <w:pPr>
        <w:spacing w:after="100" w:line="252" w:lineRule="auto"/>
        <w:rPr>
          <w:rFonts w:ascii="Montserrat" w:hAnsi="Montserrat"/>
          <w:sz w:val="20"/>
          <w:szCs w:val="20"/>
        </w:rPr>
      </w:pPr>
      <w:r w:rsidRPr="00461EB8">
        <w:rPr>
          <w:rFonts w:ascii="Montserrat" w:hAnsi="Montserrat"/>
          <w:b/>
          <w:color w:val="0B4A86"/>
          <w:sz w:val="20"/>
          <w:szCs w:val="20"/>
        </w:rPr>
        <w:t xml:space="preserve">Instructions: </w:t>
      </w:r>
      <w:r w:rsidRPr="00461EB8">
        <w:rPr>
          <w:rFonts w:ascii="Montserrat" w:hAnsi="Montserrat"/>
          <w:sz w:val="20"/>
          <w:szCs w:val="20"/>
        </w:rPr>
        <w:t>Work individually. Read the short case and complete Parts A to C. Keep each answer brief and based on the facts provided.</w:t>
      </w:r>
    </w:p>
    <w:p w14:paraId="4A679E4E" w14:textId="77777777" w:rsidR="00461EB8" w:rsidRPr="00461EB8" w:rsidRDefault="00461EB8" w:rsidP="00461EB8">
      <w:pPr>
        <w:spacing w:after="140" w:line="252" w:lineRule="auto"/>
        <w:rPr>
          <w:rFonts w:ascii="Montserrat" w:hAnsi="Montserrat"/>
          <w:sz w:val="20"/>
          <w:szCs w:val="20"/>
        </w:rPr>
      </w:pPr>
      <w:r w:rsidRPr="00461EB8">
        <w:rPr>
          <w:rFonts w:ascii="Montserrat" w:hAnsi="Montserrat"/>
          <w:b/>
          <w:color w:val="0B4A86"/>
          <w:sz w:val="20"/>
          <w:szCs w:val="20"/>
        </w:rPr>
        <w:t xml:space="preserve">Human-in-the-Loop AI Rule: </w:t>
      </w:r>
      <w:r w:rsidRPr="00461EB8">
        <w:rPr>
          <w:rFonts w:ascii="Montserrat" w:hAnsi="Montserrat"/>
          <w:sz w:val="20"/>
          <w:szCs w:val="20"/>
        </w:rPr>
        <w:t>AI may suggest answers, but you must verify and correct them using the case and the lesson.</w:t>
      </w:r>
    </w:p>
    <w:p w14:paraId="0430F234"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Case Scenario</w:t>
      </w:r>
    </w:p>
    <w:p w14:paraId="64C85C87" w14:textId="77777777" w:rsidR="00461EB8" w:rsidRPr="00461EB8" w:rsidRDefault="00461EB8" w:rsidP="00461EB8">
      <w:pPr>
        <w:spacing w:after="120" w:line="252" w:lineRule="auto"/>
        <w:rPr>
          <w:rFonts w:ascii="Montserrat" w:hAnsi="Montserrat"/>
          <w:sz w:val="20"/>
          <w:szCs w:val="20"/>
        </w:rPr>
      </w:pPr>
      <w:proofErr w:type="spellStart"/>
      <w:r w:rsidRPr="00461EB8">
        <w:rPr>
          <w:rFonts w:ascii="Montserrat" w:hAnsi="Montserrat"/>
          <w:sz w:val="20"/>
          <w:szCs w:val="20"/>
        </w:rPr>
        <w:t>GlobalCare</w:t>
      </w:r>
      <w:proofErr w:type="spellEnd"/>
      <w:r w:rsidRPr="00461EB8">
        <w:rPr>
          <w:rFonts w:ascii="Montserrat" w:hAnsi="Montserrat"/>
          <w:sz w:val="20"/>
          <w:szCs w:val="20"/>
        </w:rPr>
        <w:t xml:space="preserve"> Digital Services operates a financial ERP, a health platform for US clinics, and an EU customer portal. A developer can approve and deploy the same ERP changes. Health-platform support staff share one account to access electronic protected health information. The EU portal keeps inactive profiles indefinitely. During the audit, a manager asks the auditor to remove a serious finding because a client contract is being renewed.</w:t>
      </w:r>
    </w:p>
    <w:p w14:paraId="75928440"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Part A. Compliance and Ethics Matrix (16 points)</w:t>
      </w:r>
    </w:p>
    <w:p w14:paraId="10E889F5" w14:textId="77777777" w:rsidR="00461EB8" w:rsidRPr="00461EB8" w:rsidRDefault="00461EB8" w:rsidP="00461EB8">
      <w:pPr>
        <w:spacing w:after="80"/>
        <w:rPr>
          <w:rFonts w:ascii="Montserrat" w:hAnsi="Montserrat"/>
          <w:sz w:val="20"/>
          <w:szCs w:val="20"/>
        </w:rPr>
      </w:pPr>
      <w:r w:rsidRPr="00461EB8">
        <w:rPr>
          <w:rFonts w:ascii="Montserrat" w:hAnsi="Montserrat"/>
          <w:sz w:val="20"/>
          <w:szCs w:val="20"/>
        </w:rPr>
        <w:t>For each condition, identify the applicable compliance or ethical issue, recommend one action, and name one audit evidence item. Each row is worth 4 points.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547"/>
        <w:gridCol w:w="2952"/>
        <w:gridCol w:w="1944"/>
        <w:gridCol w:w="1843"/>
        <w:gridCol w:w="1786"/>
      </w:tblGrid>
      <w:tr w:rsidR="00461EB8" w:rsidRPr="00461EB8" w14:paraId="40289048" w14:textId="77777777" w:rsidTr="00CA276E">
        <w:trPr>
          <w:tblHeader/>
        </w:trPr>
        <w:tc>
          <w:tcPr>
            <w:tcW w:w="547" w:type="dxa"/>
            <w:shd w:val="clear" w:color="auto" w:fill="0B4A86"/>
            <w:tcMar>
              <w:top w:w="90" w:type="dxa"/>
              <w:left w:w="90" w:type="dxa"/>
              <w:bottom w:w="90" w:type="dxa"/>
              <w:right w:w="90" w:type="dxa"/>
            </w:tcMar>
            <w:vAlign w:val="center"/>
          </w:tcPr>
          <w:p w14:paraId="44013579"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No.</w:t>
            </w:r>
          </w:p>
        </w:tc>
        <w:tc>
          <w:tcPr>
            <w:tcW w:w="2952" w:type="dxa"/>
            <w:shd w:val="clear" w:color="auto" w:fill="0B4A86"/>
            <w:tcMar>
              <w:top w:w="90" w:type="dxa"/>
              <w:left w:w="90" w:type="dxa"/>
              <w:bottom w:w="90" w:type="dxa"/>
              <w:right w:w="90" w:type="dxa"/>
            </w:tcMar>
            <w:vAlign w:val="center"/>
          </w:tcPr>
          <w:p w14:paraId="7D6D490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Observed Condition</w:t>
            </w:r>
          </w:p>
        </w:tc>
        <w:tc>
          <w:tcPr>
            <w:tcW w:w="1944" w:type="dxa"/>
            <w:shd w:val="clear" w:color="auto" w:fill="0B4A86"/>
            <w:tcMar>
              <w:top w:w="90" w:type="dxa"/>
              <w:left w:w="90" w:type="dxa"/>
              <w:bottom w:w="90" w:type="dxa"/>
              <w:right w:w="90" w:type="dxa"/>
            </w:tcMar>
            <w:vAlign w:val="center"/>
          </w:tcPr>
          <w:p w14:paraId="6496BAB3"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Compliance or Ethical Issue</w:t>
            </w:r>
          </w:p>
        </w:tc>
        <w:tc>
          <w:tcPr>
            <w:tcW w:w="1843" w:type="dxa"/>
            <w:shd w:val="clear" w:color="auto" w:fill="0B4A86"/>
            <w:tcMar>
              <w:top w:w="90" w:type="dxa"/>
              <w:left w:w="90" w:type="dxa"/>
              <w:bottom w:w="90" w:type="dxa"/>
              <w:right w:w="90" w:type="dxa"/>
            </w:tcMar>
            <w:vAlign w:val="center"/>
          </w:tcPr>
          <w:p w14:paraId="0585514D"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Recommended Action</w:t>
            </w:r>
          </w:p>
        </w:tc>
        <w:tc>
          <w:tcPr>
            <w:tcW w:w="1786" w:type="dxa"/>
            <w:shd w:val="clear" w:color="auto" w:fill="0B4A86"/>
            <w:tcMar>
              <w:top w:w="90" w:type="dxa"/>
              <w:left w:w="90" w:type="dxa"/>
              <w:bottom w:w="90" w:type="dxa"/>
              <w:right w:w="90" w:type="dxa"/>
            </w:tcMar>
            <w:vAlign w:val="center"/>
          </w:tcPr>
          <w:p w14:paraId="668CBC81"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Audit Evidence</w:t>
            </w:r>
          </w:p>
        </w:tc>
      </w:tr>
      <w:tr w:rsidR="00461EB8" w:rsidRPr="00461EB8" w14:paraId="7DA1C082" w14:textId="77777777" w:rsidTr="00CA276E">
        <w:trPr>
          <w:cantSplit/>
        </w:trPr>
        <w:tc>
          <w:tcPr>
            <w:tcW w:w="547" w:type="dxa"/>
            <w:tcMar>
              <w:top w:w="90" w:type="dxa"/>
              <w:left w:w="90" w:type="dxa"/>
              <w:bottom w:w="90" w:type="dxa"/>
              <w:right w:w="90" w:type="dxa"/>
            </w:tcMar>
            <w:vAlign w:val="center"/>
          </w:tcPr>
          <w:p w14:paraId="6F33F7D0"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1</w:t>
            </w:r>
          </w:p>
        </w:tc>
        <w:tc>
          <w:tcPr>
            <w:tcW w:w="2952" w:type="dxa"/>
            <w:tcMar>
              <w:top w:w="90" w:type="dxa"/>
              <w:left w:w="90" w:type="dxa"/>
              <w:bottom w:w="90" w:type="dxa"/>
              <w:right w:w="90" w:type="dxa"/>
            </w:tcMar>
            <w:vAlign w:val="center"/>
          </w:tcPr>
          <w:p w14:paraId="37B6E8B7"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A developer can approve and deploy the same change in the financial-reporting ERP.</w:t>
            </w:r>
          </w:p>
        </w:tc>
        <w:tc>
          <w:tcPr>
            <w:tcW w:w="1944" w:type="dxa"/>
            <w:tcMar>
              <w:top w:w="90" w:type="dxa"/>
              <w:left w:w="90" w:type="dxa"/>
              <w:bottom w:w="90" w:type="dxa"/>
              <w:right w:w="90" w:type="dxa"/>
            </w:tcMar>
            <w:vAlign w:val="center"/>
          </w:tcPr>
          <w:p>
            <w:r/>
            <w:r>
              <w:rPr>
                <w:rFonts w:ascii="Montserrat" w:hAnsi="Montserrat"/>
                <w:sz w:val="20"/>
              </w:rPr>
              <w:t>SOX IT general control deficiency - clear violation of segregation of duties over the financial reporting system. This creates high risk of fraud and undetected error.</w:t>
            </w:r>
          </w:p>
        </w:tc>
        <w:tc>
          <w:tcPr>
            <w:tcW w:w="1843" w:type="dxa"/>
            <w:tcMar>
              <w:top w:w="90" w:type="dxa"/>
              <w:left w:w="90" w:type="dxa"/>
              <w:bottom w:w="90" w:type="dxa"/>
              <w:right w:w="90" w:type="dxa"/>
            </w:tcMar>
            <w:vAlign w:val="center"/>
          </w:tcPr>
          <w:p>
            <w:r/>
            <w:r>
              <w:rPr>
                <w:rFonts w:ascii="Montserrat" w:hAnsi="Montserrat"/>
                <w:sz w:val="20"/>
              </w:rPr>
              <w:t>Remove deploy rights from the developer immediately and enforce independent approval in the ticketing system before any release to production.</w:t>
            </w:r>
          </w:p>
        </w:tc>
        <w:tc>
          <w:tcPr>
            <w:tcW w:w="1786" w:type="dxa"/>
            <w:tcMar>
              <w:top w:w="90" w:type="dxa"/>
              <w:left w:w="90" w:type="dxa"/>
              <w:bottom w:w="90" w:type="dxa"/>
              <w:right w:w="90" w:type="dxa"/>
            </w:tcMar>
            <w:vAlign w:val="center"/>
          </w:tcPr>
          <w:p>
            <w:r/>
            <w:r>
              <w:rPr>
                <w:rFonts w:ascii="Montserrat" w:hAnsi="Montserrat"/>
                <w:sz w:val="20"/>
              </w:rPr>
              <w:t>SoD matrix, ERP access rights report, and change tickets with approval logs.</w:t>
            </w:r>
          </w:p>
        </w:tc>
      </w:tr>
      <w:tr w:rsidR="00461EB8" w:rsidRPr="00461EB8" w14:paraId="2A94310C" w14:textId="77777777" w:rsidTr="00CA276E">
        <w:trPr>
          <w:cantSplit/>
        </w:trPr>
        <w:tc>
          <w:tcPr>
            <w:tcW w:w="547" w:type="dxa"/>
            <w:tcMar>
              <w:top w:w="90" w:type="dxa"/>
              <w:left w:w="90" w:type="dxa"/>
              <w:bottom w:w="90" w:type="dxa"/>
              <w:right w:w="90" w:type="dxa"/>
            </w:tcMar>
            <w:vAlign w:val="center"/>
          </w:tcPr>
          <w:p w14:paraId="41632B8B"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2</w:t>
            </w:r>
          </w:p>
        </w:tc>
        <w:tc>
          <w:tcPr>
            <w:tcW w:w="2952" w:type="dxa"/>
            <w:tcMar>
              <w:top w:w="90" w:type="dxa"/>
              <w:left w:w="90" w:type="dxa"/>
              <w:bottom w:w="90" w:type="dxa"/>
              <w:right w:w="90" w:type="dxa"/>
            </w:tcMar>
            <w:vAlign w:val="center"/>
          </w:tcPr>
          <w:p w14:paraId="148A5821"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Support staff share one account when accessing electronic protected health information.</w:t>
            </w:r>
          </w:p>
        </w:tc>
        <w:tc>
          <w:tcPr>
            <w:tcW w:w="1944" w:type="dxa"/>
            <w:tcMar>
              <w:top w:w="90" w:type="dxa"/>
              <w:left w:w="90" w:type="dxa"/>
              <w:bottom w:w="90" w:type="dxa"/>
              <w:right w:w="90" w:type="dxa"/>
            </w:tcMar>
            <w:vAlign w:val="center"/>
          </w:tcPr>
          <w:p>
            <w:r/>
            <w:r>
              <w:rPr>
                <w:rFonts w:ascii="Montserrat" w:hAnsi="Montserrat"/>
                <w:sz w:val="20"/>
              </w:rPr>
              <w:t>Direct violation of the HIPAA Security Rule - failure of unique user identification and audit controls for ePHI.</w:t>
            </w:r>
          </w:p>
        </w:tc>
        <w:tc>
          <w:tcPr>
            <w:tcW w:w="1843" w:type="dxa"/>
            <w:tcMar>
              <w:top w:w="90" w:type="dxa"/>
              <w:left w:w="90" w:type="dxa"/>
              <w:bottom w:w="90" w:type="dxa"/>
              <w:right w:w="90" w:type="dxa"/>
            </w:tcMar>
            <w:vAlign w:val="center"/>
          </w:tcPr>
          <w:p>
            <w:r/>
            <w:r>
              <w:rPr>
                <w:rFonts w:ascii="Montserrat" w:hAnsi="Montserrat"/>
                <w:sz w:val="20"/>
              </w:rPr>
              <w:t>Disable the shared account at once, issue role-based unique IDs with MFA, and activate automatic log-off with full audit logging.</w:t>
            </w:r>
          </w:p>
        </w:tc>
        <w:tc>
          <w:tcPr>
            <w:tcW w:w="1786" w:type="dxa"/>
            <w:tcMar>
              <w:top w:w="90" w:type="dxa"/>
              <w:left w:w="90" w:type="dxa"/>
              <w:bottom w:w="90" w:type="dxa"/>
              <w:right w:w="90" w:type="dxa"/>
            </w:tcMar>
            <w:vAlign w:val="center"/>
          </w:tcPr>
          <w:p>
            <w:r/>
            <w:r>
              <w:rPr>
                <w:rFonts w:ascii="Montserrat" w:hAnsi="Montserrat"/>
                <w:sz w:val="20"/>
              </w:rPr>
              <w:t>IAM user inventory, authentication logs, and quarterly HIPAA access review records.</w:t>
            </w:r>
          </w:p>
        </w:tc>
      </w:tr>
      <w:tr w:rsidR="00461EB8" w:rsidRPr="00461EB8" w14:paraId="02B7B600" w14:textId="77777777" w:rsidTr="00CA276E">
        <w:trPr>
          <w:cantSplit/>
        </w:trPr>
        <w:tc>
          <w:tcPr>
            <w:tcW w:w="547" w:type="dxa"/>
            <w:tcMar>
              <w:top w:w="90" w:type="dxa"/>
              <w:left w:w="90" w:type="dxa"/>
              <w:bottom w:w="90" w:type="dxa"/>
              <w:right w:w="90" w:type="dxa"/>
            </w:tcMar>
            <w:vAlign w:val="center"/>
          </w:tcPr>
          <w:p w14:paraId="122A5827"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3</w:t>
            </w:r>
          </w:p>
        </w:tc>
        <w:tc>
          <w:tcPr>
            <w:tcW w:w="2952" w:type="dxa"/>
            <w:tcMar>
              <w:top w:w="90" w:type="dxa"/>
              <w:left w:w="90" w:type="dxa"/>
              <w:bottom w:w="90" w:type="dxa"/>
              <w:right w:w="90" w:type="dxa"/>
            </w:tcMar>
            <w:vAlign w:val="center"/>
          </w:tcPr>
          <w:p w14:paraId="7D848BE2"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The EU portal keeps inactive customer profiles indefinitely.</w:t>
            </w:r>
          </w:p>
        </w:tc>
        <w:tc>
          <w:tcPr>
            <w:tcW w:w="1944" w:type="dxa"/>
            <w:tcMar>
              <w:top w:w="90" w:type="dxa"/>
              <w:left w:w="90" w:type="dxa"/>
              <w:bottom w:w="90" w:type="dxa"/>
              <w:right w:w="90" w:type="dxa"/>
            </w:tcMar>
            <w:vAlign w:val="center"/>
          </w:tcPr>
          <w:p>
            <w:r/>
            <w:r>
              <w:rPr>
                <w:rFonts w:ascii="Montserrat" w:hAnsi="Montserrat"/>
                <w:sz w:val="20"/>
              </w:rPr>
              <w:t>GDPR breach of Article 5 - storage limitation and data minimization. Indefinite retention has no legal basis.</w:t>
            </w:r>
          </w:p>
        </w:tc>
        <w:tc>
          <w:tcPr>
            <w:tcW w:w="1843" w:type="dxa"/>
            <w:tcMar>
              <w:top w:w="90" w:type="dxa"/>
              <w:left w:w="90" w:type="dxa"/>
              <w:bottom w:w="90" w:type="dxa"/>
              <w:right w:w="90" w:type="dxa"/>
            </w:tcMar>
            <w:vAlign w:val="center"/>
          </w:tcPr>
          <w:p>
            <w:r/>
            <w:r>
              <w:rPr>
                <w:rFonts w:ascii="Montserrat" w:hAnsi="Montserrat"/>
                <w:sz w:val="20"/>
              </w:rPr>
              <w:t>Apply a defined retention schedule, review consent, and purge or anonymize inactive EU profiles with automated deletion.</w:t>
            </w:r>
          </w:p>
        </w:tc>
        <w:tc>
          <w:tcPr>
            <w:tcW w:w="1786" w:type="dxa"/>
            <w:tcMar>
              <w:top w:w="90" w:type="dxa"/>
              <w:left w:w="90" w:type="dxa"/>
              <w:bottom w:w="90" w:type="dxa"/>
              <w:right w:w="90" w:type="dxa"/>
            </w:tcMar>
            <w:vAlign w:val="center"/>
          </w:tcPr>
          <w:p>
            <w:r/>
            <w:r>
              <w:rPr>
                <w:rFonts w:ascii="Montserrat" w:hAnsi="Montserrat"/>
                <w:sz w:val="20"/>
              </w:rPr>
              <w:t>Data retention policy, consent records, EU database aging report and deletion certificates.</w:t>
            </w:r>
          </w:p>
        </w:tc>
      </w:tr>
      <w:tr w:rsidR="00461EB8" w:rsidRPr="00461EB8" w14:paraId="52E8784A" w14:textId="77777777" w:rsidTr="00CA276E">
        <w:trPr>
          <w:cantSplit/>
        </w:trPr>
        <w:tc>
          <w:tcPr>
            <w:tcW w:w="547" w:type="dxa"/>
            <w:tcMar>
              <w:top w:w="90" w:type="dxa"/>
              <w:left w:w="90" w:type="dxa"/>
              <w:bottom w:w="90" w:type="dxa"/>
              <w:right w:w="90" w:type="dxa"/>
            </w:tcMar>
            <w:vAlign w:val="center"/>
          </w:tcPr>
          <w:p w14:paraId="5CCDC08A"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4</w:t>
            </w:r>
          </w:p>
        </w:tc>
        <w:tc>
          <w:tcPr>
            <w:tcW w:w="2952" w:type="dxa"/>
            <w:tcMar>
              <w:top w:w="90" w:type="dxa"/>
              <w:left w:w="90" w:type="dxa"/>
              <w:bottom w:w="90" w:type="dxa"/>
              <w:right w:w="90" w:type="dxa"/>
            </w:tcMar>
            <w:vAlign w:val="center"/>
          </w:tcPr>
          <w:p w14:paraId="5C606439"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A manager asks the auditor to remove a serious finding before the report is issued.</w:t>
            </w:r>
          </w:p>
        </w:tc>
        <w:tc>
          <w:tcPr>
            <w:tcW w:w="1944" w:type="dxa"/>
            <w:tcMar>
              <w:top w:w="90" w:type="dxa"/>
              <w:left w:w="90" w:type="dxa"/>
              <w:bottom w:w="90" w:type="dxa"/>
              <w:right w:w="90" w:type="dxa"/>
            </w:tcMar>
            <w:vAlign w:val="center"/>
          </w:tcPr>
          <w:p>
            <w:r/>
            <w:r>
              <w:rPr>
                <w:rFonts w:ascii="Montserrat" w:hAnsi="Montserrat"/>
                <w:sz w:val="20"/>
              </w:rPr>
              <w:t>Serious ethical violation - intimidation threat to independence, objectivity and professional integrity.</w:t>
            </w:r>
          </w:p>
        </w:tc>
        <w:tc>
          <w:tcPr>
            <w:tcW w:w="1843" w:type="dxa"/>
            <w:tcMar>
              <w:top w:w="90" w:type="dxa"/>
              <w:left w:w="90" w:type="dxa"/>
              <w:bottom w:w="90" w:type="dxa"/>
              <w:right w:w="90" w:type="dxa"/>
            </w:tcMar>
            <w:vAlign w:val="center"/>
          </w:tcPr>
          <w:p>
            <w:r/>
            <w:r>
              <w:rPr>
                <w:rFonts w:ascii="Montserrat" w:hAnsi="Montserrat"/>
                <w:sz w:val="20"/>
              </w:rPr>
              <w:t>Reject the request outright, retain the finding without change, and escalate formally to the engagement partner and audit committee.</w:t>
            </w:r>
          </w:p>
        </w:tc>
        <w:tc>
          <w:tcPr>
            <w:tcW w:w="1786" w:type="dxa"/>
            <w:tcMar>
              <w:top w:w="90" w:type="dxa"/>
              <w:left w:w="90" w:type="dxa"/>
              <w:bottom w:w="90" w:type="dxa"/>
              <w:right w:w="90" w:type="dxa"/>
            </w:tcMar>
            <w:vAlign w:val="center"/>
          </w:tcPr>
          <w:p>
            <w:r/>
            <w:r>
              <w:rPr>
                <w:rFonts w:ascii="Montserrat" w:hAnsi="Montserrat"/>
                <w:sz w:val="20"/>
              </w:rPr>
              <w:t>Auditor memo documenting the interference, engagement correspondence, and draft versus final report.</w:t>
            </w:r>
          </w:p>
        </w:tc>
      </w:tr>
    </w:tbl>
    <w:p w14:paraId="3B5B8A5F"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Part B. Validate the AI-Generated Draft (6 points)</w:t>
      </w:r>
    </w:p>
    <w:p w14:paraId="41D83009" w14:textId="77777777" w:rsidR="00461EB8" w:rsidRPr="00461EB8" w:rsidRDefault="00461EB8" w:rsidP="00461EB8">
      <w:pPr>
        <w:spacing w:after="80"/>
        <w:rPr>
          <w:rFonts w:ascii="Montserrat" w:hAnsi="Montserrat"/>
          <w:sz w:val="20"/>
          <w:szCs w:val="20"/>
        </w:rPr>
      </w:pPr>
      <w:r w:rsidRPr="00461EB8">
        <w:rPr>
          <w:rFonts w:ascii="Montserrat" w:hAnsi="Montserrat"/>
          <w:sz w:val="20"/>
          <w:szCs w:val="20"/>
        </w:rPr>
        <w:t>For each statement, write Correct or Incorrect and briefly explain your answer. Each row is worth 3 points.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547"/>
        <w:gridCol w:w="3960"/>
        <w:gridCol w:w="1123"/>
        <w:gridCol w:w="3442"/>
      </w:tblGrid>
      <w:tr w:rsidR="00461EB8" w:rsidRPr="00461EB8" w14:paraId="5EBF35B5" w14:textId="77777777" w:rsidTr="00CA276E">
        <w:trPr>
          <w:tblHeader/>
        </w:trPr>
        <w:tc>
          <w:tcPr>
            <w:tcW w:w="547" w:type="dxa"/>
            <w:shd w:val="clear" w:color="auto" w:fill="0B4A86"/>
            <w:tcMar>
              <w:top w:w="90" w:type="dxa"/>
              <w:left w:w="90" w:type="dxa"/>
              <w:bottom w:w="90" w:type="dxa"/>
              <w:right w:w="90" w:type="dxa"/>
            </w:tcMar>
            <w:vAlign w:val="center"/>
          </w:tcPr>
          <w:p w14:paraId="1DB794BA"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lastRenderedPageBreak/>
              <w:t>No.</w:t>
            </w:r>
          </w:p>
        </w:tc>
        <w:tc>
          <w:tcPr>
            <w:tcW w:w="3960" w:type="dxa"/>
            <w:shd w:val="clear" w:color="auto" w:fill="0B4A86"/>
            <w:tcMar>
              <w:top w:w="90" w:type="dxa"/>
              <w:left w:w="90" w:type="dxa"/>
              <w:bottom w:w="90" w:type="dxa"/>
              <w:right w:w="90" w:type="dxa"/>
            </w:tcMar>
            <w:vAlign w:val="center"/>
          </w:tcPr>
          <w:p w14:paraId="26D153AD"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AI-Generated Statement</w:t>
            </w:r>
          </w:p>
        </w:tc>
        <w:tc>
          <w:tcPr>
            <w:tcW w:w="1123" w:type="dxa"/>
            <w:shd w:val="clear" w:color="auto" w:fill="0B4A86"/>
            <w:tcMar>
              <w:top w:w="90" w:type="dxa"/>
              <w:left w:w="90" w:type="dxa"/>
              <w:bottom w:w="90" w:type="dxa"/>
              <w:right w:w="90" w:type="dxa"/>
            </w:tcMar>
            <w:vAlign w:val="center"/>
          </w:tcPr>
          <w:p w14:paraId="4783DEDA"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Verdict</w:t>
            </w:r>
          </w:p>
        </w:tc>
        <w:tc>
          <w:tcPr>
            <w:tcW w:w="3442" w:type="dxa"/>
            <w:shd w:val="clear" w:color="auto" w:fill="0B4A86"/>
            <w:tcMar>
              <w:top w:w="90" w:type="dxa"/>
              <w:left w:w="90" w:type="dxa"/>
              <w:bottom w:w="90" w:type="dxa"/>
              <w:right w:w="90" w:type="dxa"/>
            </w:tcMar>
            <w:vAlign w:val="center"/>
          </w:tcPr>
          <w:p w14:paraId="29092438"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Validated Correction / Justification</w:t>
            </w:r>
          </w:p>
        </w:tc>
      </w:tr>
      <w:tr w:rsidR="00461EB8" w:rsidRPr="00461EB8" w14:paraId="67FC3E11" w14:textId="77777777" w:rsidTr="00CA276E">
        <w:trPr>
          <w:cantSplit/>
        </w:trPr>
        <w:tc>
          <w:tcPr>
            <w:tcW w:w="547" w:type="dxa"/>
            <w:tcMar>
              <w:top w:w="90" w:type="dxa"/>
              <w:left w:w="90" w:type="dxa"/>
              <w:bottom w:w="90" w:type="dxa"/>
              <w:right w:w="90" w:type="dxa"/>
            </w:tcMar>
            <w:vAlign w:val="center"/>
          </w:tcPr>
          <w:p w14:paraId="687C57E3"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1</w:t>
            </w:r>
          </w:p>
        </w:tc>
        <w:tc>
          <w:tcPr>
            <w:tcW w:w="3960" w:type="dxa"/>
            <w:tcMar>
              <w:top w:w="90" w:type="dxa"/>
              <w:left w:w="90" w:type="dxa"/>
              <w:bottom w:w="90" w:type="dxa"/>
              <w:right w:w="90" w:type="dxa"/>
            </w:tcMar>
            <w:vAlign w:val="center"/>
          </w:tcPr>
          <w:p w14:paraId="05449854"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SOX applies to every application, even when the application does not affect financial reporting.</w:t>
            </w:r>
          </w:p>
        </w:tc>
        <w:tc>
          <w:tcPr>
            <w:tcW w:w="1123" w:type="dxa"/>
            <w:tcMar>
              <w:top w:w="90" w:type="dxa"/>
              <w:left w:w="90" w:type="dxa"/>
              <w:bottom w:w="90" w:type="dxa"/>
              <w:right w:w="90" w:type="dxa"/>
            </w:tcMar>
            <w:vAlign w:val="center"/>
          </w:tcPr>
          <w:p>
            <w:r/>
            <w:r>
              <w:rPr>
                <w:rFonts w:ascii="Montserrat" w:hAnsi="Montserrat"/>
                <w:sz w:val="20"/>
              </w:rPr>
              <w:t>Incorrect</w:t>
            </w:r>
          </w:p>
        </w:tc>
        <w:tc>
          <w:tcPr>
            <w:tcW w:w="3442" w:type="dxa"/>
            <w:tcMar>
              <w:top w:w="90" w:type="dxa"/>
              <w:left w:w="90" w:type="dxa"/>
              <w:bottom w:w="90" w:type="dxa"/>
              <w:right w:w="90" w:type="dxa"/>
            </w:tcMar>
            <w:vAlign w:val="center"/>
          </w:tcPr>
          <w:p>
            <w:r/>
            <w:r>
              <w:rPr>
                <w:rFonts w:ascii="Montserrat" w:hAnsi="Montserrat"/>
                <w:sz w:val="20"/>
              </w:rPr>
              <w:t>SOX scope is strictly limited to ICFR. Only key financial systems and reports matter. Other applications remain out of scope unless they feed financial data.</w:t>
            </w:r>
          </w:p>
        </w:tc>
      </w:tr>
      <w:tr w:rsidR="00461EB8" w:rsidRPr="00461EB8" w14:paraId="08CE7EC9" w14:textId="77777777" w:rsidTr="00CA276E">
        <w:trPr>
          <w:cantSplit/>
        </w:trPr>
        <w:tc>
          <w:tcPr>
            <w:tcW w:w="547" w:type="dxa"/>
            <w:tcMar>
              <w:top w:w="90" w:type="dxa"/>
              <w:left w:w="90" w:type="dxa"/>
              <w:bottom w:w="90" w:type="dxa"/>
              <w:right w:w="90" w:type="dxa"/>
            </w:tcMar>
            <w:vAlign w:val="center"/>
          </w:tcPr>
          <w:p w14:paraId="52E60424"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2</w:t>
            </w:r>
          </w:p>
        </w:tc>
        <w:tc>
          <w:tcPr>
            <w:tcW w:w="3960" w:type="dxa"/>
            <w:tcMar>
              <w:top w:w="90" w:type="dxa"/>
              <w:left w:w="90" w:type="dxa"/>
              <w:bottom w:w="90" w:type="dxa"/>
              <w:right w:w="90" w:type="dxa"/>
            </w:tcMar>
            <w:vAlign w:val="center"/>
          </w:tcPr>
          <w:p w14:paraId="5D39BD7B"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Raw patient records should be attached to a widely distributed audit report to make it transparent.</w:t>
            </w:r>
          </w:p>
        </w:tc>
        <w:tc>
          <w:tcPr>
            <w:tcW w:w="1123" w:type="dxa"/>
            <w:tcMar>
              <w:top w:w="90" w:type="dxa"/>
              <w:left w:w="90" w:type="dxa"/>
              <w:bottom w:w="90" w:type="dxa"/>
              <w:right w:w="90" w:type="dxa"/>
            </w:tcMar>
            <w:vAlign w:val="center"/>
          </w:tcPr>
          <w:p>
            <w:r/>
            <w:r>
              <w:rPr>
                <w:rFonts w:ascii="Montserrat" w:hAnsi="Montserrat"/>
                <w:sz w:val="20"/>
              </w:rPr>
              <w:t>Incorrect</w:t>
            </w:r>
          </w:p>
        </w:tc>
        <w:tc>
          <w:tcPr>
            <w:tcW w:w="3442" w:type="dxa"/>
            <w:tcMar>
              <w:top w:w="90" w:type="dxa"/>
              <w:left w:w="90" w:type="dxa"/>
              <w:bottom w:w="90" w:type="dxa"/>
              <w:right w:w="90" w:type="dxa"/>
            </w:tcMar>
            <w:vAlign w:val="center"/>
          </w:tcPr>
          <w:p>
            <w:r/>
            <w:r>
              <w:rPr>
                <w:rFonts w:ascii="Montserrat" w:hAnsi="Montserrat"/>
                <w:sz w:val="20"/>
              </w:rPr>
              <w:t>Attaching ePHI destroys confidentiality and violates the HIPAA Privacy Rule and audit standards. Transparency never justifies exposure. Use a de-identified summary with restricted distribution.</w:t>
            </w:r>
          </w:p>
        </w:tc>
      </w:tr>
    </w:tbl>
    <w:p w14:paraId="74E28CA7"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Part C. Professional Judgment (8 points)</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4320"/>
        <w:gridCol w:w="4752"/>
      </w:tblGrid>
      <w:tr w:rsidR="00461EB8" w:rsidRPr="00461EB8" w14:paraId="4150EE0B" w14:textId="77777777" w:rsidTr="00CA276E">
        <w:trPr>
          <w:tblHeader/>
        </w:trPr>
        <w:tc>
          <w:tcPr>
            <w:tcW w:w="4320" w:type="dxa"/>
            <w:shd w:val="clear" w:color="auto" w:fill="0B4A86"/>
            <w:tcMar>
              <w:top w:w="90" w:type="dxa"/>
              <w:left w:w="90" w:type="dxa"/>
              <w:bottom w:w="90" w:type="dxa"/>
              <w:right w:w="90" w:type="dxa"/>
            </w:tcMar>
            <w:vAlign w:val="center"/>
          </w:tcPr>
          <w:p w14:paraId="323AE63E"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Question</w:t>
            </w:r>
          </w:p>
        </w:tc>
        <w:tc>
          <w:tcPr>
            <w:tcW w:w="4752" w:type="dxa"/>
            <w:shd w:val="clear" w:color="auto" w:fill="0B4A86"/>
            <w:tcMar>
              <w:top w:w="90" w:type="dxa"/>
              <w:left w:w="90" w:type="dxa"/>
              <w:bottom w:w="90" w:type="dxa"/>
              <w:right w:w="90" w:type="dxa"/>
            </w:tcMar>
            <w:vAlign w:val="center"/>
          </w:tcPr>
          <w:p w14:paraId="189FB0DE"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Answer</w:t>
            </w:r>
          </w:p>
        </w:tc>
      </w:tr>
      <w:tr w:rsidR="00461EB8" w:rsidRPr="00461EB8" w14:paraId="2907843F" w14:textId="77777777" w:rsidTr="00CA276E">
        <w:tc>
          <w:tcPr>
            <w:tcW w:w="4320" w:type="dxa"/>
            <w:tcMar>
              <w:top w:w="90" w:type="dxa"/>
              <w:left w:w="90" w:type="dxa"/>
              <w:bottom w:w="90" w:type="dxa"/>
              <w:right w:w="90" w:type="dxa"/>
            </w:tcMar>
            <w:vAlign w:val="center"/>
          </w:tcPr>
          <w:p w14:paraId="58C8FB14"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How should the auditor respond to the manager's request? Explain how the response protects objectivity and confidentiality.</w:t>
            </w:r>
          </w:p>
        </w:tc>
        <w:tc>
          <w:tcPr>
            <w:tcW w:w="4752" w:type="dxa"/>
            <w:tcMar>
              <w:top w:w="90" w:type="dxa"/>
              <w:left w:w="90" w:type="dxa"/>
              <w:bottom w:w="90" w:type="dxa"/>
              <w:right w:w="90" w:type="dxa"/>
            </w:tcMar>
            <w:vAlign w:val="center"/>
          </w:tcPr>
          <w:p>
            <w:r/>
            <w:r>
              <w:rPr>
                <w:rFonts w:ascii="Montserrat" w:hAnsi="Montserrat"/>
                <w:sz w:val="20"/>
              </w:rPr>
              <w:t>The auditor must firmly refuse and retain the finding without modification. The pressure attempt must be documented as a scope-limitation threat and communicated at once to the engagement partner and those charged with governance. Objectivity is protected because the opinion is based solely on sufficient evidence, never on client interest. Confidentiality is protected through need-to-know disclosure, redaction of sensitive data, and secure handling of workpapers.</w:t>
            </w:r>
          </w:p>
        </w:tc>
      </w:tr>
    </w:tbl>
    <w:p w14:paraId="206926FA" w14:textId="77777777" w:rsidR="00461EB8" w:rsidRPr="00461EB8" w:rsidRDefault="00461EB8" w:rsidP="00461EB8">
      <w:pPr>
        <w:keepNext/>
        <w:spacing w:before="160"/>
        <w:rPr>
          <w:rFonts w:ascii="Montserrat" w:hAnsi="Montserrat"/>
          <w:sz w:val="20"/>
          <w:szCs w:val="20"/>
        </w:rPr>
      </w:pPr>
      <w:r w:rsidRPr="00461EB8">
        <w:rPr>
          <w:rFonts w:ascii="Montserrat" w:hAnsi="Montserrat"/>
          <w:b/>
          <w:color w:val="0B4A86"/>
          <w:sz w:val="20"/>
          <w:szCs w:val="20"/>
        </w:rPr>
        <w:t>Scoring Guide</w:t>
      </w:r>
    </w:p>
    <w:tbl>
      <w:tblPr>
        <w:tblW w:w="9072" w:type="dxa"/>
        <w:tblInd w:w="120" w:type="dxa"/>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1670"/>
        <w:gridCol w:w="1440"/>
        <w:gridCol w:w="1440"/>
        <w:gridCol w:w="1584"/>
        <w:gridCol w:w="1440"/>
        <w:gridCol w:w="1498"/>
      </w:tblGrid>
      <w:tr w:rsidR="00461EB8" w:rsidRPr="00461EB8" w14:paraId="3184980B" w14:textId="77777777" w:rsidTr="00CA276E">
        <w:trPr>
          <w:tblHeader/>
        </w:trPr>
        <w:tc>
          <w:tcPr>
            <w:tcW w:w="1670" w:type="dxa"/>
            <w:shd w:val="clear" w:color="auto" w:fill="0B4A86"/>
            <w:tcMar>
              <w:top w:w="90" w:type="dxa"/>
              <w:left w:w="90" w:type="dxa"/>
              <w:bottom w:w="90" w:type="dxa"/>
              <w:right w:w="90" w:type="dxa"/>
            </w:tcMar>
            <w:vAlign w:val="center"/>
          </w:tcPr>
          <w:p w14:paraId="7D09003C"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Issue Identification</w:t>
            </w:r>
          </w:p>
        </w:tc>
        <w:tc>
          <w:tcPr>
            <w:tcW w:w="1440" w:type="dxa"/>
            <w:shd w:val="clear" w:color="auto" w:fill="0B4A86"/>
            <w:tcMar>
              <w:top w:w="90" w:type="dxa"/>
              <w:left w:w="90" w:type="dxa"/>
              <w:bottom w:w="90" w:type="dxa"/>
              <w:right w:w="90" w:type="dxa"/>
            </w:tcMar>
            <w:vAlign w:val="center"/>
          </w:tcPr>
          <w:p w14:paraId="5D5AFF9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Actions</w:t>
            </w:r>
          </w:p>
        </w:tc>
        <w:tc>
          <w:tcPr>
            <w:tcW w:w="1440" w:type="dxa"/>
            <w:shd w:val="clear" w:color="auto" w:fill="0B4A86"/>
            <w:tcMar>
              <w:top w:w="90" w:type="dxa"/>
              <w:left w:w="90" w:type="dxa"/>
              <w:bottom w:w="90" w:type="dxa"/>
              <w:right w:w="90" w:type="dxa"/>
            </w:tcMar>
            <w:vAlign w:val="center"/>
          </w:tcPr>
          <w:p w14:paraId="070B74F6"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Evidence</w:t>
            </w:r>
          </w:p>
        </w:tc>
        <w:tc>
          <w:tcPr>
            <w:tcW w:w="1584" w:type="dxa"/>
            <w:shd w:val="clear" w:color="auto" w:fill="0B4A86"/>
            <w:tcMar>
              <w:top w:w="90" w:type="dxa"/>
              <w:left w:w="90" w:type="dxa"/>
              <w:bottom w:w="90" w:type="dxa"/>
              <w:right w:w="90" w:type="dxa"/>
            </w:tcMar>
            <w:vAlign w:val="center"/>
          </w:tcPr>
          <w:p w14:paraId="5D92AA94"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AI Validation</w:t>
            </w:r>
          </w:p>
        </w:tc>
        <w:tc>
          <w:tcPr>
            <w:tcW w:w="1440" w:type="dxa"/>
            <w:shd w:val="clear" w:color="auto" w:fill="0B4A86"/>
            <w:tcMar>
              <w:top w:w="90" w:type="dxa"/>
              <w:left w:w="90" w:type="dxa"/>
              <w:bottom w:w="90" w:type="dxa"/>
              <w:right w:w="90" w:type="dxa"/>
            </w:tcMar>
            <w:vAlign w:val="center"/>
          </w:tcPr>
          <w:p w14:paraId="5EA6C5DB"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Judgment</w:t>
            </w:r>
          </w:p>
        </w:tc>
        <w:tc>
          <w:tcPr>
            <w:tcW w:w="1498" w:type="dxa"/>
            <w:shd w:val="clear" w:color="auto" w:fill="0B4A86"/>
            <w:tcMar>
              <w:top w:w="90" w:type="dxa"/>
              <w:left w:w="90" w:type="dxa"/>
              <w:bottom w:w="90" w:type="dxa"/>
              <w:right w:w="90" w:type="dxa"/>
            </w:tcMar>
            <w:vAlign w:val="center"/>
          </w:tcPr>
          <w:p w14:paraId="3F015772" w14:textId="77777777" w:rsidR="00461EB8" w:rsidRPr="00461EB8" w:rsidRDefault="00461EB8" w:rsidP="00CA276E">
            <w:pPr>
              <w:rPr>
                <w:rFonts w:ascii="Montserrat" w:hAnsi="Montserrat"/>
                <w:sz w:val="20"/>
                <w:szCs w:val="20"/>
              </w:rPr>
            </w:pPr>
            <w:r w:rsidRPr="00461EB8">
              <w:rPr>
                <w:rFonts w:ascii="Montserrat" w:hAnsi="Montserrat"/>
                <w:b/>
                <w:color w:val="FFFFFF"/>
                <w:sz w:val="20"/>
                <w:szCs w:val="20"/>
              </w:rPr>
              <w:t>Total</w:t>
            </w:r>
          </w:p>
        </w:tc>
      </w:tr>
      <w:tr w:rsidR="00461EB8" w:rsidRPr="00461EB8" w14:paraId="4D3DDD97" w14:textId="77777777" w:rsidTr="00CA276E">
        <w:trPr>
          <w:cantSplit/>
        </w:trPr>
        <w:tc>
          <w:tcPr>
            <w:tcW w:w="1670" w:type="dxa"/>
            <w:tcMar>
              <w:top w:w="90" w:type="dxa"/>
              <w:left w:w="90" w:type="dxa"/>
              <w:bottom w:w="90" w:type="dxa"/>
              <w:right w:w="90" w:type="dxa"/>
            </w:tcMar>
            <w:vAlign w:val="center"/>
          </w:tcPr>
          <w:p w14:paraId="46C9997D" w14:textId="77777777" w:rsidR="00461EB8" w:rsidRPr="00461EB8" w:rsidRDefault="00461EB8" w:rsidP="00CA276E">
            <w:pPr>
              <w:jc w:val="center"/>
              <w:rPr>
                <w:rFonts w:ascii="Montserrat" w:hAnsi="Montserrat"/>
                <w:sz w:val="20"/>
                <w:szCs w:val="20"/>
              </w:rPr>
            </w:pPr>
            <w:r w:rsidRPr="00461EB8">
              <w:rPr>
                <w:rFonts w:ascii="Montserrat" w:hAnsi="Montserrat"/>
                <w:color w:val="000000"/>
                <w:sz w:val="20"/>
                <w:szCs w:val="20"/>
              </w:rPr>
              <w:t>6</w:t>
            </w:r>
          </w:p>
        </w:tc>
        <w:tc>
          <w:tcPr>
            <w:tcW w:w="1440" w:type="dxa"/>
            <w:tcMar>
              <w:top w:w="90" w:type="dxa"/>
              <w:left w:w="90" w:type="dxa"/>
              <w:bottom w:w="90" w:type="dxa"/>
              <w:right w:w="90" w:type="dxa"/>
            </w:tcMar>
            <w:vAlign w:val="center"/>
          </w:tcPr>
          <w:p w14:paraId="3F1232CB"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5</w:t>
            </w:r>
          </w:p>
        </w:tc>
        <w:tc>
          <w:tcPr>
            <w:tcW w:w="1440" w:type="dxa"/>
            <w:tcMar>
              <w:top w:w="90" w:type="dxa"/>
              <w:left w:w="90" w:type="dxa"/>
              <w:bottom w:w="90" w:type="dxa"/>
              <w:right w:w="90" w:type="dxa"/>
            </w:tcMar>
            <w:vAlign w:val="center"/>
          </w:tcPr>
          <w:p w14:paraId="38335C2E"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5</w:t>
            </w:r>
          </w:p>
        </w:tc>
        <w:tc>
          <w:tcPr>
            <w:tcW w:w="1584" w:type="dxa"/>
            <w:tcMar>
              <w:top w:w="90" w:type="dxa"/>
              <w:left w:w="90" w:type="dxa"/>
              <w:bottom w:w="90" w:type="dxa"/>
              <w:right w:w="90" w:type="dxa"/>
            </w:tcMar>
            <w:vAlign w:val="center"/>
          </w:tcPr>
          <w:p w14:paraId="256420A9"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6</w:t>
            </w:r>
          </w:p>
        </w:tc>
        <w:tc>
          <w:tcPr>
            <w:tcW w:w="1440" w:type="dxa"/>
            <w:tcMar>
              <w:top w:w="90" w:type="dxa"/>
              <w:left w:w="90" w:type="dxa"/>
              <w:bottom w:w="90" w:type="dxa"/>
              <w:right w:w="90" w:type="dxa"/>
            </w:tcMar>
            <w:vAlign w:val="center"/>
          </w:tcPr>
          <w:p w14:paraId="0D45C5F8"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8</w:t>
            </w:r>
          </w:p>
        </w:tc>
        <w:tc>
          <w:tcPr>
            <w:tcW w:w="1498" w:type="dxa"/>
            <w:tcMar>
              <w:top w:w="90" w:type="dxa"/>
              <w:left w:w="90" w:type="dxa"/>
              <w:bottom w:w="90" w:type="dxa"/>
              <w:right w:w="90" w:type="dxa"/>
            </w:tcMar>
            <w:vAlign w:val="center"/>
          </w:tcPr>
          <w:p w14:paraId="48C87503" w14:textId="77777777" w:rsidR="00461EB8" w:rsidRPr="00461EB8" w:rsidRDefault="00461EB8" w:rsidP="00CA276E">
            <w:pPr>
              <w:rPr>
                <w:rFonts w:ascii="Montserrat" w:hAnsi="Montserrat"/>
                <w:sz w:val="20"/>
                <w:szCs w:val="20"/>
              </w:rPr>
            </w:pPr>
            <w:r w:rsidRPr="00461EB8">
              <w:rPr>
                <w:rFonts w:ascii="Montserrat" w:hAnsi="Montserrat"/>
                <w:color w:val="000000"/>
                <w:sz w:val="20"/>
                <w:szCs w:val="20"/>
              </w:rPr>
              <w:t>30</w:t>
            </w:r>
          </w:p>
        </w:tc>
      </w:tr>
    </w:tbl>
    <w:p w14:paraId="596ABA1A" w14:textId="77777777" w:rsidR="00461EB8" w:rsidRPr="00461EB8" w:rsidRDefault="00461EB8" w:rsidP="00461EB8">
      <w:pPr>
        <w:spacing w:before="60"/>
        <w:rPr>
          <w:rFonts w:ascii="Montserrat" w:hAnsi="Montserrat"/>
          <w:sz w:val="20"/>
          <w:szCs w:val="20"/>
        </w:rPr>
      </w:pPr>
      <w:r w:rsidRPr="00461EB8">
        <w:rPr>
          <w:rFonts w:ascii="Montserrat" w:hAnsi="Montserrat"/>
          <w:i/>
          <w:sz w:val="20"/>
          <w:szCs w:val="20"/>
        </w:rPr>
        <w:t>Full credit requires correct issue identification, appropriate actions, relevant evidence, accurate AI validation, and justified professional judgment.</w:t>
      </w:r>
    </w:p>
    <w:p w14:paraId="15965114" w14:textId="3502BB99" w:rsidR="00652B3E" w:rsidRPr="00461EB8" w:rsidRDefault="00652B3E" w:rsidP="00461EB8">
      <w:pPr>
        <w:rPr>
          <w:rFonts w:ascii="Montserrat" w:hAnsi="Montserrat"/>
          <w:sz w:val="20"/>
          <w:szCs w:val="20"/>
        </w:rPr>
      </w:pPr>
    </w:p>
    <w:sectPr w:rsidR="00652B3E" w:rsidRPr="00461EB8" w:rsidSect="000C422A">
      <w:headerReference w:type="default" r:id="rId8"/>
      <w:footerReference w:type="default" r:id="rId9"/>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3968" w14:textId="77777777" w:rsidR="00CA36C4" w:rsidRDefault="00CA36C4" w:rsidP="007C7C26">
      <w:r>
        <w:separator/>
      </w:r>
    </w:p>
  </w:endnote>
  <w:endnote w:type="continuationSeparator" w:id="0">
    <w:p w14:paraId="2979F15C" w14:textId="77777777" w:rsidR="00CA36C4" w:rsidRDefault="00CA36C4"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105A" w14:textId="714489C1" w:rsidR="007C7C26" w:rsidRPr="006B7E15" w:rsidRDefault="006B7E15" w:rsidP="006B7E15">
    <w:pPr>
      <w:rPr>
        <w:rFonts w:ascii="Montserrat" w:hAnsi="Montserrat"/>
      </w:rPr>
    </w:pPr>
    <w:r w:rsidRPr="006B7E15">
      <w:rPr>
        <w:rFonts w:ascii="Montserrat" w:eastAsia="Aptos Display" w:hAnsi="Montserrat"/>
        <w:b/>
        <w:color w:val="003B7A"/>
        <w:sz w:val="22"/>
      </w:rPr>
      <w:t>PEIS002 – IT Audits and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31A5" w14:textId="77777777" w:rsidR="00CA36C4" w:rsidRDefault="00CA36C4" w:rsidP="007C7C26">
      <w:r>
        <w:separator/>
      </w:r>
    </w:p>
  </w:footnote>
  <w:footnote w:type="continuationSeparator" w:id="0">
    <w:p w14:paraId="0AE0586E" w14:textId="77777777" w:rsidR="00CA36C4" w:rsidRDefault="00CA36C4"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ascii="Montserrat" w:eastAsia="Bookman Old Style" w:hAnsi="Montserrat" w:cs="Bookman Old Style"/>
        <w:b/>
      </w:rPr>
    </w:pPr>
    <w:r w:rsidRPr="001D5D30">
      <w:rPr>
        <w:rFonts w:ascii="Montserrat" w:hAnsi="Montserrat"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1222082808"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ascii="Montserrat" w:eastAsia="Bookman Old Style" w:hAnsi="Montserrat" w:cs="Bookman Old Style"/>
        <w:b/>
        <w:color w:val="000000"/>
      </w:rPr>
      <w:t>MANDALUYONG COLLEGE OF SCIENCE AND TECHNOLOGY</w:t>
    </w:r>
  </w:p>
  <w:p w14:paraId="34FAF2AC" w14:textId="77777777" w:rsidR="001D5D30" w:rsidRPr="001D5D30" w:rsidRDefault="001D5D30" w:rsidP="001D5D30">
    <w:pPr>
      <w:jc w:val="center"/>
      <w:rPr>
        <w:rFonts w:ascii="Montserrat" w:eastAsia="Bookman Old Style" w:hAnsi="Montserrat" w:cs="Bookman Old Style"/>
        <w:b/>
      </w:rPr>
    </w:pPr>
    <w:r w:rsidRPr="001D5D30">
      <w:rPr>
        <w:rFonts w:ascii="Montserrat" w:eastAsia="Bookman Old Style" w:hAnsi="Montserrat" w:cs="Bookman Old Style"/>
        <w:b/>
        <w:color w:val="000000"/>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687FE7"/>
    <w:multiLevelType w:val="multilevel"/>
    <w:tmpl w:val="116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C69AB"/>
    <w:multiLevelType w:val="multilevel"/>
    <w:tmpl w:val="1D0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C60FF"/>
    <w:multiLevelType w:val="multilevel"/>
    <w:tmpl w:val="B08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96206"/>
    <w:multiLevelType w:val="multilevel"/>
    <w:tmpl w:val="9EA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210771">
    <w:abstractNumId w:val="2"/>
  </w:num>
  <w:num w:numId="2" w16cid:durableId="733701296">
    <w:abstractNumId w:val="1"/>
  </w:num>
  <w:num w:numId="3" w16cid:durableId="1719160239">
    <w:abstractNumId w:val="0"/>
  </w:num>
  <w:num w:numId="4" w16cid:durableId="57093248">
    <w:abstractNumId w:val="4"/>
  </w:num>
  <w:num w:numId="5" w16cid:durableId="164906155">
    <w:abstractNumId w:val="5"/>
  </w:num>
  <w:num w:numId="6" w16cid:durableId="1229262787">
    <w:abstractNumId w:val="3"/>
  </w:num>
  <w:num w:numId="7" w16cid:durableId="46963580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57674"/>
    <w:rsid w:val="0009445A"/>
    <w:rsid w:val="000B05A5"/>
    <w:rsid w:val="000C1361"/>
    <w:rsid w:val="000C422A"/>
    <w:rsid w:val="000D0142"/>
    <w:rsid w:val="000D0F3F"/>
    <w:rsid w:val="000E7919"/>
    <w:rsid w:val="000F3FBC"/>
    <w:rsid w:val="001054EA"/>
    <w:rsid w:val="00160EAA"/>
    <w:rsid w:val="001701DB"/>
    <w:rsid w:val="001735DA"/>
    <w:rsid w:val="0019254D"/>
    <w:rsid w:val="001A004F"/>
    <w:rsid w:val="001A6478"/>
    <w:rsid w:val="001D075E"/>
    <w:rsid w:val="001D35B2"/>
    <w:rsid w:val="001D5D30"/>
    <w:rsid w:val="002505AD"/>
    <w:rsid w:val="00257882"/>
    <w:rsid w:val="00276A00"/>
    <w:rsid w:val="00291A1F"/>
    <w:rsid w:val="002B22F6"/>
    <w:rsid w:val="002B34D9"/>
    <w:rsid w:val="002B72B6"/>
    <w:rsid w:val="002C4199"/>
    <w:rsid w:val="002E020A"/>
    <w:rsid w:val="003017AC"/>
    <w:rsid w:val="003215D5"/>
    <w:rsid w:val="00321622"/>
    <w:rsid w:val="00321A9E"/>
    <w:rsid w:val="003308A8"/>
    <w:rsid w:val="0035463C"/>
    <w:rsid w:val="00365AD1"/>
    <w:rsid w:val="003715E6"/>
    <w:rsid w:val="00374E3A"/>
    <w:rsid w:val="003C0F8F"/>
    <w:rsid w:val="003D5282"/>
    <w:rsid w:val="00415371"/>
    <w:rsid w:val="00442AB2"/>
    <w:rsid w:val="00447757"/>
    <w:rsid w:val="00451CDB"/>
    <w:rsid w:val="004608C4"/>
    <w:rsid w:val="00461EB8"/>
    <w:rsid w:val="00463E40"/>
    <w:rsid w:val="004665AB"/>
    <w:rsid w:val="00485241"/>
    <w:rsid w:val="00494C87"/>
    <w:rsid w:val="004A301E"/>
    <w:rsid w:val="004B035A"/>
    <w:rsid w:val="004B4272"/>
    <w:rsid w:val="004C382F"/>
    <w:rsid w:val="004C5F36"/>
    <w:rsid w:val="004E3B70"/>
    <w:rsid w:val="005231A4"/>
    <w:rsid w:val="0053719E"/>
    <w:rsid w:val="005513BE"/>
    <w:rsid w:val="00560D49"/>
    <w:rsid w:val="00584852"/>
    <w:rsid w:val="00585833"/>
    <w:rsid w:val="005A46F6"/>
    <w:rsid w:val="005B6BB0"/>
    <w:rsid w:val="005C2126"/>
    <w:rsid w:val="005D53DE"/>
    <w:rsid w:val="005F2E74"/>
    <w:rsid w:val="005F6FA6"/>
    <w:rsid w:val="00602903"/>
    <w:rsid w:val="00604C5D"/>
    <w:rsid w:val="00605191"/>
    <w:rsid w:val="00610F9D"/>
    <w:rsid w:val="00623D67"/>
    <w:rsid w:val="00625E45"/>
    <w:rsid w:val="00631D81"/>
    <w:rsid w:val="00641CA2"/>
    <w:rsid w:val="00642B86"/>
    <w:rsid w:val="00652B3E"/>
    <w:rsid w:val="006962C9"/>
    <w:rsid w:val="006A0453"/>
    <w:rsid w:val="006A0A6A"/>
    <w:rsid w:val="006B7E15"/>
    <w:rsid w:val="006C1E6B"/>
    <w:rsid w:val="006E4560"/>
    <w:rsid w:val="006F1D3E"/>
    <w:rsid w:val="00705FB6"/>
    <w:rsid w:val="00717AC4"/>
    <w:rsid w:val="007203D1"/>
    <w:rsid w:val="00744923"/>
    <w:rsid w:val="0075737C"/>
    <w:rsid w:val="00757B8E"/>
    <w:rsid w:val="0077633C"/>
    <w:rsid w:val="007964AD"/>
    <w:rsid w:val="007B6722"/>
    <w:rsid w:val="007C7C26"/>
    <w:rsid w:val="007D0193"/>
    <w:rsid w:val="0080324C"/>
    <w:rsid w:val="0080662E"/>
    <w:rsid w:val="00822B5A"/>
    <w:rsid w:val="00827309"/>
    <w:rsid w:val="00832613"/>
    <w:rsid w:val="008356C8"/>
    <w:rsid w:val="008417D2"/>
    <w:rsid w:val="0085387D"/>
    <w:rsid w:val="00877D44"/>
    <w:rsid w:val="00885AAF"/>
    <w:rsid w:val="00894230"/>
    <w:rsid w:val="00897A6A"/>
    <w:rsid w:val="008A36CB"/>
    <w:rsid w:val="008A4292"/>
    <w:rsid w:val="008B5262"/>
    <w:rsid w:val="008F0FAC"/>
    <w:rsid w:val="008F34CE"/>
    <w:rsid w:val="0092470B"/>
    <w:rsid w:val="00924AFC"/>
    <w:rsid w:val="00937CD5"/>
    <w:rsid w:val="00956806"/>
    <w:rsid w:val="00975FFF"/>
    <w:rsid w:val="009C79FF"/>
    <w:rsid w:val="009D0B53"/>
    <w:rsid w:val="00A1150F"/>
    <w:rsid w:val="00A34385"/>
    <w:rsid w:val="00A556FA"/>
    <w:rsid w:val="00A64B94"/>
    <w:rsid w:val="00A834C3"/>
    <w:rsid w:val="00A94854"/>
    <w:rsid w:val="00AA2674"/>
    <w:rsid w:val="00AA370F"/>
    <w:rsid w:val="00AB59AF"/>
    <w:rsid w:val="00AB7555"/>
    <w:rsid w:val="00AE7750"/>
    <w:rsid w:val="00AF23BF"/>
    <w:rsid w:val="00B0199E"/>
    <w:rsid w:val="00B31ED4"/>
    <w:rsid w:val="00B34F0C"/>
    <w:rsid w:val="00B44094"/>
    <w:rsid w:val="00B5250C"/>
    <w:rsid w:val="00B6735C"/>
    <w:rsid w:val="00B75BCC"/>
    <w:rsid w:val="00B83536"/>
    <w:rsid w:val="00B97DA9"/>
    <w:rsid w:val="00BA3D5C"/>
    <w:rsid w:val="00BB7872"/>
    <w:rsid w:val="00BC5EE4"/>
    <w:rsid w:val="00BD0E51"/>
    <w:rsid w:val="00BD2030"/>
    <w:rsid w:val="00BD69F3"/>
    <w:rsid w:val="00BF5A08"/>
    <w:rsid w:val="00C068D0"/>
    <w:rsid w:val="00C1776A"/>
    <w:rsid w:val="00C25230"/>
    <w:rsid w:val="00C26C0D"/>
    <w:rsid w:val="00C478F9"/>
    <w:rsid w:val="00C73503"/>
    <w:rsid w:val="00CA36C4"/>
    <w:rsid w:val="00CB0DD2"/>
    <w:rsid w:val="00CB1944"/>
    <w:rsid w:val="00CC6E25"/>
    <w:rsid w:val="00CE3F3C"/>
    <w:rsid w:val="00CE4971"/>
    <w:rsid w:val="00CF48C1"/>
    <w:rsid w:val="00D15858"/>
    <w:rsid w:val="00D219E6"/>
    <w:rsid w:val="00D375CC"/>
    <w:rsid w:val="00D426BA"/>
    <w:rsid w:val="00D47C3A"/>
    <w:rsid w:val="00D60273"/>
    <w:rsid w:val="00D664A1"/>
    <w:rsid w:val="00D66A24"/>
    <w:rsid w:val="00D73BD5"/>
    <w:rsid w:val="00D90EB0"/>
    <w:rsid w:val="00DA13ED"/>
    <w:rsid w:val="00DC19B0"/>
    <w:rsid w:val="00DC2BC8"/>
    <w:rsid w:val="00DD0425"/>
    <w:rsid w:val="00DE6DDA"/>
    <w:rsid w:val="00DF2482"/>
    <w:rsid w:val="00DF5980"/>
    <w:rsid w:val="00E10B82"/>
    <w:rsid w:val="00E23562"/>
    <w:rsid w:val="00E54C88"/>
    <w:rsid w:val="00E9048E"/>
    <w:rsid w:val="00EC5A4D"/>
    <w:rsid w:val="00EE06B1"/>
    <w:rsid w:val="00EE34A5"/>
    <w:rsid w:val="00EF401A"/>
    <w:rsid w:val="00F14C07"/>
    <w:rsid w:val="00F37CBF"/>
    <w:rsid w:val="00F66458"/>
    <w:rsid w:val="00F85FE4"/>
    <w:rsid w:val="00F93B45"/>
    <w:rsid w:val="00FA21A7"/>
    <w:rsid w:val="00FC0940"/>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A1F"/>
    <w:rPr>
      <w:rFonts w:ascii="Times New Roman" w:eastAsia="Times New Roman" w:hAnsi="Times New Roman" w:cs="Times New Roman"/>
    </w:rPr>
  </w:style>
  <w:style w:type="paragraph" w:styleId="Heading1">
    <w:name w:val="heading 1"/>
    <w:basedOn w:val="Normal"/>
    <w:next w:val="Normal"/>
    <w:link w:val="Heading1Char"/>
    <w:uiPriority w:val="9"/>
    <w:qFormat/>
    <w:rsid w:val="00E54C88"/>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E06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18302734">
      <w:bodyDiv w:val="1"/>
      <w:marLeft w:val="0"/>
      <w:marRight w:val="0"/>
      <w:marTop w:val="0"/>
      <w:marBottom w:val="0"/>
      <w:divBdr>
        <w:top w:val="none" w:sz="0" w:space="0" w:color="auto"/>
        <w:left w:val="none" w:sz="0" w:space="0" w:color="auto"/>
        <w:bottom w:val="none" w:sz="0" w:space="0" w:color="auto"/>
        <w:right w:val="none" w:sz="0" w:space="0" w:color="auto"/>
      </w:divBdr>
      <w:divsChild>
        <w:div w:id="1823084170">
          <w:marLeft w:val="0"/>
          <w:marRight w:val="0"/>
          <w:marTop w:val="0"/>
          <w:marBottom w:val="0"/>
          <w:divBdr>
            <w:top w:val="none" w:sz="0" w:space="0" w:color="auto"/>
            <w:left w:val="none" w:sz="0" w:space="0" w:color="auto"/>
            <w:bottom w:val="none" w:sz="0" w:space="0" w:color="auto"/>
            <w:right w:val="none" w:sz="0" w:space="0" w:color="auto"/>
          </w:divBdr>
          <w:divsChild>
            <w:div w:id="4298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34317487">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231576775">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386879347">
      <w:bodyDiv w:val="1"/>
      <w:marLeft w:val="0"/>
      <w:marRight w:val="0"/>
      <w:marTop w:val="0"/>
      <w:marBottom w:val="0"/>
      <w:divBdr>
        <w:top w:val="none" w:sz="0" w:space="0" w:color="auto"/>
        <w:left w:val="none" w:sz="0" w:space="0" w:color="auto"/>
        <w:bottom w:val="none" w:sz="0" w:space="0" w:color="auto"/>
        <w:right w:val="none" w:sz="0" w:space="0" w:color="auto"/>
      </w:divBdr>
    </w:div>
    <w:div w:id="1425304934">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36005896">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802645744">
      <w:bodyDiv w:val="1"/>
      <w:marLeft w:val="0"/>
      <w:marRight w:val="0"/>
      <w:marTop w:val="0"/>
      <w:marBottom w:val="0"/>
      <w:divBdr>
        <w:top w:val="none" w:sz="0" w:space="0" w:color="auto"/>
        <w:left w:val="none" w:sz="0" w:space="0" w:color="auto"/>
        <w:bottom w:val="none" w:sz="0" w:space="0" w:color="auto"/>
        <w:right w:val="none" w:sz="0" w:space="0" w:color="auto"/>
      </w:divBdr>
    </w:div>
    <w:div w:id="1847934551">
      <w:bodyDiv w:val="1"/>
      <w:marLeft w:val="0"/>
      <w:marRight w:val="0"/>
      <w:marTop w:val="0"/>
      <w:marBottom w:val="0"/>
      <w:divBdr>
        <w:top w:val="none" w:sz="0" w:space="0" w:color="auto"/>
        <w:left w:val="none" w:sz="0" w:space="0" w:color="auto"/>
        <w:bottom w:val="none" w:sz="0" w:space="0" w:color="auto"/>
        <w:right w:val="none" w:sz="0" w:space="0" w:color="auto"/>
      </w:divBdr>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Glenn Patrick Darriguez</cp:lastModifiedBy>
  <cp:revision>76</cp:revision>
  <cp:lastPrinted>2026-08-22T00:46:00Z</cp:lastPrinted>
  <dcterms:created xsi:type="dcterms:W3CDTF">2022-10-19T12:17:00Z</dcterms:created>
  <dcterms:modified xsi:type="dcterms:W3CDTF">2026-09-26T03:23:00Z</dcterms:modified>
</cp:coreProperties>
</file>