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4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8C" w:rsidRPr="0036268C" w:rsidRDefault="0036268C" w:rsidP="003626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>Ako kupci i prodavatelji nisu jednako informirani o predmetu, postoji: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399"/>
        <w:gridCol w:w="81"/>
      </w:tblGrid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0.25pt;height:18pt" o:ole="">
                  <v:imagedata r:id="rId5" o:title=""/>
                </v:shape>
                <w:control r:id="rId6" w:name="DefaultOcxName" w:shapeid="_x0000_i1039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moralni hazard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8" type="#_x0000_t75" style="width:20.25pt;height:18pt" o:ole="">
                  <v:imagedata r:id="rId5" o:title=""/>
                </v:shape>
                <w:control r:id="rId7" w:name="DefaultOcxName1" w:shapeid="_x0000_i1038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upravljanja rizikom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7" type="#_x0000_t75" style="width:20.25pt;height:18pt" o:ole="">
                  <v:imagedata r:id="rId8" o:title=""/>
                </v:shape>
                <w:control r:id="rId9" w:name="DefaultOcxName2" w:shapeid="_x0000_i1037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asimetrija informacija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6" type="#_x0000_t75" style="width:20.25pt;height:18pt" o:ole="">
                  <v:imagedata r:id="rId5" o:title=""/>
                </v:shape>
                <w:control r:id="rId10" w:name="DefaultOcxName3" w:shapeid="_x0000_i1036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negativna selekcija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5" type="#_x0000_t75" style="width:20.25pt;height:18pt" o:ole="">
                  <v:imagedata r:id="rId5" o:title=""/>
                </v:shape>
                <w:control r:id="rId11" w:name="DefaultOcxName4" w:shapeid="_x0000_i1035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skupe informacije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30786" w:rsidRDefault="00530786"/>
    <w:p w:rsidR="0036268C" w:rsidRDefault="0036268C"/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2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kontrole mora biti fleksibilan kako bi menadžeri mogli udovoljiti zahtjevima čim je potrebno. Zbog toga sustav kontrole mora: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912"/>
        <w:gridCol w:w="81"/>
      </w:tblGrid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598" type="#_x0000_t75" style="width:20.25pt;height:18pt" o:ole="">
                  <v:imagedata r:id="rId5" o:title=""/>
                </v:shape>
                <w:control r:id="rId12" w:name="DefaultOcxName5" w:shapeid="_x0000_i1598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davati točne i upotrebljive informacije poduzeću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597" type="#_x0000_t75" style="width:20.25pt;height:18pt" o:ole="">
                  <v:imagedata r:id="rId5" o:title=""/>
                </v:shape>
                <w:control r:id="rId13" w:name="DefaultOcxName11" w:shapeid="_x0000_i1597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osigurati informacije na vrijeme bez obzira na njihovu upotrebljivost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596" type="#_x0000_t75" style="width:20.25pt;height:18pt" o:ole="">
                  <v:imagedata r:id="rId5" o:title=""/>
                </v:shape>
                <w:control r:id="rId14" w:name="DefaultOcxName21" w:shapeid="_x0000_i1596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davati točne informacije o poduzeću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595" type="#_x0000_t75" style="width:20.25pt;height:18pt" o:ole="">
                  <v:imagedata r:id="rId5" o:title=""/>
                </v:shape>
                <w:control r:id="rId15" w:name="DefaultOcxName31" w:shapeid="_x0000_i1595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davati točne informacije i osigurati ih na vrijeme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594" type="#_x0000_t75" style="width:20.25pt;height:18pt" o:ole="">
                  <v:imagedata r:id="rId8" o:title=""/>
                </v:shape>
                <w:control r:id="rId16" w:name="DefaultOcxName41" w:shapeid="_x0000_i1594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davati točne, upotrebljive informacija i osigurati ih na vrijeme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3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>Osobe koje kupuju osiguranje najskuplje je osigurati. To je primjer: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413"/>
        <w:gridCol w:w="81"/>
      </w:tblGrid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18" type="#_x0000_t75" style="width:20.25pt;height:18pt" o:ole="">
                  <v:imagedata r:id="rId8" o:title=""/>
                </v:shape>
                <w:control r:id="rId17" w:name="DefaultOcxName6" w:shapeid="_x0000_i1618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negativne selekcije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17" type="#_x0000_t75" style="width:20.25pt;height:18pt" o:ole="">
                  <v:imagedata r:id="rId5" o:title=""/>
                </v:shape>
                <w:control r:id="rId18" w:name="DefaultOcxName12" w:shapeid="_x0000_i1617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asimetrije informacija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16" type="#_x0000_t75" style="width:20.25pt;height:18pt" o:ole="">
                  <v:imagedata r:id="rId5" o:title=""/>
                </v:shape>
                <w:control r:id="rId19" w:name="DefaultOcxName22" w:shapeid="_x0000_i1616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upravljanja rizikom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15" type="#_x0000_t75" style="width:20.25pt;height:18pt" o:ole="">
                  <v:imagedata r:id="rId5" o:title=""/>
                </v:shape>
                <w:control r:id="rId20" w:name="DefaultOcxName32" w:shapeid="_x0000_i1615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ničeg od navedenog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14" type="#_x0000_t75" style="width:20.25pt;height:18pt" o:ole="">
                  <v:imagedata r:id="rId5" o:title=""/>
                </v:shape>
                <w:control r:id="rId21" w:name="DefaultOcxName42" w:shapeid="_x0000_i1614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moralnog hazarda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36268C" w:rsidRDefault="0036268C"/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4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>Kada se informacijski sustav u poduzeću koristi za udovoljavanje pojedinačnih zahtjeva kupaca bez dodatnih troškova govori se o virtualnom proizvodu. Koji od navedenih primjera se može smatrati virtualnim proizvodom: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686"/>
        <w:gridCol w:w="81"/>
      </w:tblGrid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33" type="#_x0000_t75" style="width:20.25pt;height:18pt" o:ole="">
                  <v:imagedata r:id="rId22" o:title=""/>
                </v:shape>
                <w:control r:id="rId23" w:name="DefaultOcxName7" w:shapeid="_x0000_i1633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narudžba automobila prema vlastitoj konfiguraciji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lastRenderedPageBreak/>
              <w:object w:dxaOrig="1440" w:dyaOrig="1440">
                <v:shape id="_x0000_i1632" type="#_x0000_t75" style="width:20.25pt;height:18pt" o:ole="">
                  <v:imagedata r:id="rId22" o:title=""/>
                </v:shape>
                <w:control r:id="rId24" w:name="DefaultOcxName13" w:shapeid="_x0000_i1632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on-line dućan (npr. Konzum On-line, HG Spot, Ve-Mil)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31" type="#_x0000_t75" style="width:20.25pt;height:18pt" o:ole="">
                  <v:imagedata r:id="rId25" o:title=""/>
                </v:shape>
                <w:control r:id="rId26" w:name="DefaultOcxName23" w:shapeid="_x0000_i1631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Moodle sustav za e-učenje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30" type="#_x0000_t75" style="width:20.25pt;height:18pt" o:ole="">
                  <v:imagedata r:id="rId22" o:title=""/>
                </v:shape>
                <w:control r:id="rId27" w:name="DefaultOcxName33" w:shapeid="_x0000_i1630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internet bankarstvo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29" type="#_x0000_t75" style="width:20.25pt;height:18pt" o:ole="">
                  <v:imagedata r:id="rId22" o:title=""/>
                </v:shape>
                <w:control r:id="rId28" w:name="DefaultOcxName43" w:shapeid="_x0000_i1629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narudžba računala prema vlastitoj konfiguraciji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36268C" w:rsidRDefault="0036268C"/>
    <w:p w:rsidR="0036268C" w:rsidRDefault="0036268C"/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5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>Ako je šansa za izbor pouzdanog ili nepouzdanog auta 50-50%, a potencijalni kupac želi platiti 5000€ za pouzdan auto, a 2500€ za nepouzdan. Koliko će kupci ponuditi za auto?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960"/>
        <w:gridCol w:w="81"/>
      </w:tblGrid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45" type="#_x0000_t75" style="width:20.25pt;height:18pt" o:ole="">
                  <v:imagedata r:id="rId5" o:title=""/>
                </v:shape>
                <w:control r:id="rId29" w:name="DefaultOcxName8" w:shapeid="_x0000_i1645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2.500€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44" type="#_x0000_t75" style="width:20.25pt;height:18pt" o:ole="">
                  <v:imagedata r:id="rId8" o:title=""/>
                </v:shape>
                <w:control r:id="rId30" w:name="DefaultOcxName14" w:shapeid="_x0000_i1644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3.750€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43" type="#_x0000_t75" style="width:20.25pt;height:18pt" o:ole="">
                  <v:imagedata r:id="rId5" o:title=""/>
                </v:shape>
                <w:control r:id="rId31" w:name="DefaultOcxName24" w:shapeid="_x0000_i1643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4.999€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42" type="#_x0000_t75" style="width:20.25pt;height:18pt" o:ole="">
                  <v:imagedata r:id="rId5" o:title=""/>
                </v:shape>
                <w:control r:id="rId32" w:name="DefaultOcxName34" w:shapeid="_x0000_i1642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5.000€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36268C" w:rsidRDefault="0036268C"/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6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>Koji od navedenih načina isplate plaća će smanjiti moralni hazard među trgovcima?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765"/>
        <w:gridCol w:w="81"/>
      </w:tblGrid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57" type="#_x0000_t75" style="width:20.25pt;height:18pt" o:ole="">
                  <v:imagedata r:id="rId5" o:title=""/>
                </v:shape>
                <w:control r:id="rId33" w:name="DefaultOcxName9" w:shapeid="_x0000_i1657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fiksna plaća po satu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56" type="#_x0000_t75" style="width:20.25pt;height:18pt" o:ole="">
                  <v:imagedata r:id="rId5" o:title=""/>
                </v:shape>
                <w:control r:id="rId34" w:name="DefaultOcxName15" w:shapeid="_x0000_i1656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plaća na temelju broja kupaca koji uđu u trgovini, bez obzira na iznos prodaje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55" type="#_x0000_t75" style="width:20.25pt;height:18pt" o:ole="">
                  <v:imagedata r:id="rId5" o:title=""/>
                </v:shape>
                <w:control r:id="rId35" w:name="DefaultOcxName25" w:shapeid="_x0000_i1655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ništa od navedenog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54" type="#_x0000_t75" style="width:20.25pt;height:18pt" o:ole="">
                  <v:imagedata r:id="rId8" o:title=""/>
                </v:shape>
                <w:control r:id="rId36" w:name="DefaultOcxName35" w:shapeid="_x0000_i1654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plaća koja ovisi o prodaji, npr. postotak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36268C" w:rsidRDefault="0036268C"/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7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>Kako nastaje asimetrije informacija?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601"/>
        <w:gridCol w:w="81"/>
      </w:tblGrid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69" type="#_x0000_t75" style="width:20.25pt;height:18pt" o:ole="">
                  <v:imagedata r:id="rId5" o:title=""/>
                </v:shape>
                <w:control r:id="rId37" w:name="DefaultOcxName10" w:shapeid="_x0000_i1669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Asimetrija informacija nastaje kad negativan selekcija vodi do moralnog hazarda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68" type="#_x0000_t75" style="width:20.25pt;height:18pt" o:ole="">
                  <v:imagedata r:id="rId5" o:title=""/>
                </v:shape>
                <w:control r:id="rId38" w:name="DefaultOcxName16" w:shapeid="_x0000_i1668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Asimetrija informacija nastaje ako dva sudionika ekonomske transakcija moraju platiti drugačiju cijenu za istu informaciju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67" type="#_x0000_t75" style="width:20.25pt;height:18pt" o:ole="">
                  <v:imagedata r:id="rId8" o:title=""/>
                </v:shape>
                <w:control r:id="rId39" w:name="DefaultOcxName26" w:shapeid="_x0000_i1667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Asimetrija informacija nastaje kad jedna strana u transakciji ima manje informacija od druge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66" type="#_x0000_t75" style="width:20.25pt;height:18pt" o:ole="">
                  <v:imagedata r:id="rId5" o:title=""/>
                </v:shape>
                <w:control r:id="rId40" w:name="DefaultOcxName36" w:shapeid="_x0000_i1666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Asimetrija informacija nastaje kad jedna strana koristi informacije na štetu druge strane, što sprečavaju agencije za zaštitu tržišnog natjecanje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36268C" w:rsidRDefault="0036268C"/>
    <w:p w:rsidR="0036268C" w:rsidRDefault="0036268C"/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8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>Osnovna računovodstvena načela GAAP sastoje se od: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906"/>
        <w:gridCol w:w="81"/>
      </w:tblGrid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84" type="#_x0000_t75" style="width:20.25pt;height:18pt" o:ole="">
                  <v:imagedata r:id="rId25" o:title=""/>
                </v:shape>
                <w:control r:id="rId41" w:name="DefaultOcxName18" w:shapeid="_x0000_i1684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općeprihvaćenih revizija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83" type="#_x0000_t75" style="width:20.25pt;height:18pt" o:ole="">
                  <v:imagedata r:id="rId22" o:title=""/>
                </v:shape>
                <w:control r:id="rId42" w:name="DefaultOcxName17" w:shapeid="_x0000_i1683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općeprihvaćenih procedura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82" type="#_x0000_t75" style="width:20.25pt;height:18pt" o:ole="">
                  <v:imagedata r:id="rId22" o:title=""/>
                </v:shape>
                <w:control r:id="rId43" w:name="DefaultOcxName27" w:shapeid="_x0000_i1682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općeprihvaćenih koncepata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81" type="#_x0000_t75" style="width:20.25pt;height:18pt" o:ole="">
                  <v:imagedata r:id="rId22" o:title=""/>
                </v:shape>
                <w:control r:id="rId44" w:name="DefaultOcxName37" w:shapeid="_x0000_i1681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općeprihvaćenih načela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80" type="#_x0000_t75" style="width:20.25pt;height:18pt" o:ole="">
                  <v:imagedata r:id="rId25" o:title=""/>
                </v:shape>
                <w:control r:id="rId45" w:name="DefaultOcxName44" w:shapeid="_x0000_i1680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općeprihvaćenih kontrola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36268C" w:rsidRDefault="0036268C"/>
    <w:p w:rsidR="0036268C" w:rsidRDefault="0036268C"/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9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>Kontrola učinka je jedan od sustava kontrole organizacije i sastoji se od kontrole financijskih mjera učinka, kontrole ostvarenja postavljenih ciljeva i kontrole ostvarenja operativnih budžeta. Kontrola financijskih mjera učinka sastoji se od: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925"/>
        <w:gridCol w:w="81"/>
      </w:tblGrid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99" type="#_x0000_t75" style="width:20.25pt;height:18pt" o:ole="">
                  <v:imagedata r:id="rId25" o:title=""/>
                </v:shape>
                <w:control r:id="rId46" w:name="DefaultOcxName20" w:shapeid="_x0000_i1699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pokazatelja prosječne plaće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98" type="#_x0000_t75" style="width:20.25pt;height:18pt" o:ole="">
                  <v:imagedata r:id="rId22" o:title=""/>
                </v:shape>
                <w:control r:id="rId47" w:name="DefaultOcxName19" w:shapeid="_x0000_i1698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pokazatelja zaduženosti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97" type="#_x0000_t75" style="width:20.25pt;height:18pt" o:ole="">
                  <v:imagedata r:id="rId22" o:title=""/>
                </v:shape>
                <w:control r:id="rId48" w:name="DefaultOcxName28" w:shapeid="_x0000_i1697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pokazatelja profita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96" type="#_x0000_t75" style="width:20.25pt;height:18pt" o:ole="">
                  <v:imagedata r:id="rId22" o:title=""/>
                </v:shape>
                <w:control r:id="rId49" w:name="DefaultOcxName38" w:shapeid="_x0000_i1696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pokazatelja obrtaja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695" type="#_x0000_t75" style="width:20.25pt;height:18pt" o:ole="">
                  <v:imagedata r:id="rId22" o:title=""/>
                </v:shape>
                <w:control r:id="rId50" w:name="DefaultOcxName45" w:shapeid="_x0000_i1695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pokazatelja likvidnosti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36268C" w:rsidRDefault="0036268C"/>
    <w:p w:rsidR="0036268C" w:rsidRDefault="0036268C"/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10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>Koji od navedenih pojmova nije među stupnjevima procesa kontrole:</w:t>
      </w:r>
    </w:p>
    <w:p w:rsidR="0036268C" w:rsidRPr="0036268C" w:rsidRDefault="0036268C" w:rsidP="00362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6268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665"/>
        <w:gridCol w:w="81"/>
      </w:tblGrid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714" type="#_x0000_t75" style="width:20.25pt;height:18pt" o:ole="">
                  <v:imagedata r:id="rId8" o:title=""/>
                </v:shape>
                <w:control r:id="rId51" w:name="DefaultOcxName30" w:shapeid="_x0000_i1714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procjena rizika i poduzimanje mjera za njihov izbjegavanje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713" type="#_x0000_t75" style="width:20.25pt;height:18pt" o:ole="">
                  <v:imagedata r:id="rId5" o:title=""/>
                </v:shape>
                <w:control r:id="rId52" w:name="DefaultOcxName110" w:shapeid="_x0000_i1713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uspoređivanje stvarnog učinka s postavljenim mjerljivim ciljevima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712" type="#_x0000_t75" style="width:20.25pt;height:18pt" o:ole="">
                  <v:imagedata r:id="rId5" o:title=""/>
                </v:shape>
                <w:control r:id="rId53" w:name="DefaultOcxName29" w:shapeid="_x0000_i1712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ustanovljanje ciljeva i načina mjerenja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711" type="#_x0000_t75" style="width:20.25pt;height:18pt" o:ole="">
                  <v:imagedata r:id="rId5" o:title=""/>
                </v:shape>
                <w:control r:id="rId54" w:name="DefaultOcxName39" w:shapeid="_x0000_i1711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mjerenje stvarnog učinka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36268C" w:rsidRPr="0036268C" w:rsidTr="00362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710" type="#_x0000_t75" style="width:20.25pt;height:18pt" o:ole="">
                  <v:imagedata r:id="rId5" o:title=""/>
                </v:shape>
                <w:control r:id="rId55" w:name="DefaultOcxName46" w:shapeid="_x0000_i1710"/>
              </w:objec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6268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ocjena rezultata i poduzimanje korektivnih radnji kada ciljevi nisu postignuti </w:t>
            </w:r>
          </w:p>
        </w:tc>
        <w:tc>
          <w:tcPr>
            <w:tcW w:w="0" w:type="auto"/>
            <w:vAlign w:val="center"/>
            <w:hideMark/>
          </w:tcPr>
          <w:p w:rsidR="0036268C" w:rsidRPr="0036268C" w:rsidRDefault="0036268C" w:rsidP="00362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36268C" w:rsidRDefault="0036268C"/>
    <w:p w:rsidR="0036268C" w:rsidRDefault="0036268C"/>
    <w:p w:rsidR="0036268C" w:rsidRDefault="0036268C">
      <w:r>
        <w:t>10/10</w:t>
      </w:r>
    </w:p>
    <w:sectPr w:rsidR="0036268C" w:rsidSect="00530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55BA4"/>
    <w:multiLevelType w:val="hybridMultilevel"/>
    <w:tmpl w:val="8F96F3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268C"/>
    <w:rsid w:val="0036268C"/>
    <w:rsid w:val="0053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un">
    <w:name w:val="anun"/>
    <w:basedOn w:val="DefaultParagraphFont"/>
    <w:rsid w:val="0036268C"/>
  </w:style>
  <w:style w:type="character" w:customStyle="1" w:styleId="anumsep">
    <w:name w:val="anumsep"/>
    <w:basedOn w:val="DefaultParagraphFont"/>
    <w:rsid w:val="0036268C"/>
  </w:style>
  <w:style w:type="paragraph" w:styleId="ListParagraph">
    <w:name w:val="List Paragraph"/>
    <w:basedOn w:val="Normal"/>
    <w:uiPriority w:val="34"/>
    <w:qFormat/>
    <w:rsid w:val="0036268C"/>
    <w:pPr>
      <w:ind w:left="720"/>
      <w:contextualSpacing/>
    </w:pPr>
  </w:style>
  <w:style w:type="character" w:customStyle="1" w:styleId="no">
    <w:name w:val="no"/>
    <w:basedOn w:val="DefaultParagraphFont"/>
    <w:rsid w:val="003626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268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268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268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268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4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3.wmf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2009-05-21T11:10:00Z</dcterms:created>
  <dcterms:modified xsi:type="dcterms:W3CDTF">2009-05-21T11:16:00Z</dcterms:modified>
</cp:coreProperties>
</file>