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9DE" w:rsidRDefault="00C309DE" w:rsidP="00C309DE">
      <w:pPr>
        <w:rPr>
          <w:rtl/>
        </w:rPr>
      </w:pPr>
      <w:r>
        <w:t>## Background</w:t>
      </w:r>
    </w:p>
    <w:p w:rsidR="00635F0A" w:rsidRDefault="00635F0A" w:rsidP="00635F0A">
      <w:r>
        <w:t>KRAS is a gene responsible for cell growth, division and survival. The normal form of KRAS switches between being active and inactive to signal multiplication of the normal cell. As it has a very important role in signaling pathways, mutations in this gene will get the cell stuck in an uncontrolled division process. Among many types of mutation</w:t>
      </w:r>
      <w:r w:rsidR="003E0296">
        <w:t xml:space="preserve"> occurring in this gene, G12C is the most important one, as the substitution of glycine amino acid with a cysteine drives the protein into a permanently active state. This mutation is present in a wide variety of cancers, mostly in non-small cell lung cancer (13-14%), and colorectal cancer (3-4%). Due to the smooth structure of KRAS protein and lack of deep crevices, this protein was considered </w:t>
      </w:r>
      <w:proofErr w:type="spellStart"/>
      <w:r w:rsidR="003E0296">
        <w:t>undruggable</w:t>
      </w:r>
      <w:proofErr w:type="spellEnd"/>
      <w:r w:rsidR="003E0296">
        <w:t xml:space="preserve"> for over 30 years. As soon as the switch II pocket was discovered, drugs like </w:t>
      </w:r>
      <w:proofErr w:type="spellStart"/>
      <w:r w:rsidR="003E0296">
        <w:t>sotorasib</w:t>
      </w:r>
      <w:proofErr w:type="spellEnd"/>
      <w:r w:rsidR="003E0296">
        <w:t xml:space="preserve"> and </w:t>
      </w:r>
      <w:proofErr w:type="spellStart"/>
      <w:r w:rsidR="003E0296">
        <w:t>adagrasib</w:t>
      </w:r>
      <w:proofErr w:type="spellEnd"/>
      <w:r w:rsidR="003E0296">
        <w:t xml:space="preserve"> were designed to bind this pocket, which is only accessible in the GDP-bound (inactive) state, near the mutated cysteine. By locking into this pocket, the drug traps KRAS in its inactive form, so it can no longer signal cancer cells to multiply.  These drugs help patients suffering from cancer to live longer and better. </w:t>
      </w:r>
    </w:p>
    <w:p w:rsidR="003E0296" w:rsidRDefault="003E0296" w:rsidP="00C309DE"/>
    <w:p w:rsidR="00C309DE" w:rsidRDefault="00C309DE" w:rsidP="00C309DE">
      <w:r>
        <w:t>## Objective</w:t>
      </w:r>
    </w:p>
    <w:p w:rsidR="003E0296" w:rsidRDefault="003E0296" w:rsidP="00C309DE">
      <w:r>
        <w:t xml:space="preserve">This project aimed to simulate the design of these drugs using only simple, accessible tools, to explore whether expensive, long-term experimental screening could be partially replaced by simple computational technologies, at least in the early stages of drug discovery. In this project we used 3 ligands (ARS-1620, ARS-853, JDQ443). </w:t>
      </w:r>
    </w:p>
    <w:p w:rsidR="00D161B6" w:rsidRDefault="00D161B6" w:rsidP="00C309DE">
      <w:r>
        <w:t xml:space="preserve">ARS-1620 is the first covalent inhibitor of KRAS(G12C), discovered by the </w:t>
      </w:r>
      <w:proofErr w:type="spellStart"/>
      <w:r>
        <w:t>Shokat</w:t>
      </w:r>
      <w:proofErr w:type="spellEnd"/>
      <w:r>
        <w:t xml:space="preserve"> lab. It served as the proof-of-concept that the switch II pocket could be targeted. </w:t>
      </w:r>
    </w:p>
    <w:p w:rsidR="00D161B6" w:rsidRDefault="00D161B6" w:rsidP="00C309DE">
      <w:r>
        <w:t xml:space="preserve">ARS-853 is an optimized version of the same chemical family with improved potency, used here to compare against its predecessor. </w:t>
      </w:r>
    </w:p>
    <w:p w:rsidR="00D161B6" w:rsidRDefault="00D161B6" w:rsidP="00C309DE">
      <w:r>
        <w:t xml:space="preserve">JDQ-443 was chosen because it has a completely different chemical scaffold compared to the other two. It binds to cysteine-12 without interacting with residue H95, unlike </w:t>
      </w:r>
      <w:proofErr w:type="spellStart"/>
      <w:r>
        <w:t>sotorasib</w:t>
      </w:r>
      <w:proofErr w:type="spellEnd"/>
      <w:r>
        <w:t xml:space="preserve"> and the ARS compounds. This makes it a good test case to see if the switch II pocket can accommodate structurally diverse molecules. JDQ443 is currently in phase II clinical trials. </w:t>
      </w:r>
    </w:p>
    <w:p w:rsidR="00C309DE" w:rsidRDefault="00D161B6" w:rsidP="00D161B6">
      <w:r>
        <w:t xml:space="preserve">We also wanted to validate whether a free, accessible docking tool like HADDOCK could reproduce binding trends already known from experimental literature </w:t>
      </w:r>
      <w:r w:rsidRPr="00D161B6">
        <w:t>—</w:t>
      </w:r>
      <w:r>
        <w:t xml:space="preserve"> for example, whether ARS853 (an optimized analog) would show stronger binding than its earlier counterpart ARS-1620, consistent with published potency data. </w:t>
      </w:r>
    </w:p>
    <w:p w:rsidR="00C309DE" w:rsidRDefault="00C309DE" w:rsidP="00C309DE"/>
    <w:p w:rsidR="00C309DE" w:rsidRDefault="00C309DE" w:rsidP="00C309DE">
      <w:r>
        <w:t>## Structural Analysis</w:t>
      </w:r>
    </w:p>
    <w:p w:rsidR="00D161B6" w:rsidRDefault="00D161B6" w:rsidP="00D161B6">
      <w:r>
        <w:t xml:space="preserve">CYS12 turned out to be the most important residue in the entire binding site, since it is the residue that forms the covalent bond with the drug </w:t>
      </w:r>
      <w:r>
        <w:t>—</w:t>
      </w:r>
      <w:r>
        <w:t xml:space="preserve"> this is the core of the whole mechanism. </w:t>
      </w:r>
    </w:p>
    <w:p w:rsidR="00D161B6" w:rsidRDefault="00D161B6" w:rsidP="00FE3FF0">
      <w:r>
        <w:t xml:space="preserve">We used three crystal structures from the PDB to build this analysis. 6OIM (KRAS G12C bound to </w:t>
      </w:r>
      <w:proofErr w:type="spellStart"/>
      <w:r>
        <w:t>Sotorasib</w:t>
      </w:r>
      <w:proofErr w:type="spellEnd"/>
      <w:r w:rsidR="00FE3FF0">
        <w:t xml:space="preserve">) served as our main reference structure, since it shows the drug already locked in its binding pocket. 4OBE (KRAS G12C without any drug) was used to compare the </w:t>
      </w:r>
      <w:proofErr w:type="spellStart"/>
      <w:r w:rsidR="00FE3FF0">
        <w:t>apo</w:t>
      </w:r>
      <w:proofErr w:type="spellEnd"/>
      <w:r w:rsidR="00FE3FF0">
        <w:t xml:space="preserve"> and </w:t>
      </w:r>
      <w:proofErr w:type="spellStart"/>
      <w:r w:rsidR="00FE3FF0">
        <w:t>holo</w:t>
      </w:r>
      <w:proofErr w:type="spellEnd"/>
      <w:r w:rsidR="00FE3FF0">
        <w:t xml:space="preserve"> forms of the </w:t>
      </w:r>
      <w:r w:rsidR="00FE3FF0">
        <w:lastRenderedPageBreak/>
        <w:t xml:space="preserve">protein, to see how much the structure changes when drug is present. 6UT0 (KRAS G12C bound to </w:t>
      </w:r>
      <w:proofErr w:type="spellStart"/>
      <w:r w:rsidR="00FE3FF0">
        <w:t>Adagrasib</w:t>
      </w:r>
      <w:proofErr w:type="spellEnd"/>
      <w:r w:rsidR="00FE3FF0">
        <w:t>) was used as an additional reference to confirm that other approved drugs target the same pocket.</w:t>
      </w:r>
    </w:p>
    <w:p w:rsidR="00FE3FF0" w:rsidRDefault="00FE3FF0" w:rsidP="00FE3FF0">
      <w:r>
        <w:t xml:space="preserve">Measuring the distance between the sulfur atom of CYS12 and the drug, we got </w:t>
      </w:r>
      <w:r>
        <w:t>1.8Å.</w:t>
      </w:r>
      <w:r>
        <w:t xml:space="preserve"> This distance falls within the typical range of a covalent bond (roughly </w:t>
      </w:r>
      <w:r w:rsidRPr="00FE3FF0">
        <w:t>1.2-1.8Å),</w:t>
      </w:r>
      <w:r>
        <w:t xml:space="preserve"> while non-covalent interactions like hydrogen bonds usually fall in the </w:t>
      </w:r>
      <w:r w:rsidRPr="00FE3FF0">
        <w:t>3-5Å range</w:t>
      </w:r>
      <w:r>
        <w:t xml:space="preserve">. This confirms that the binding is not just a close contact, but an actual covalent attachment between the drug and the protein. </w:t>
      </w:r>
    </w:p>
    <w:p w:rsidR="00FE3FF0" w:rsidRDefault="00FE3FF0" w:rsidP="00FE3FF0">
      <w:r>
        <w:t xml:space="preserve">Aligning the </w:t>
      </w:r>
      <w:proofErr w:type="spellStart"/>
      <w:r>
        <w:t>apo</w:t>
      </w:r>
      <w:proofErr w:type="spellEnd"/>
      <w:r>
        <w:t xml:space="preserve"> structure (4OBE) with the </w:t>
      </w:r>
      <w:proofErr w:type="spellStart"/>
      <w:r>
        <w:t>holo</w:t>
      </w:r>
      <w:proofErr w:type="spellEnd"/>
      <w:r>
        <w:t xml:space="preserve"> structure (6OIM) gave us an RMSD of 0.</w:t>
      </w:r>
      <w:r w:rsidRPr="00FE3FF0">
        <w:t>557Å</w:t>
      </w:r>
      <w:r>
        <w:t xml:space="preserve">. This means the overall fold of the protein barely changes when the drug binds </w:t>
      </w:r>
      <w:r w:rsidRPr="00FE3FF0">
        <w:t>—</w:t>
      </w:r>
      <w:r>
        <w:t xml:space="preserve"> the difference is small enough to be considered negligible at the global scale, suggesting the drug acts locally on the switch II pocket rather than reshaping the whole protein. </w:t>
      </w:r>
    </w:p>
    <w:p w:rsidR="00C309DE" w:rsidRPr="00FE3FF0" w:rsidRDefault="00FE3FF0" w:rsidP="00FE3FF0">
      <w:r>
        <w:t xml:space="preserve">Besides CYS12, our python script identified 17 residues within </w:t>
      </w:r>
      <w:r>
        <w:t>4Å</w:t>
      </w:r>
      <w:r>
        <w:t xml:space="preserve"> of the drug. The most relevant ones were TYR96, HIS95, GLN99 and GLN61 </w:t>
      </w:r>
      <w:r w:rsidRPr="00FE3FF0">
        <w:t>—</w:t>
      </w:r>
      <w:r>
        <w:t xml:space="preserve"> </w:t>
      </w:r>
      <w:r w:rsidR="00DD35DA">
        <w:t xml:space="preserve">all located in or near the switch II region, confirming that this pocket is indeed the main interaction site. </w:t>
      </w:r>
    </w:p>
    <w:p w:rsidR="00C309DE" w:rsidRDefault="00C309DE" w:rsidP="00C309DE"/>
    <w:p w:rsidR="00C309DE" w:rsidRDefault="00C309DE" w:rsidP="00C309DE">
      <w:r>
        <w:t>## Docking Results</w:t>
      </w:r>
    </w:p>
    <w:p w:rsidR="00DD35DA" w:rsidRDefault="00DD35DA" w:rsidP="00DD35DA">
      <w:r>
        <w:t xml:space="preserve">The HADDOCK score is an overall measurement HADDOCK uses to rate the structures </w:t>
      </w:r>
      <w:r>
        <w:t>—</w:t>
      </w:r>
      <w:r>
        <w:t xml:space="preserve"> the more negative the score, the better the binding is considered to be. </w:t>
      </w:r>
    </w:p>
    <w:p w:rsidR="00DD35DA" w:rsidRDefault="00C309DE" w:rsidP="00DD35DA">
      <w:r>
        <w:t>The best ligand was ARS-853, due to having the most negative HADDOCK score (-43.8). This was also supported by its buried surface area (816.6 Å²), which was the highest among the three ligands — meaning it had the largest contact area with the protein, consistent with it being the strongest binder.</w:t>
      </w:r>
    </w:p>
    <w:p w:rsidR="00C309DE" w:rsidRDefault="00C309DE" w:rsidP="00DD35DA">
      <w:r>
        <w:t>JDQ443 was interesting because, despite having a completely different chemical scaffold from ARS-853 and ARS-1620, it still bound to the same switch II pocket and interacted with the same key residue, CYS12. The difference is that JDQ443 does not rely on interaction with H95, unlike the other two ligands. This shows that the switch II pocket is not limited to one specific chemical shape — different scaffolds can still target it effectively.</w:t>
      </w:r>
    </w:p>
    <w:p w:rsidR="00C309DE" w:rsidRDefault="00C309DE" w:rsidP="00C309DE">
      <w:r>
        <w:t xml:space="preserve">Yes, these results match what we would expect from the literature. </w:t>
      </w:r>
    </w:p>
    <w:p w:rsidR="00C309DE" w:rsidRDefault="00C309DE" w:rsidP="00DD35DA">
      <w:r>
        <w:t>ARS-853 is known to be an optimized, more potent version of ARS-1620, so it makes sense that it showed a stronger HADDOCK score in our docking results as well.</w:t>
      </w:r>
    </w:p>
    <w:p w:rsidR="00C309DE" w:rsidRDefault="00C309DE" w:rsidP="00DD35DA">
      <w:r>
        <w:t>Looking beyond the top cluster, the score gap between Cluster 1 and the remaining clusters was notably large for all three ligands (for example, ARS-853 dropped from -43.8 in Cluster 1 to -38.3 in Cluster 3, and further down in Clusters 2 and 4). This suggests that each ligand has one clearly dominant binding mode rather than several competing poses of similar quality, which adds confidence to the Cluster 1 results being a reliable representation of the true binding mode.</w:t>
      </w:r>
    </w:p>
    <w:p w:rsidR="00C309DE" w:rsidRDefault="00C309DE" w:rsidP="00C309DE"/>
    <w:p w:rsidR="00C309DE" w:rsidRDefault="00C309DE" w:rsidP="00C309DE">
      <w:r>
        <w:t>## Biological Significance</w:t>
      </w:r>
    </w:p>
    <w:p w:rsidR="00C309DE" w:rsidRDefault="00C309DE" w:rsidP="00DD35DA">
      <w:r>
        <w:lastRenderedPageBreak/>
        <w:t xml:space="preserve">These results suggest that the switch II pocket is a flexible binding site that can accommodate chemically diverse inhibitors. </w:t>
      </w:r>
    </w:p>
    <w:p w:rsidR="00C309DE" w:rsidRDefault="00C309DE" w:rsidP="00DD35DA">
      <w:r>
        <w:t xml:space="preserve">All three ligands, despite having different structures, were able to bind in the same region and form contact with CYS12, which is the residue responsible for the covalent bond. This is consistent with what has already been shown in the literature, since two FDA approved drugs, </w:t>
      </w:r>
      <w:proofErr w:type="spellStart"/>
      <w:r>
        <w:t>sotorasib</w:t>
      </w:r>
      <w:proofErr w:type="spellEnd"/>
      <w:r>
        <w:t xml:space="preserve"> and </w:t>
      </w:r>
      <w:proofErr w:type="spellStart"/>
      <w:r>
        <w:t>adagrasib</w:t>
      </w:r>
      <w:proofErr w:type="spellEnd"/>
      <w:r>
        <w:t>, both target the same pocket using different scaffolds.</w:t>
      </w:r>
    </w:p>
    <w:p w:rsidR="00C309DE" w:rsidRDefault="00C309DE" w:rsidP="00DD35DA">
      <w:r>
        <w:t xml:space="preserve">The fact that JDQ443 achieved similar binding scores without interacting with H95 is also relevant, since it shows that a drug does not need to rely on every single interaction seen in </w:t>
      </w:r>
      <w:proofErr w:type="spellStart"/>
      <w:r>
        <w:t>sotorasib</w:t>
      </w:r>
      <w:proofErr w:type="spellEnd"/>
      <w:r>
        <w:t xml:space="preserve"> to still bind effectively. This is useful information for future drug design, because it means researchers have more chemical freedom when designing new inhibitors for this pocket, instead of being forced to copy the exact same binding pattern.</w:t>
      </w:r>
    </w:p>
    <w:p w:rsidR="00C309DE" w:rsidRDefault="00C309DE" w:rsidP="00C309DE"/>
    <w:p w:rsidR="00C309DE" w:rsidRDefault="00C309DE" w:rsidP="00DD35DA">
      <w:r>
        <w:t>Overall, this supports the idea that switch II pocket targeting is a reliable strategy, and that computational docking tools like HADDOCK can be used early in the drug discovery process to compare candidate molecules before moving to expensive experimental testing.</w:t>
      </w:r>
    </w:p>
    <w:p w:rsidR="00C309DE" w:rsidRDefault="00C309DE" w:rsidP="00C309DE"/>
    <w:p w:rsidR="00C309DE" w:rsidRDefault="00C309DE" w:rsidP="00DD35DA">
      <w:r>
        <w:t>## Limitations</w:t>
      </w:r>
    </w:p>
    <w:p w:rsidR="00C309DE" w:rsidRDefault="00C309DE" w:rsidP="00DD35DA">
      <w:r>
        <w:t>This project has some limitations that should be mentioned. HADDOCK is not specifically designed for covalent docking, so the actual covalent bond formation between the ligands and CYS12 was not directly simulated. Instead, we approximated this by defining CYS12 as an active residue, which guided the docking but did not fully represent the chemistry of covalent bonding.</w:t>
      </w:r>
    </w:p>
    <w:p w:rsidR="00C309DE" w:rsidRDefault="00C309DE" w:rsidP="00DD35DA">
      <w:r>
        <w:t>Another limitation is that we used a single, fixed protein structure. In reality, KRAS is a flexible protein, and the switch II pocket can change shape depending on the ligand. Molecular dynamics simulations would give a more accurate picture of how stable these binding poses are over time.</w:t>
      </w:r>
    </w:p>
    <w:p w:rsidR="00C309DE" w:rsidRDefault="00C309DE" w:rsidP="00DD35DA">
      <w:r>
        <w:t>Finally, these results are purely computational and have not been validated experimentally in this project. Docking scores are useful for comparison, but they are predictions, not proof of real-world binding affinity.</w:t>
      </w:r>
    </w:p>
    <w:p w:rsidR="00C309DE" w:rsidRDefault="00C309DE" w:rsidP="00C309DE"/>
    <w:p w:rsidR="00C309DE" w:rsidRDefault="00C309DE" w:rsidP="00DD35DA">
      <w:r>
        <w:t>## Conclusion</w:t>
      </w:r>
    </w:p>
    <w:p w:rsidR="00C309DE" w:rsidRDefault="00C309DE" w:rsidP="00DD35DA">
      <w:r>
        <w:t>This project built a complete computational pipeline to study how covalent inhibitors bind to KRAS G12C, one of the most important targets in cancer drug discovery. By analyzing crystal structures, measuring the covalent bond distance, and docking three different ligands, we were able to confirm that all three compounds target the same switch II pocket, despite having different chemical structures.</w:t>
      </w:r>
    </w:p>
    <w:p w:rsidR="00DE5EFA" w:rsidRDefault="00C309DE" w:rsidP="00DD35DA">
      <w:pPr>
        <w:rPr>
          <w:rFonts w:hint="cs"/>
          <w:rtl/>
        </w:rPr>
      </w:pPr>
      <w:r>
        <w:t xml:space="preserve">The results were consistent with existing literature, which supports the reliability of this approach. This shows that accessible computational tools can be used to explore and compare drug candidates, even without access to a wet lab. Future work could include molecular dynamics simulations and experimental </w:t>
      </w:r>
      <w:bookmarkStart w:id="0" w:name="_GoBack"/>
      <w:bookmarkEnd w:id="0"/>
      <w:r>
        <w:t>validation to confirm these computational predictions.</w:t>
      </w:r>
    </w:p>
    <w:sectPr w:rsidR="00DE5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9DE"/>
    <w:rsid w:val="003E0296"/>
    <w:rsid w:val="00635F0A"/>
    <w:rsid w:val="00C309DE"/>
    <w:rsid w:val="00D161B6"/>
    <w:rsid w:val="00DD35DA"/>
    <w:rsid w:val="00DE5EFA"/>
    <w:rsid w:val="00FE3F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3EB9"/>
  <w15:chartTrackingRefBased/>
  <w15:docId w15:val="{115AF3B2-F9BF-4576-AA2B-6103E7DE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3</Pages>
  <Words>1303</Words>
  <Characters>7432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 SYSTEM</dc:creator>
  <cp:keywords/>
  <dc:description/>
  <cp:lastModifiedBy>MICRO SYSTEM</cp:lastModifiedBy>
  <cp:revision>1</cp:revision>
  <dcterms:created xsi:type="dcterms:W3CDTF">2026-06-14T21:49:00Z</dcterms:created>
  <dcterms:modified xsi:type="dcterms:W3CDTF">2026-06-15T00:58:00Z</dcterms:modified>
</cp:coreProperties>
</file>