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3837" w14:textId="07AC4F99" w:rsidR="0060505C" w:rsidRDefault="00EA5781" w:rsidP="0060505C">
      <w:r w:rsidRPr="00EA5781">
        <w:t>Marketing Funnel &amp; Conversion Performance Analysis</w:t>
      </w:r>
      <w:r>
        <w:t xml:space="preserve"> (Task 3)</w:t>
      </w:r>
    </w:p>
    <w:p w14:paraId="58D5BF7C" w14:textId="7F7F5CDB" w:rsidR="0060505C" w:rsidRDefault="0060505C" w:rsidP="0060505C">
      <w:r>
        <w:t>Overview</w:t>
      </w:r>
    </w:p>
    <w:p w14:paraId="1B1FD1F7" w14:textId="37AC0957" w:rsidR="0060505C" w:rsidRDefault="0060505C" w:rsidP="0060505C">
      <w:r>
        <w:t xml:space="preserve">The analysis of 41,188 bank marketing contacts </w:t>
      </w:r>
      <w:r w:rsidR="00EA5781">
        <w:t>shows</w:t>
      </w:r>
      <w:r>
        <w:t xml:space="preserve"> an overall conversion rate of 11.3%</w:t>
      </w:r>
      <w:r w:rsidR="00EA5781">
        <w:t xml:space="preserve">. This </w:t>
      </w:r>
      <w:r>
        <w:t>mean</w:t>
      </w:r>
      <w:r w:rsidR="00EA5781">
        <w:t xml:space="preserve">s that </w:t>
      </w:r>
      <w:r>
        <w:t>88.7% of contacted clients did not subscribe to the term deposit. The following recommendations are based on patterns identified across channel, timing, frequency, and customer segment data.</w:t>
      </w:r>
    </w:p>
    <w:p w14:paraId="188CA9F5" w14:textId="77777777" w:rsidR="00EA5781" w:rsidRDefault="00EA5781" w:rsidP="0060505C"/>
    <w:p w14:paraId="17202536" w14:textId="5E4F0556" w:rsidR="0060505C" w:rsidRDefault="0060505C" w:rsidP="0060505C">
      <w:r>
        <w:t>1: Prioritise Cellular as the Contact Channel</w:t>
      </w:r>
    </w:p>
    <w:p w14:paraId="47404682" w14:textId="4CF1A183" w:rsidR="0060505C" w:rsidRDefault="00EA5781" w:rsidP="0060505C">
      <w:r>
        <w:t>C</w:t>
      </w:r>
      <w:r w:rsidRPr="00EA5781">
        <w:t xml:space="preserve">onversion </w:t>
      </w:r>
      <w:r w:rsidRPr="00EA5781">
        <w:t xml:space="preserve">rates </w:t>
      </w:r>
      <w:r>
        <w:t>differ significantly between the methods used to contact customers</w:t>
      </w:r>
      <w:r w:rsidR="0060505C">
        <w:t xml:space="preserve">. Cellular calls convert at 14.7% </w:t>
      </w:r>
      <w:r>
        <w:t xml:space="preserve">whereas </w:t>
      </w:r>
      <w:r w:rsidR="0060505C">
        <w:t>telephone at only 5.2%</w:t>
      </w:r>
      <w:r>
        <w:t>. The telephone method was 3x lower than cellular calls</w:t>
      </w:r>
      <w:r w:rsidR="0060505C">
        <w:t xml:space="preserve">. The bank </w:t>
      </w:r>
      <w:r>
        <w:t xml:space="preserve">should therefore focus and prioritise </w:t>
      </w:r>
      <w:r w:rsidR="0060505C">
        <w:t xml:space="preserve">cellular contact for all clients. </w:t>
      </w:r>
      <w:r>
        <w:t xml:space="preserve"> In instances where only </w:t>
      </w:r>
      <w:r w:rsidR="0060505C">
        <w:t xml:space="preserve">telephone number is available, agents should </w:t>
      </w:r>
      <w:r>
        <w:t>try to</w:t>
      </w:r>
      <w:r w:rsidR="0060505C">
        <w:t xml:space="preserve"> obtain mobile numbers before calling. </w:t>
      </w:r>
      <w:r>
        <w:t>Making this change</w:t>
      </w:r>
      <w:r w:rsidR="0060505C">
        <w:t xml:space="preserve"> could nearly triple conversion rates for telephone-only contacts.</w:t>
      </w:r>
    </w:p>
    <w:p w14:paraId="07DDC46B" w14:textId="77777777" w:rsidR="0060505C" w:rsidRDefault="0060505C" w:rsidP="0060505C"/>
    <w:p w14:paraId="61C4F285" w14:textId="4EB20770" w:rsidR="0060505C" w:rsidRDefault="0060505C" w:rsidP="0060505C">
      <w:r>
        <w:t>2: Limit Calls to a Maximum of 2 Per Client</w:t>
      </w:r>
    </w:p>
    <w:p w14:paraId="5B98B441" w14:textId="300C9C66" w:rsidR="0060505C" w:rsidRDefault="00EA5781" w:rsidP="0060505C">
      <w:r>
        <w:t>A</w:t>
      </w:r>
      <w:r w:rsidRPr="00EA5781">
        <w:t>s the number of contacts increases</w:t>
      </w:r>
      <w:r>
        <w:t xml:space="preserve">, the </w:t>
      </w:r>
      <w:r w:rsidRPr="00EA5781">
        <w:t>conversion</w:t>
      </w:r>
      <w:r w:rsidR="0060505C">
        <w:t xml:space="preserve"> rates d</w:t>
      </w:r>
      <w:r>
        <w:t>ecrease</w:t>
      </w:r>
      <w:r w:rsidR="0060505C">
        <w:t xml:space="preserve">. Clients contacted once convert at 13%, dropping to 11.5% at 2 contacts, 10.7% at 3, and falling to just 5.5% for clients called 6 or more times. </w:t>
      </w:r>
      <w:r w:rsidRPr="00EA5781">
        <w:t xml:space="preserve">A strict policy of a maximum of 2 contact attempts per </w:t>
      </w:r>
      <w:r w:rsidRPr="00EA5781">
        <w:t xml:space="preserve">client </w:t>
      </w:r>
      <w:r>
        <w:t xml:space="preserve">should be implemented because when you keep </w:t>
      </w:r>
      <w:r w:rsidR="0060505C">
        <w:t>contacting unresponsive clients</w:t>
      </w:r>
      <w:r>
        <w:t xml:space="preserve">, </w:t>
      </w:r>
      <w:r w:rsidR="0060505C">
        <w:t xml:space="preserve">resources </w:t>
      </w:r>
      <w:r>
        <w:t xml:space="preserve">are wasted </w:t>
      </w:r>
      <w:r w:rsidR="0060505C">
        <w:t>and the bank's reputation</w:t>
      </w:r>
      <w:r>
        <w:t xml:space="preserve"> is damaged</w:t>
      </w:r>
      <w:r w:rsidR="0060505C">
        <w:t xml:space="preserve">. </w:t>
      </w:r>
      <w:r>
        <w:t>This will also clear</w:t>
      </w:r>
      <w:r w:rsidR="0060505C">
        <w:t xml:space="preserve"> up agent time</w:t>
      </w:r>
      <w:r>
        <w:t xml:space="preserve"> so that they could </w:t>
      </w:r>
      <w:r w:rsidR="0060505C">
        <w:t>reach new prospects instead.</w:t>
      </w:r>
    </w:p>
    <w:p w14:paraId="3FCB8B38" w14:textId="0B518F40" w:rsidR="0060505C" w:rsidRDefault="0060505C" w:rsidP="0060505C">
      <w:r>
        <w:t>3: Time Campaigns Around High-Conversion Months</w:t>
      </w:r>
    </w:p>
    <w:p w14:paraId="7EA8BC0E" w14:textId="206ABDC5" w:rsidR="0060505C" w:rsidRDefault="0060505C" w:rsidP="0060505C">
      <w:r>
        <w:t xml:space="preserve">Campaign performance varies dramatically by month. March (50.5%), December (48.9%), September (44.9%) and October (43.9%) are the strongest months, while May (6.7%), July (9%) and November (10.1%) are the weakest. The bank </w:t>
      </w:r>
      <w:r w:rsidR="00EA5781">
        <w:t>must focus on</w:t>
      </w:r>
      <w:r>
        <w:t xml:space="preserve"> its highest-volume calling activity in the autumn and end-of-year period. </w:t>
      </w:r>
      <w:proofErr w:type="spellStart"/>
      <w:r w:rsidR="00EA5781">
        <w:t>C</w:t>
      </w:r>
      <w:r>
        <w:t>campaigns</w:t>
      </w:r>
      <w:proofErr w:type="spellEnd"/>
      <w:r>
        <w:t xml:space="preserve"> </w:t>
      </w:r>
      <w:r w:rsidR="00EA5781">
        <w:t xml:space="preserve">taking place in May should be ignored because they generate </w:t>
      </w:r>
      <w:r>
        <w:t>high call volumes but very poor returns.</w:t>
      </w:r>
    </w:p>
    <w:p w14:paraId="1A1A3784" w14:textId="77777777" w:rsidR="00EA5781" w:rsidRDefault="00EA5781" w:rsidP="0060505C"/>
    <w:p w14:paraId="76ED957D" w14:textId="6EE31E9C" w:rsidR="0060505C" w:rsidRDefault="0060505C" w:rsidP="0060505C">
      <w:r>
        <w:t xml:space="preserve"> 4: Target Student and Retired Customer Segments</w:t>
      </w:r>
    </w:p>
    <w:p w14:paraId="138CD25A" w14:textId="0ADABF31" w:rsidR="0060505C" w:rsidRDefault="00EA5781" w:rsidP="0060505C">
      <w:r w:rsidRPr="00EA5781">
        <w:t>conversion</w:t>
      </w:r>
      <w:r w:rsidRPr="00EA5781">
        <w:t xml:space="preserve"> </w:t>
      </w:r>
      <w:r>
        <w:t xml:space="preserve">is highly predicted by the </w:t>
      </w:r>
      <w:r w:rsidR="0060505C">
        <w:t>Job. Students convert at 31.4% and retired clients at 25.2%</w:t>
      </w:r>
      <w:r>
        <w:t xml:space="preserve">, which is </w:t>
      </w:r>
      <w:r w:rsidR="0060505C">
        <w:t>more than double the overall average. In contrast, blue-collar workers convert at only 6.9%. The bank should build</w:t>
      </w:r>
      <w:r w:rsidRPr="00EA5781">
        <w:t xml:space="preserve"> </w:t>
      </w:r>
      <w:r w:rsidRPr="00EA5781">
        <w:t>campaigns</w:t>
      </w:r>
      <w:r>
        <w:t xml:space="preserve"> that are</w:t>
      </w:r>
      <w:r w:rsidR="0060505C">
        <w:t xml:space="preserve"> targeted for retired and student audiences</w:t>
      </w:r>
      <w:r>
        <w:t xml:space="preserve">. The campaigns should also have </w:t>
      </w:r>
      <w:r w:rsidR="0060505C">
        <w:t>messaging tailored to their financial goals such as savings growth for retirement or first-time deposit accounts for students. Budget allocated to blue-collar outreach should be reviewed and reduced.</w:t>
      </w:r>
    </w:p>
    <w:p w14:paraId="1C6E7694" w14:textId="77777777" w:rsidR="0060505C" w:rsidRDefault="0060505C" w:rsidP="0060505C"/>
    <w:p w14:paraId="6EED00AC" w14:textId="77777777" w:rsidR="00EA5781" w:rsidRDefault="00EA5781" w:rsidP="0060505C"/>
    <w:p w14:paraId="487179CF" w14:textId="77777777" w:rsidR="00EA5781" w:rsidRDefault="00EA5781" w:rsidP="0060505C"/>
    <w:p w14:paraId="54C7C1DD" w14:textId="1F84F0A4" w:rsidR="0060505C" w:rsidRDefault="0060505C" w:rsidP="0060505C">
      <w:r>
        <w:lastRenderedPageBreak/>
        <w:t>5: Schedule Calls on Thursdays and Tuesdays</w:t>
      </w:r>
    </w:p>
    <w:p w14:paraId="0E651AAC" w14:textId="3768F3CB" w:rsidR="0060505C" w:rsidRDefault="0060505C" w:rsidP="0060505C">
      <w:r>
        <w:t xml:space="preserve">Day of the week has a measurable impact on conversion. </w:t>
      </w:r>
      <w:r w:rsidR="00EA5781">
        <w:t>T</w:t>
      </w:r>
      <w:r w:rsidR="00EA5781" w:rsidRPr="00EA5781">
        <w:t>he highest conversion rates</w:t>
      </w:r>
      <w:r w:rsidR="00EA5781" w:rsidRPr="00EA5781">
        <w:t xml:space="preserve"> </w:t>
      </w:r>
      <w:r w:rsidR="00EA5781">
        <w:t xml:space="preserve">are produced </w:t>
      </w:r>
      <w:r>
        <w:t>Thursday (12.1%) and Tuesday (11.8%)</w:t>
      </w:r>
      <w:r w:rsidR="00EA5781">
        <w:t xml:space="preserve">, </w:t>
      </w:r>
      <w:r>
        <w:t xml:space="preserve">while </w:t>
      </w:r>
      <w:r w:rsidR="00EA5781">
        <w:t>the worst day with lowest conversion rates is Monday</w:t>
      </w:r>
      <w:r>
        <w:t xml:space="preserve"> (9.9%). </w:t>
      </w:r>
      <w:r w:rsidR="00EA5781">
        <w:t>On Thursday and Tuesday, c</w:t>
      </w:r>
      <w:r>
        <w:t xml:space="preserve">all centre scheduling should be adjusted to </w:t>
      </w:r>
      <w:r w:rsidR="00EA5781">
        <w:t>ensure that agents are available</w:t>
      </w:r>
      <w:r>
        <w:t>. Monday calling volumes should be reduced or used for lower-priority follow-up tasks.</w:t>
      </w:r>
    </w:p>
    <w:p w14:paraId="41636F46" w14:textId="77777777" w:rsidR="00EA5781" w:rsidRDefault="00EA5781" w:rsidP="0060505C"/>
    <w:p w14:paraId="07055EE9" w14:textId="518CCD85" w:rsidR="0060505C" w:rsidRDefault="0060505C" w:rsidP="0060505C">
      <w:r>
        <w:t>6: Build a Re-engagement List from Previous Successes</w:t>
      </w:r>
    </w:p>
    <w:p w14:paraId="25B9CEBB" w14:textId="167BD981" w:rsidR="00C818F7" w:rsidRDefault="0060505C" w:rsidP="0060505C">
      <w:r>
        <w:t xml:space="preserve">Clients who successfully subscribed in a previous campaign re-convert at a remarkable 65.1% rate. This is by far the strongest predictor of conversion in the entire dataset. The bank should </w:t>
      </w:r>
      <w:r w:rsidR="00EA5781">
        <w:t xml:space="preserve">always keep a </w:t>
      </w:r>
      <w:r>
        <w:t>list of past subscribers and prioritise re-contacting them at the start of each new campaign before reaching out to cold leads. This segment requires the least effort for the greatest return.</w:t>
      </w:r>
    </w:p>
    <w:p w14:paraId="412D45F1" w14:textId="77777777" w:rsidR="0060505C" w:rsidRDefault="0060505C" w:rsidP="0060505C"/>
    <w:p w14:paraId="53483ECB" w14:textId="77777777" w:rsidR="0060505C" w:rsidRDefault="0060505C" w:rsidP="0060505C"/>
    <w:p w14:paraId="6347433A" w14:textId="77777777" w:rsidR="0060505C" w:rsidRDefault="0060505C" w:rsidP="0060505C"/>
    <w:p w14:paraId="34BDAD38" w14:textId="6815CE71" w:rsidR="0060505C" w:rsidRDefault="0060505C" w:rsidP="0060505C">
      <w:r>
        <w:t xml:space="preserve">Click here </w:t>
      </w:r>
      <w:hyperlink r:id="rId4" w:history="1">
        <w:r>
          <w:rPr>
            <w:rStyle w:val="Hyperlink"/>
          </w:rPr>
          <w:t>Marketing Funnel &amp; Conversion Performance Analysis | Tableau Public</w:t>
        </w:r>
      </w:hyperlink>
      <w:r>
        <w:t xml:space="preserve">  or type the following</w:t>
      </w:r>
    </w:p>
    <w:p w14:paraId="44DAB72D" w14:textId="7C5C0047" w:rsidR="0060505C" w:rsidRDefault="00EA5781" w:rsidP="0060505C">
      <w:hyperlink r:id="rId5" w:history="1">
        <w:r w:rsidRPr="00564CD4">
          <w:rPr>
            <w:rStyle w:val="Hyperlink"/>
          </w:rPr>
          <w:t>https://public.tableau.com/app/profile/tina.lubamba/viz/M</w:t>
        </w:r>
        <w:r w:rsidRPr="00564CD4">
          <w:rPr>
            <w:rStyle w:val="Hyperlink"/>
          </w:rPr>
          <w:t>a</w:t>
        </w:r>
        <w:r w:rsidRPr="00564CD4">
          <w:rPr>
            <w:rStyle w:val="Hyperlink"/>
          </w:rPr>
          <w:t>rketingFunnelConversionPerformanceAnalysis_17809896397010/Dashboard1?publish=yes</w:t>
        </w:r>
      </w:hyperlink>
    </w:p>
    <w:p w14:paraId="672CE83F" w14:textId="77777777" w:rsidR="00EA5781" w:rsidRDefault="00EA5781" w:rsidP="0060505C"/>
    <w:p w14:paraId="45A530E8" w14:textId="0A167787" w:rsidR="00EA5781" w:rsidRDefault="00EA5781" w:rsidP="0060505C">
      <w:r w:rsidRPr="00EA5781">
        <w:drawing>
          <wp:inline distT="0" distB="0" distL="0" distR="0" wp14:anchorId="1AF42926" wp14:editId="334AC29B">
            <wp:extent cx="5731510" cy="3001010"/>
            <wp:effectExtent l="0" t="0" r="2540" b="8890"/>
            <wp:docPr id="138841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18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5C"/>
    <w:rsid w:val="000502B1"/>
    <w:rsid w:val="0060505C"/>
    <w:rsid w:val="007A53DF"/>
    <w:rsid w:val="00C818F7"/>
    <w:rsid w:val="00EA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D8559D"/>
  <w15:chartTrackingRefBased/>
  <w15:docId w15:val="{FF2E8735-5190-4257-A5D5-4CE7145B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0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505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7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57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public.tableau.com/app/profile/tina.lubamba/viz/MarketingFunnelConversionPerformanceAnalysis_17809896397010/Dashboard1?publish=yes" TargetMode="External"/><Relationship Id="rId4" Type="http://schemas.openxmlformats.org/officeDocument/2006/relationships/hyperlink" Target="https://public.tableau.com/app/profile/tina.lubamba/viz/MarketingFunnelConversionPerformanceAnalysis_17809896397010/Dashboard1?publish=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2591</TotalTime>
  <Pages>2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Lubamba, T, Ms [26975300@sun.ac.za]</dc:creator>
  <cp:keywords/>
  <dc:description/>
  <cp:lastModifiedBy>Lubamba, T, Ms [26975300@sun.ac.za]</cp:lastModifiedBy>
  <cp:revision>1</cp:revision>
  <dcterms:created xsi:type="dcterms:W3CDTF">2026-06-09T07:13:00Z</dcterms:created>
  <dcterms:modified xsi:type="dcterms:W3CDTF">2026-06-15T19:44:00Z</dcterms:modified>
</cp:coreProperties>
</file>