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pPr>
      <w:r>
        <w:rPr>
          <w:rtl w:val="0"/>
        </w:rPr>
        <w:t>Methods &amp; Results Section</w:t>
      </w:r>
    </w:p>
    <w:p>
      <w:pPr>
        <w:pStyle w:val="Heading"/>
      </w:pPr>
      <w:bookmarkStart w:name="methods" w:id="0"/>
      <w:r>
        <w:rPr>
          <w:rFonts w:cs="Arial Unicode MS" w:eastAsia="Arial Unicode MS"/>
          <w:rtl w:val="0"/>
          <w:lang w:val="en-US"/>
        </w:rPr>
        <w:t>Methods</w:t>
      </w:r>
      <w:bookmarkEnd w:id="0"/>
    </w:p>
    <w:p>
      <w:pPr>
        <w:pStyle w:val="First Paragraph"/>
        <w:rPr>
          <w:color w:val="000000"/>
          <w:sz w:val="24"/>
        </w:rPr>
      </w:pPr>
      <w:r>
        <w:rPr>
          <w:rtl w:val="0"/>
        </w:rPr>
        <w:t xml:space="preserve">Data analyses were carried out in R version 3.5.0 (2018-04-23) and Python 2.7. In accordance with previous studies examining the relation between HRV and discrete eating episodes (Friesen et al. 2007; Harthoorn and Dransfield 2007; Ranzenhofer et al. 2016), physiological data collected in the 30-minute period preceding the eating episode were examined. For each participant, the inter-beat interval (IBI) for each self-reported survey was selected, where surveys were either self-reported at the time of an eating episode, or pseudo-randomly triggered in the app. This resulted in an initial total of </w:t>
      </w:r>
      <m:oMath>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oMath>
      <w:r>
        <w:rPr>
          <w:rtl w:val="0"/>
        </w:rPr>
        <w:t xml:space="preserve"> 487 emotional eating episodes and </w:t>
      </w:r>
      <m:oMath>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oMath>
      <w:r>
        <w:rPr>
          <w:rtl w:val="0"/>
        </w:rPr>
        <w:t xml:space="preserve"> 3155 control episodes before cleaning the data.</w:t>
      </w:r>
    </w:p>
    <w:p>
      <w:pPr>
        <w:pStyle w:val="Body Text"/>
      </w:pPr>
      <w:r>
        <w:rPr>
          <w:rtl w:val="0"/>
        </w:rPr>
        <w:t>Using the RHRV package (Rodriguez-Linares et al. 2017), IBI data streams were filtered, interpolated, and artifacts were removed, using thresholds and parameters in compliance with normative reported values for heart rate variability features (Shaffer and Ginsberg 2017). Observations that did not meet normative criteria were removed. Consistent with existing research, features of heart rate variability were extracted from both the time and frequency domain to measure both the amount of variability and the amount of signal energy in the 30-minute period (Shaffer and Ginsberg 2017; Rubin et al. 2016).</w:t>
      </w:r>
    </w:p>
    <w:p>
      <w:pPr>
        <w:pStyle w:val="Body Text"/>
      </w:pPr>
      <w:r>
        <w:rPr>
          <w:rtl w:val="0"/>
        </w:rPr>
        <w:t xml:space="preserve">The following heart rate variability features were extracted from the IBI streams for each observation in the time domain: </w:t>
      </w:r>
      <w:r>
        <w:rPr>
          <w:i w:val="1"/>
          <w:iCs w:val="1"/>
          <w:rtl w:val="0"/>
          <w:lang w:val="en-US"/>
        </w:rPr>
        <w:t>SDNN</w:t>
      </w:r>
      <w:r>
        <w:rPr>
          <w:rtl w:val="0"/>
        </w:rPr>
        <w:t xml:space="preserve"> (Standard Deviation of all filtered inter-beat intervals); </w:t>
      </w:r>
      <w:r>
        <w:rPr>
          <w:i w:val="1"/>
          <w:iCs w:val="1"/>
          <w:rtl w:val="0"/>
          <w:lang w:val="en-US"/>
        </w:rPr>
        <w:t>SDANN</w:t>
      </w:r>
      <w:r>
        <w:rPr>
          <w:rtl w:val="0"/>
        </w:rPr>
        <w:t xml:space="preserve"> (Standard Deviation of inter-beat intervals between all successive heartbeats); </w:t>
      </w:r>
      <w:r>
        <w:rPr>
          <w:i w:val="1"/>
          <w:iCs w:val="1"/>
          <w:rtl w:val="0"/>
          <w:lang w:val="en-US"/>
        </w:rPr>
        <w:t>SDNNIX</w:t>
      </w:r>
      <w:r>
        <w:rPr>
          <w:rtl w:val="0"/>
        </w:rPr>
        <w:t xml:space="preserve"> (Mean of the standard deviations of all the filtered inter-beat intervals for each 5</w:t>
      </w:r>
      <w:r>
        <w:rPr>
          <w:rtl w:val="0"/>
        </w:rPr>
        <w:t> </w:t>
      </w:r>
      <w:r>
        <w:rPr>
          <w:rtl w:val="0"/>
        </w:rPr>
        <w:t xml:space="preserve">min segment of the IBI stream); </w:t>
      </w:r>
      <w:r>
        <w:rPr>
          <w:i w:val="1"/>
          <w:iCs w:val="1"/>
          <w:rtl w:val="0"/>
          <w:lang w:val="en-US"/>
        </w:rPr>
        <w:t>pNN50</w:t>
      </w:r>
      <w:r>
        <w:rPr>
          <w:rtl w:val="0"/>
        </w:rPr>
        <w:t xml:space="preserve"> (Percentage of successive inter-beat intervals that differ by more than 50</w:t>
      </w:r>
      <w:r>
        <w:rPr>
          <w:rtl w:val="0"/>
        </w:rPr>
        <w:t> </w:t>
      </w:r>
      <w:r>
        <w:rPr>
          <w:rtl w:val="0"/>
        </w:rPr>
        <w:t xml:space="preserve">ms); </w:t>
      </w:r>
      <w:r>
        <w:rPr>
          <w:i w:val="1"/>
          <w:iCs w:val="1"/>
          <w:rtl w:val="0"/>
          <w:lang w:val="en-US"/>
        </w:rPr>
        <w:t>SDSD</w:t>
      </w:r>
      <w:r>
        <w:rPr>
          <w:rtl w:val="0"/>
        </w:rPr>
        <w:t xml:space="preserve"> (Standard Deviation of Successive Differences of inter-beat intervals); </w:t>
      </w:r>
      <w:r>
        <w:rPr>
          <w:i w:val="1"/>
          <w:iCs w:val="1"/>
          <w:rtl w:val="0"/>
          <w:lang w:val="en-US"/>
        </w:rPr>
        <w:t>rMSSD</w:t>
      </w:r>
      <w:r>
        <w:rPr>
          <w:rtl w:val="0"/>
        </w:rPr>
        <w:t xml:space="preserve"> (Root Mean Square of Successive Differences); </w:t>
      </w:r>
      <w:r>
        <w:rPr>
          <w:i w:val="1"/>
          <w:iCs w:val="1"/>
          <w:rtl w:val="0"/>
          <w:lang w:val="en-US"/>
        </w:rPr>
        <w:t>IRRR</w:t>
      </w:r>
      <w:r>
        <w:rPr>
          <w:rtl w:val="0"/>
        </w:rPr>
        <w:t xml:space="preserve"> (length of the interval determined by the first and the third quantile of the inter-beat interval); </w:t>
      </w:r>
      <w:r>
        <w:rPr>
          <w:i w:val="1"/>
          <w:iCs w:val="1"/>
          <w:rtl w:val="0"/>
          <w:lang w:val="en-US"/>
        </w:rPr>
        <w:t>MADRR</w:t>
      </w:r>
      <w:r>
        <w:rPr>
          <w:rtl w:val="0"/>
        </w:rPr>
        <w:t xml:space="preserve"> (Median of the Absolute values of the successive Differences between the inter-beat intervals); </w:t>
      </w:r>
      <w:r>
        <w:rPr>
          <w:i w:val="1"/>
          <w:iCs w:val="1"/>
          <w:rtl w:val="0"/>
          <w:lang w:val="en-US"/>
        </w:rPr>
        <w:t>TINN</w:t>
      </w:r>
      <w:r>
        <w:rPr>
          <w:rtl w:val="0"/>
        </w:rPr>
        <w:t xml:space="preserve"> (Triangular Interpolation of inter-beat interval histogram); and </w:t>
      </w:r>
      <w:r>
        <w:rPr>
          <w:i w:val="1"/>
          <w:iCs w:val="1"/>
          <w:rtl w:val="0"/>
          <w:lang w:val="en-US"/>
        </w:rPr>
        <w:t>HRVi</w:t>
      </w:r>
      <w:r>
        <w:rPr>
          <w:rtl w:val="0"/>
        </w:rPr>
        <w:t xml:space="preserve"> (Heart Rate Variability index) (Rodriguez-Linares et al. 2017).</w:t>
      </w:r>
    </w:p>
    <w:p>
      <w:pPr>
        <w:pStyle w:val="Body Text"/>
      </w:pPr>
      <w:r>
        <w:rPr>
          <w:i w:val="1"/>
          <w:iCs w:val="1"/>
          <w:rtl w:val="0"/>
          <w:lang w:val="en-US"/>
        </w:rPr>
        <w:t>SDNN</w:t>
      </w:r>
      <w:r>
        <w:rPr>
          <w:rtl w:val="0"/>
        </w:rPr>
        <w:t xml:space="preserve"> reflects the power of the components responsible for variability in heart rhythm, while </w:t>
      </w:r>
      <w:r>
        <w:rPr>
          <w:i w:val="1"/>
          <w:iCs w:val="1"/>
          <w:rtl w:val="0"/>
          <w:lang w:val="en-US"/>
        </w:rPr>
        <w:t>SDANN</w:t>
      </w:r>
      <w:r>
        <w:rPr>
          <w:rtl w:val="0"/>
        </w:rPr>
        <w:t xml:space="preserve">, </w:t>
      </w:r>
      <w:r>
        <w:rPr>
          <w:i w:val="1"/>
          <w:iCs w:val="1"/>
          <w:rtl w:val="0"/>
          <w:lang w:val="en-US"/>
        </w:rPr>
        <w:t>SDNNIX</w:t>
      </w:r>
      <w:r>
        <w:rPr>
          <w:rtl w:val="0"/>
        </w:rPr>
        <w:t xml:space="preserve">, </w:t>
      </w:r>
      <w:r>
        <w:rPr>
          <w:i w:val="1"/>
          <w:iCs w:val="1"/>
          <w:rtl w:val="0"/>
          <w:lang w:val="en-US"/>
        </w:rPr>
        <w:t>pNN50</w:t>
      </w:r>
      <w:r>
        <w:rPr>
          <w:rtl w:val="0"/>
        </w:rPr>
        <w:t xml:space="preserve">, </w:t>
      </w:r>
      <w:r>
        <w:rPr>
          <w:i w:val="1"/>
          <w:iCs w:val="1"/>
          <w:rtl w:val="0"/>
          <w:lang w:val="en-US"/>
        </w:rPr>
        <w:t>SDSD</w:t>
      </w:r>
      <w:r>
        <w:rPr>
          <w:rtl w:val="0"/>
        </w:rPr>
        <w:t xml:space="preserve">, </w:t>
      </w:r>
      <w:r>
        <w:rPr>
          <w:i w:val="1"/>
          <w:iCs w:val="1"/>
          <w:rtl w:val="0"/>
          <w:lang w:val="en-US"/>
        </w:rPr>
        <w:t>rMSSD</w:t>
      </w:r>
      <w:r>
        <w:rPr>
          <w:rtl w:val="0"/>
        </w:rPr>
        <w:t xml:space="preserve">, </w:t>
      </w:r>
      <w:r>
        <w:rPr>
          <w:i w:val="1"/>
          <w:iCs w:val="1"/>
          <w:rtl w:val="0"/>
          <w:lang w:val="en-US"/>
        </w:rPr>
        <w:t>IRRR</w:t>
      </w:r>
      <w:r>
        <w:rPr>
          <w:rtl w:val="0"/>
        </w:rPr>
        <w:t xml:space="preserve">, and </w:t>
      </w:r>
      <w:r>
        <w:rPr>
          <w:i w:val="1"/>
          <w:iCs w:val="1"/>
          <w:rtl w:val="0"/>
          <w:lang w:val="en-US"/>
        </w:rPr>
        <w:t>MADRR</w:t>
      </w:r>
      <w:r>
        <w:rPr>
          <w:rtl w:val="0"/>
        </w:rPr>
        <w:t xml:space="preserve"> reflect different statistical aspects of the high frequency variation in heart rhythm. Finally, </w:t>
      </w:r>
      <w:r>
        <w:rPr>
          <w:i w:val="1"/>
          <w:iCs w:val="1"/>
          <w:rtl w:val="0"/>
          <w:lang w:val="en-US"/>
        </w:rPr>
        <w:t>TINN</w:t>
      </w:r>
      <w:r>
        <w:rPr>
          <w:rtl w:val="0"/>
        </w:rPr>
        <w:t xml:space="preserve"> and </w:t>
      </w:r>
      <w:r>
        <w:rPr>
          <w:i w:val="1"/>
          <w:iCs w:val="1"/>
          <w:rtl w:val="0"/>
          <w:lang w:val="en-US"/>
        </w:rPr>
        <w:t>HRVi</w:t>
      </w:r>
      <w:r>
        <w:rPr>
          <w:rtl w:val="0"/>
        </w:rPr>
        <w:t xml:space="preserve"> represent geometric measures calculated from the density distribution of inter-beat intervals (Rodriguez-Linares et al. 2017).</w:t>
      </w:r>
    </w:p>
    <w:p>
      <w:pPr>
        <w:pStyle w:val="Body Text"/>
        <w:rPr>
          <w:color w:val="000000"/>
          <w:sz w:val="24"/>
        </w:rPr>
      </w:pPr>
      <w:r>
        <w:rPr>
          <w:rtl w:val="0"/>
        </w:rPr>
        <w:t>In the frequency domain, features extracted included the mean non-interpolated heart rate (</w:t>
      </w:r>
      <w:r>
        <w:rPr>
          <w:i w:val="1"/>
          <w:iCs w:val="1"/>
          <w:rtl w:val="0"/>
          <w:lang w:val="en-US"/>
        </w:rPr>
        <w:t>mean niHR</w:t>
      </w:r>
      <w:r>
        <w:rPr>
          <w:rtl w:val="0"/>
        </w:rPr>
        <w:t>), the mean interpolated Heart Rate (</w:t>
      </w:r>
      <w:r>
        <w:rPr>
          <w:i w:val="1"/>
          <w:iCs w:val="1"/>
          <w:rtl w:val="0"/>
          <w:lang w:val="en-US"/>
        </w:rPr>
        <w:t>mean HR</w:t>
      </w:r>
      <w:r>
        <w:rPr>
          <w:rtl w:val="0"/>
        </w:rPr>
        <w:t>), and the heart rate values at the start and end of the 30 minute window (</w:t>
      </w:r>
      <w:r>
        <w:rPr>
          <w:i w:val="1"/>
          <w:iCs w:val="1"/>
          <w:rtl w:val="0"/>
          <w:lang w:val="en-US"/>
        </w:rPr>
        <w:t>Start HR</w:t>
      </w:r>
      <w:r>
        <w:rPr>
          <w:rtl w:val="0"/>
        </w:rPr>
        <w:t xml:space="preserve">, </w:t>
      </w:r>
      <w:r>
        <w:rPr>
          <w:i w:val="1"/>
          <w:iCs w:val="1"/>
          <w:rtl w:val="0"/>
          <w:lang w:val="en-US"/>
        </w:rPr>
        <w:t>End HR</w:t>
      </w:r>
      <w:r>
        <w:rPr>
          <w:rtl w:val="0"/>
        </w:rPr>
        <w:t xml:space="preserve">). Additional frequency domain features were extracted from the 30 minute streams by applying a Fourier transform to the heart rate signal, resulting in a spectrogram of the heart rate in the low and high frequency ranges. To extract a sufficient amount of information from these spectograms and increase the variance of our data, the spectrogram was split into 5 minute windows, as has been done previously in studies using heart rate variability to predict event-level behavior (Rubin et al. 2016). Mean features were extracted from each of these windows </w:t>
      </w:r>
      <w:r>
        <w:rPr>
          <w:rtl w:val="0"/>
        </w:rPr>
        <w:t xml:space="preserve">— </w:t>
      </w:r>
      <w:r>
        <w:rPr>
          <w:rtl w:val="0"/>
        </w:rPr>
        <w:t>the mean Low Frequency signal (</w:t>
      </w:r>
      <m:oMath>
        <m:r>
          <w:rPr xmlns:w="http://schemas.openxmlformats.org/wordprocessingml/2006/main">
            <w:rFonts w:ascii="Cambria Math" w:hAnsi="Cambria Math"/>
            <w:i/>
            <w:color w:val="000000"/>
            <w:sz w:val="24"/>
            <w:szCs w:val="24"/>
          </w:rPr>
          <m:t>L</m:t>
        </m:r>
        <m:sSub>
          <m:e>
            <m:r>
              <w:rPr xmlns:w="http://schemas.openxmlformats.org/wordprocessingml/2006/main">
                <w:rFonts w:ascii="Cambria Math" w:hAnsi="Cambria Math"/>
                <w:i/>
                <w:color w:val="000000"/>
                <w:sz w:val="24"/>
                <w:szCs w:val="24"/>
              </w:rPr>
              <m:t>F</m:t>
            </m:r>
          </m:e>
          <m:sub>
            <m:r>
              <w:rPr xmlns:w="http://schemas.openxmlformats.org/wordprocessingml/2006/main">
                <w:rFonts w:ascii="Cambria Math" w:hAnsi="Cambria Math"/>
                <w:i/>
                <w:color w:val="000000"/>
                <w:sz w:val="24"/>
                <w:szCs w:val="24"/>
              </w:rPr>
              <m:t>1</m:t>
            </m:r>
          </m:sub>
        </m:sSub>
      </m:oMath>
      <w:r>
        <w:rPr>
          <w:rtl w:val="0"/>
        </w:rPr>
        <w:t xml:space="preserve">, </w:t>
      </w:r>
      <m:oMath>
        <m:r>
          <w:rPr xmlns:w="http://schemas.openxmlformats.org/wordprocessingml/2006/main">
            <w:rFonts w:ascii="Cambria Math" w:hAnsi="Cambria Math"/>
            <w:i/>
            <w:color w:val="000000"/>
            <w:sz w:val="24"/>
            <w:szCs w:val="24"/>
          </w:rPr>
          <m:t>L</m:t>
        </m:r>
        <m:sSub>
          <m:e>
            <m:r>
              <w:rPr xmlns:w="http://schemas.openxmlformats.org/wordprocessingml/2006/main">
                <w:rFonts w:ascii="Cambria Math" w:hAnsi="Cambria Math"/>
                <w:i/>
                <w:color w:val="000000"/>
                <w:sz w:val="24"/>
                <w:szCs w:val="24"/>
              </w:rPr>
              <m:t>F</m:t>
            </m:r>
          </m:e>
          <m:sub>
            <m:r>
              <w:rPr xmlns:w="http://schemas.openxmlformats.org/wordprocessingml/2006/main">
                <w:rFonts w:ascii="Cambria Math" w:hAnsi="Cambria Math"/>
                <w:i/>
                <w:color w:val="000000"/>
                <w:sz w:val="24"/>
                <w:szCs w:val="24"/>
              </w:rPr>
              <m:t>2</m:t>
            </m:r>
          </m:sub>
        </m:sSub>
      </m:oMath>
      <w:r>
        <w:rPr>
          <w:rtl w:val="0"/>
        </w:rPr>
        <w:t>,</w:t>
      </w:r>
      <w:r>
        <w:rPr>
          <w:rtl w:val="0"/>
        </w:rPr>
        <w:t xml:space="preserve">… </w:t>
      </w:r>
      <m:oMath>
        <m:r>
          <w:rPr xmlns:w="http://schemas.openxmlformats.org/wordprocessingml/2006/main">
            <w:rFonts w:ascii="Cambria Math" w:hAnsi="Cambria Math"/>
            <w:i/>
            <w:color w:val="000000"/>
            <w:sz w:val="24"/>
            <w:szCs w:val="24"/>
          </w:rPr>
          <m:t>L</m:t>
        </m:r>
        <m:sSub>
          <m:e>
            <m:r>
              <w:rPr xmlns:w="http://schemas.openxmlformats.org/wordprocessingml/2006/main">
                <w:rFonts w:ascii="Cambria Math" w:hAnsi="Cambria Math"/>
                <w:i/>
                <w:color w:val="000000"/>
                <w:sz w:val="24"/>
                <w:szCs w:val="24"/>
              </w:rPr>
              <m:t>F</m:t>
            </m:r>
          </m:e>
          <m:sub>
            <m:r>
              <w:rPr xmlns:w="http://schemas.openxmlformats.org/wordprocessingml/2006/main">
                <w:rFonts w:ascii="Cambria Math" w:hAnsi="Cambria Math"/>
                <w:i/>
                <w:color w:val="000000"/>
                <w:sz w:val="24"/>
                <w:szCs w:val="24"/>
              </w:rPr>
              <m:t>6</m:t>
            </m:r>
          </m:sub>
        </m:sSub>
      </m:oMath>
      <w:r>
        <w:rPr>
          <w:rtl w:val="0"/>
        </w:rPr>
        <w:t>), the mean High Frequency signal (</w:t>
      </w:r>
      <m:oMath>
        <m:r>
          <w:rPr xmlns:w="http://schemas.openxmlformats.org/wordprocessingml/2006/main">
            <w:rFonts w:ascii="Cambria Math" w:hAnsi="Cambria Math"/>
            <w:i/>
            <w:color w:val="000000"/>
            <w:sz w:val="24"/>
            <w:szCs w:val="24"/>
          </w:rPr>
          <m:t>H</m:t>
        </m:r>
        <m:sSub>
          <m:e>
            <m:r>
              <w:rPr xmlns:w="http://schemas.openxmlformats.org/wordprocessingml/2006/main">
                <w:rFonts w:ascii="Cambria Math" w:hAnsi="Cambria Math"/>
                <w:i/>
                <w:color w:val="000000"/>
                <w:sz w:val="24"/>
                <w:szCs w:val="24"/>
              </w:rPr>
              <m:t>F</m:t>
            </m:r>
          </m:e>
          <m:sub>
            <m:r>
              <w:rPr xmlns:w="http://schemas.openxmlformats.org/wordprocessingml/2006/main">
                <w:rFonts w:ascii="Cambria Math" w:hAnsi="Cambria Math"/>
                <w:i/>
                <w:color w:val="000000"/>
                <w:sz w:val="24"/>
                <w:szCs w:val="24"/>
              </w:rPr>
              <m:t>1</m:t>
            </m:r>
          </m:sub>
        </m:sSub>
      </m:oMath>
      <w:r>
        <w:rPr>
          <w:rtl w:val="0"/>
        </w:rPr>
        <w:t xml:space="preserve">, </w:t>
      </w:r>
      <m:oMath>
        <m:r>
          <w:rPr xmlns:w="http://schemas.openxmlformats.org/wordprocessingml/2006/main">
            <w:rFonts w:ascii="Cambria Math" w:hAnsi="Cambria Math"/>
            <w:i/>
            <w:color w:val="000000"/>
            <w:sz w:val="24"/>
            <w:szCs w:val="24"/>
          </w:rPr>
          <m:t>H</m:t>
        </m:r>
        <m:sSub>
          <m:e>
            <m:r>
              <w:rPr xmlns:w="http://schemas.openxmlformats.org/wordprocessingml/2006/main">
                <w:rFonts w:ascii="Cambria Math" w:hAnsi="Cambria Math"/>
                <w:i/>
                <w:color w:val="000000"/>
                <w:sz w:val="24"/>
                <w:szCs w:val="24"/>
              </w:rPr>
              <m:t>F</m:t>
            </m:r>
          </m:e>
          <m:sub>
            <m:r>
              <w:rPr xmlns:w="http://schemas.openxmlformats.org/wordprocessingml/2006/main">
                <w:rFonts w:ascii="Cambria Math" w:hAnsi="Cambria Math"/>
                <w:i/>
                <w:color w:val="000000"/>
                <w:sz w:val="24"/>
                <w:szCs w:val="24"/>
              </w:rPr>
              <m:t>2</m:t>
            </m:r>
          </m:sub>
        </m:sSub>
      </m:oMath>
      <w:r>
        <w:rPr>
          <w:rtl w:val="0"/>
        </w:rPr>
        <w:t>,</w:t>
      </w:r>
      <w:r>
        <w:rPr>
          <w:rtl w:val="0"/>
        </w:rPr>
        <w:t xml:space="preserve">… </w:t>
      </w:r>
      <m:oMath>
        <m:r>
          <w:rPr xmlns:w="http://schemas.openxmlformats.org/wordprocessingml/2006/main">
            <w:rFonts w:ascii="Cambria Math" w:hAnsi="Cambria Math"/>
            <w:i/>
            <w:color w:val="000000"/>
            <w:sz w:val="24"/>
            <w:szCs w:val="24"/>
          </w:rPr>
          <m:t>H</m:t>
        </m:r>
        <m:sSub>
          <m:e>
            <m:r>
              <w:rPr xmlns:w="http://schemas.openxmlformats.org/wordprocessingml/2006/main">
                <w:rFonts w:ascii="Cambria Math" w:hAnsi="Cambria Math"/>
                <w:i/>
                <w:color w:val="000000"/>
                <w:sz w:val="24"/>
                <w:szCs w:val="24"/>
              </w:rPr>
              <m:t>F</m:t>
            </m:r>
          </m:e>
          <m:sub>
            <m:r>
              <w:rPr xmlns:w="http://schemas.openxmlformats.org/wordprocessingml/2006/main">
                <w:rFonts w:ascii="Cambria Math" w:hAnsi="Cambria Math"/>
                <w:i/>
                <w:color w:val="000000"/>
                <w:sz w:val="24"/>
                <w:szCs w:val="24"/>
              </w:rPr>
              <m:t>6</m:t>
            </m:r>
          </m:sub>
        </m:sSub>
      </m:oMath>
      <w:r>
        <w:rPr>
          <w:rtl w:val="0"/>
        </w:rPr>
        <w:t>), and the mean Low Frequency-High Frequency Ratio (</w:t>
      </w:r>
      <m:oMath>
        <m:r>
          <w:rPr xmlns:w="http://schemas.openxmlformats.org/wordprocessingml/2006/main">
            <w:rFonts w:ascii="Cambria Math" w:hAnsi="Cambria Math"/>
            <w:i/>
            <w:color w:val="000000"/>
            <w:sz w:val="24"/>
            <w:szCs w:val="24"/>
          </w:rPr>
          <m:t>L</m:t>
        </m:r>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H</m:t>
        </m:r>
        <m:sSub>
          <m:e>
            <m:r>
              <w:rPr xmlns:w="http://schemas.openxmlformats.org/wordprocessingml/2006/main">
                <w:rFonts w:ascii="Cambria Math" w:hAnsi="Cambria Math"/>
                <w:i/>
                <w:color w:val="000000"/>
                <w:sz w:val="24"/>
                <w:szCs w:val="24"/>
              </w:rPr>
              <m:t>F</m:t>
            </m:r>
          </m:e>
          <m:sub>
            <m:r>
              <w:rPr xmlns:w="http://schemas.openxmlformats.org/wordprocessingml/2006/main">
                <w:rFonts w:ascii="Cambria Math" w:hAnsi="Cambria Math"/>
                <w:i/>
                <w:color w:val="000000"/>
                <w:sz w:val="24"/>
                <w:szCs w:val="24"/>
              </w:rPr>
              <m:t>1</m:t>
            </m:r>
          </m:sub>
        </m:sSub>
      </m:oMath>
      <w:r>
        <w:rPr>
          <w:rtl w:val="0"/>
        </w:rPr>
        <w:t xml:space="preserve">, </w:t>
      </w:r>
      <m:oMath>
        <m:r>
          <w:rPr xmlns:w="http://schemas.openxmlformats.org/wordprocessingml/2006/main">
            <w:rFonts w:ascii="Cambria Math" w:hAnsi="Cambria Math"/>
            <w:i/>
            <w:color w:val="000000"/>
            <w:sz w:val="24"/>
            <w:szCs w:val="24"/>
          </w:rPr>
          <m:t>L</m:t>
        </m:r>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H</m:t>
        </m:r>
        <m:sSub>
          <m:e>
            <m:r>
              <w:rPr xmlns:w="http://schemas.openxmlformats.org/wordprocessingml/2006/main">
                <w:rFonts w:ascii="Cambria Math" w:hAnsi="Cambria Math"/>
                <w:i/>
                <w:color w:val="000000"/>
                <w:sz w:val="24"/>
                <w:szCs w:val="24"/>
              </w:rPr>
              <m:t>F</m:t>
            </m:r>
          </m:e>
          <m:sub>
            <m:r>
              <w:rPr xmlns:w="http://schemas.openxmlformats.org/wordprocessingml/2006/main">
                <w:rFonts w:ascii="Cambria Math" w:hAnsi="Cambria Math"/>
                <w:i/>
                <w:color w:val="000000"/>
                <w:sz w:val="24"/>
                <w:szCs w:val="24"/>
              </w:rPr>
              <m:t>2</m:t>
            </m:r>
          </m:sub>
        </m:sSub>
      </m:oMath>
      <w:r>
        <w:rPr>
          <w:rtl w:val="0"/>
        </w:rPr>
        <w:t>,</w:t>
      </w:r>
      <w:r>
        <w:rPr>
          <w:rtl w:val="0"/>
        </w:rPr>
        <w:t xml:space="preserve">… </w:t>
      </w:r>
      <m:oMath>
        <m:r>
          <w:rPr xmlns:w="http://schemas.openxmlformats.org/wordprocessingml/2006/main">
            <w:rFonts w:ascii="Cambria Math" w:hAnsi="Cambria Math"/>
            <w:i/>
            <w:color w:val="000000"/>
            <w:sz w:val="24"/>
            <w:szCs w:val="24"/>
          </w:rPr>
          <m:t>L</m:t>
        </m:r>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H</m:t>
        </m:r>
        <m:sSub>
          <m:e>
            <m:r>
              <w:rPr xmlns:w="http://schemas.openxmlformats.org/wordprocessingml/2006/main">
                <w:rFonts w:ascii="Cambria Math" w:hAnsi="Cambria Math"/>
                <w:i/>
                <w:color w:val="000000"/>
                <w:sz w:val="24"/>
                <w:szCs w:val="24"/>
              </w:rPr>
              <m:t>F</m:t>
            </m:r>
          </m:e>
          <m:sub>
            <m:r>
              <w:rPr xmlns:w="http://schemas.openxmlformats.org/wordprocessingml/2006/main">
                <w:rFonts w:ascii="Cambria Math" w:hAnsi="Cambria Math"/>
                <w:i/>
                <w:color w:val="000000"/>
                <w:sz w:val="24"/>
                <w:szCs w:val="24"/>
              </w:rPr>
              <m:t>6</m:t>
            </m:r>
          </m:sub>
        </m:sSub>
      </m:oMath>
      <w:r>
        <w:rPr>
          <w:rtl w:val="0"/>
        </w:rPr>
        <w:t>).</w:t>
      </w:r>
    </w:p>
    <w:p>
      <w:pPr>
        <w:pStyle w:val="Body Text"/>
      </w:pPr>
      <w:r>
        <w:rPr>
          <w:rtl w:val="0"/>
        </w:rPr>
        <w:t>In order to examine any differences between means of the features, and address the issue of group imbalance affecting statistical power, we conducted between-groups permutation T-tests with each variable in the time and frequency domain (Maindonald and Braun 2015; Good 2013). Then, using the CARET package (Jed Wing et al. 2018), a Support Vector Machine with a polynomial kernel was implemented to predict episodes from controls. In order to address the group imbalance in this stage, all features were standardized, while controls were randomly downsampled and episodes were randomly upsampled using the ROSE package (Lunardon, Menardi, and Torelli 2014). To evaluate model performance, models were tested using 4-fold cross validation, training models on 3/4 of the data and using the remaining data evaluate the model accuracy, specificity, and sensitivity.</w:t>
      </w:r>
    </w:p>
    <w:p>
      <w:pPr>
        <w:pStyle w:val="Heading"/>
      </w:pPr>
      <w:bookmarkStart w:name="results" w:id="1"/>
      <w:r>
        <w:rPr>
          <w:rFonts w:cs="Arial Unicode MS" w:eastAsia="Arial Unicode MS"/>
          <w:rtl w:val="0"/>
          <w:lang w:val="en-US"/>
        </w:rPr>
        <w:t>Results</w:t>
      </w:r>
      <w:bookmarkEnd w:id="1"/>
    </w:p>
    <w:p>
      <w:pPr>
        <w:pStyle w:val="Heading 2"/>
      </w:pPr>
      <w:bookmarkStart w:name="missingness" w:id="2"/>
      <w:r>
        <w:rPr>
          <w:rFonts w:cs="Arial Unicode MS" w:eastAsia="Arial Unicode MS"/>
          <w:rtl w:val="0"/>
          <w:lang w:val="en-US"/>
        </w:rPr>
        <w:t>Missingness</w:t>
      </w:r>
      <w:bookmarkEnd w:id="2"/>
    </w:p>
    <w:p>
      <w:pPr>
        <w:pStyle w:val="First Paragraph"/>
        <w:rPr>
          <w:color w:val="000000"/>
          <w:sz w:val="24"/>
        </w:rPr>
      </w:pPr>
      <w:r>
        <w:rPr>
          <w:rtl w:val="0"/>
        </w:rPr>
        <w:t>After cleaning the dataset of erroneous surveys (e.g.</w:t>
      </w:r>
      <w:r>
        <w:rPr>
          <w:rtl w:val="0"/>
        </w:rPr>
        <w:t> </w:t>
      </w:r>
      <w:r>
        <w:rPr>
          <w:rtl w:val="0"/>
        </w:rPr>
        <w:t xml:space="preserve">no usable IBI data; overlapping survey responses; control observations with high self-reported stress), and filtering IBI streams that did not meet filtering quality criteria for preprocessing, the data consisted of </w:t>
      </w:r>
      <m:oMath>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oMath>
      <w:r>
        <w:rPr>
          <w:rtl w:val="0"/>
        </w:rPr>
        <w:t xml:space="preserve"> 285 emotional eating episodes and </w:t>
      </w:r>
      <m:oMath>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oMath>
      <w:r>
        <w:rPr>
          <w:rtl w:val="0"/>
        </w:rPr>
        <w:t xml:space="preserve"> 1753 controls. Of these clean observations, HRV features were extracted from the IBI streams, although even with filtering, many IBI streams were too sparse to compute HRV features. Figures 1 and 2 illustrate the completeness of data in the extracted time and frequency domain features, with tables 1 and 2 showing the final number of observations used for analysis. Much of the data missing from the time domain is due to the fact that these features derived from SDNN and are dependent on having sufficient data in this feature.</w:t>
      </w:r>
    </w:p>
    <w:p>
      <w:pPr>
        <w:pStyle w:val="Captioned Figure"/>
      </w:pPr>
      <w:r>
        <w:drawing>
          <wp:inline distT="0" distB="0" distL="0" distR="0">
            <wp:extent cx="5334000" cy="5334000"/>
            <wp:effectExtent l="0" t="0" r="0" b="0"/>
            <wp:docPr id="1073741825" name="officeArt object" descr="Figure 1 Completeness of Features in the Time Domain"/>
            <wp:cNvGraphicFramePr/>
            <a:graphic xmlns:a="http://schemas.openxmlformats.org/drawingml/2006/main">
              <a:graphicData uri="http://schemas.openxmlformats.org/drawingml/2006/picture">
                <pic:pic xmlns:pic="http://schemas.openxmlformats.org/drawingml/2006/picture">
                  <pic:nvPicPr>
                    <pic:cNvPr id="1073741825" name="Figure 1 Completeness of Features in the Time Domain" descr="Figure 1 Completeness of Features in the Time Domain"/>
                    <pic:cNvPicPr>
                      <a:picLocks noChangeAspect="1"/>
                    </pic:cNvPicPr>
                  </pic:nvPicPr>
                  <pic:blipFill>
                    <a:blip r:embed="rId4">
                      <a:extLst/>
                    </a:blip>
                    <a:stretch>
                      <a:fillRect/>
                    </a:stretch>
                  </pic:blipFill>
                  <pic:spPr>
                    <a:xfrm>
                      <a:off x="0" y="0"/>
                      <a:ext cx="5334000" cy="5334000"/>
                    </a:xfrm>
                    <a:prstGeom prst="rect">
                      <a:avLst/>
                    </a:prstGeom>
                    <a:ln w="12700" cap="flat">
                      <a:noFill/>
                      <a:miter lim="400000"/>
                    </a:ln>
                    <a:effectLst/>
                  </pic:spPr>
                </pic:pic>
              </a:graphicData>
            </a:graphic>
          </wp:inline>
        </w:drawing>
      </w:r>
    </w:p>
    <w:p>
      <w:pPr>
        <w:pStyle w:val="Image Caption"/>
      </w:pPr>
      <w:r>
        <w:rPr>
          <w:rtl w:val="0"/>
        </w:rPr>
        <w:t>Figure 1 Completeness of Features in the Time Domain</w:t>
      </w:r>
    </w:p>
    <w:p>
      <w:pPr>
        <w:pStyle w:val="Compact"/>
      </w:pPr>
      <w:r>
        <w:rPr>
          <w:rtl w:val="0"/>
        </w:rPr>
        <w:t>Table 1 Number of Time Domain Observations</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86"/>
        <w:gridCol w:w="2831"/>
        <w:gridCol w:w="3043"/>
      </w:tblGrid>
      <w:tr>
        <w:tblPrEx>
          <w:shd w:val="clear" w:color="auto" w:fill="ced7e7"/>
        </w:tblPrEx>
        <w:trPr>
          <w:trHeight w:val="293" w:hRule="atLeast"/>
        </w:trPr>
        <w:tc>
          <w:tcPr>
            <w:tcW w:type="dxa" w:w="348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pStyle w:val="Header &amp; Footer"/>
              <w:bidi w:val="0"/>
            </w:pPr>
            <w:r>
              <w:rPr>
                <w:rFonts w:ascii="Helvetica Neue" w:cs="Arial Unicode MS" w:hAnsi="Helvetica Neue" w:eastAsia="Arial Unicode MS"/>
                <w:rtl w:val="0"/>
              </w:rPr>
              <w:t>Y</w:t>
            </w:r>
          </w:p>
        </w:tc>
        <w:tc>
          <w:tcPr>
            <w:tcW w:type="dxa" w:w="2831"/>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pStyle w:val="Header &amp; Footer"/>
              <w:bidi w:val="0"/>
            </w:pPr>
            <w:r>
              <w:rPr>
                <w:rFonts w:ascii="Helvetica Neue" w:cs="Arial Unicode MS" w:hAnsi="Helvetica Neue" w:eastAsia="Arial Unicode MS"/>
                <w:rtl w:val="0"/>
              </w:rPr>
              <w:t>Control</w:t>
            </w:r>
          </w:p>
        </w:tc>
        <w:tc>
          <w:tcPr>
            <w:tcW w:type="dxa" w:w="304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pStyle w:val="Header &amp; Footer"/>
              <w:bidi w:val="0"/>
            </w:pPr>
            <w:r>
              <w:rPr>
                <w:rFonts w:ascii="Helvetica Neue" w:cs="Arial Unicode MS" w:hAnsi="Helvetica Neue" w:eastAsia="Arial Unicode MS"/>
                <w:rtl w:val="0"/>
              </w:rPr>
              <w:t>Episode</w:t>
            </w:r>
          </w:p>
        </w:tc>
      </w:tr>
      <w:tr>
        <w:tblPrEx>
          <w:shd w:val="clear" w:color="auto" w:fill="ced7e7"/>
        </w:tblPrEx>
        <w:trPr>
          <w:trHeight w:val="254" w:hRule="atLeast"/>
        </w:trPr>
        <w:tc>
          <w:tcPr>
            <w:tcW w:type="dxa" w:w="348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SDNN</w:t>
            </w:r>
          </w:p>
        </w:tc>
        <w:tc>
          <w:tcPr>
            <w:tcW w:type="dxa" w:w="2831"/>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1318</w:t>
            </w:r>
          </w:p>
        </w:tc>
        <w:tc>
          <w:tcPr>
            <w:tcW w:type="dxa" w:w="304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219</w:t>
            </w:r>
          </w:p>
        </w:tc>
      </w:tr>
      <w:tr>
        <w:tblPrEx>
          <w:shd w:val="clear" w:color="auto" w:fill="ced7e7"/>
        </w:tblPrEx>
        <w:trPr>
          <w:trHeight w:val="254" w:hRule="atLeast"/>
        </w:trPr>
        <w:tc>
          <w:tcPr>
            <w:tcW w:type="dxa" w:w="348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SDANN</w:t>
            </w:r>
          </w:p>
        </w:tc>
        <w:tc>
          <w:tcPr>
            <w:tcW w:type="dxa" w:w="2831"/>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110</w:t>
            </w:r>
          </w:p>
        </w:tc>
        <w:tc>
          <w:tcPr>
            <w:tcW w:type="dxa" w:w="304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19</w:t>
            </w:r>
          </w:p>
        </w:tc>
      </w:tr>
      <w:tr>
        <w:tblPrEx>
          <w:shd w:val="clear" w:color="auto" w:fill="ced7e7"/>
        </w:tblPrEx>
        <w:trPr>
          <w:trHeight w:val="254" w:hRule="atLeast"/>
        </w:trPr>
        <w:tc>
          <w:tcPr>
            <w:tcW w:type="dxa" w:w="348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SDNNIDX</w:t>
            </w:r>
          </w:p>
        </w:tc>
        <w:tc>
          <w:tcPr>
            <w:tcW w:type="dxa" w:w="2831"/>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110</w:t>
            </w:r>
          </w:p>
        </w:tc>
        <w:tc>
          <w:tcPr>
            <w:tcW w:type="dxa" w:w="304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19</w:t>
            </w:r>
          </w:p>
        </w:tc>
      </w:tr>
      <w:tr>
        <w:tblPrEx>
          <w:shd w:val="clear" w:color="auto" w:fill="ced7e7"/>
        </w:tblPrEx>
        <w:trPr>
          <w:trHeight w:val="254" w:hRule="atLeast"/>
        </w:trPr>
        <w:tc>
          <w:tcPr>
            <w:tcW w:type="dxa" w:w="348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pNN50</w:t>
            </w:r>
          </w:p>
        </w:tc>
        <w:tc>
          <w:tcPr>
            <w:tcW w:type="dxa" w:w="2831"/>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110</w:t>
            </w:r>
          </w:p>
        </w:tc>
        <w:tc>
          <w:tcPr>
            <w:tcW w:type="dxa" w:w="304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19</w:t>
            </w:r>
          </w:p>
        </w:tc>
      </w:tr>
      <w:tr>
        <w:tblPrEx>
          <w:shd w:val="clear" w:color="auto" w:fill="ced7e7"/>
        </w:tblPrEx>
        <w:trPr>
          <w:trHeight w:val="254" w:hRule="atLeast"/>
        </w:trPr>
        <w:tc>
          <w:tcPr>
            <w:tcW w:type="dxa" w:w="348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SDSD</w:t>
            </w:r>
          </w:p>
        </w:tc>
        <w:tc>
          <w:tcPr>
            <w:tcW w:type="dxa" w:w="2831"/>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110</w:t>
            </w:r>
          </w:p>
        </w:tc>
        <w:tc>
          <w:tcPr>
            <w:tcW w:type="dxa" w:w="304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19</w:t>
            </w:r>
          </w:p>
        </w:tc>
      </w:tr>
      <w:tr>
        <w:tblPrEx>
          <w:shd w:val="clear" w:color="auto" w:fill="ced7e7"/>
        </w:tblPrEx>
        <w:trPr>
          <w:trHeight w:val="254" w:hRule="atLeast"/>
        </w:trPr>
        <w:tc>
          <w:tcPr>
            <w:tcW w:type="dxa" w:w="348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rMSSD</w:t>
            </w:r>
          </w:p>
        </w:tc>
        <w:tc>
          <w:tcPr>
            <w:tcW w:type="dxa" w:w="2831"/>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110</w:t>
            </w:r>
          </w:p>
        </w:tc>
        <w:tc>
          <w:tcPr>
            <w:tcW w:type="dxa" w:w="304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19</w:t>
            </w:r>
          </w:p>
        </w:tc>
      </w:tr>
      <w:tr>
        <w:tblPrEx>
          <w:shd w:val="clear" w:color="auto" w:fill="ced7e7"/>
        </w:tblPrEx>
        <w:trPr>
          <w:trHeight w:val="254" w:hRule="atLeast"/>
        </w:trPr>
        <w:tc>
          <w:tcPr>
            <w:tcW w:type="dxa" w:w="348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IRRR</w:t>
            </w:r>
          </w:p>
        </w:tc>
        <w:tc>
          <w:tcPr>
            <w:tcW w:type="dxa" w:w="2831"/>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110</w:t>
            </w:r>
          </w:p>
        </w:tc>
        <w:tc>
          <w:tcPr>
            <w:tcW w:type="dxa" w:w="304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19</w:t>
            </w:r>
          </w:p>
        </w:tc>
      </w:tr>
      <w:tr>
        <w:tblPrEx>
          <w:shd w:val="clear" w:color="auto" w:fill="ced7e7"/>
        </w:tblPrEx>
        <w:trPr>
          <w:trHeight w:val="254" w:hRule="atLeast"/>
        </w:trPr>
        <w:tc>
          <w:tcPr>
            <w:tcW w:type="dxa" w:w="348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MADRR</w:t>
            </w:r>
          </w:p>
        </w:tc>
        <w:tc>
          <w:tcPr>
            <w:tcW w:type="dxa" w:w="2831"/>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110</w:t>
            </w:r>
          </w:p>
        </w:tc>
        <w:tc>
          <w:tcPr>
            <w:tcW w:type="dxa" w:w="304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19</w:t>
            </w:r>
          </w:p>
        </w:tc>
      </w:tr>
      <w:tr>
        <w:tblPrEx>
          <w:shd w:val="clear" w:color="auto" w:fill="ced7e7"/>
        </w:tblPrEx>
        <w:trPr>
          <w:trHeight w:val="254" w:hRule="atLeast"/>
        </w:trPr>
        <w:tc>
          <w:tcPr>
            <w:tcW w:type="dxa" w:w="348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TINN</w:t>
            </w:r>
          </w:p>
        </w:tc>
        <w:tc>
          <w:tcPr>
            <w:tcW w:type="dxa" w:w="2831"/>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110</w:t>
            </w:r>
          </w:p>
        </w:tc>
        <w:tc>
          <w:tcPr>
            <w:tcW w:type="dxa" w:w="304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19</w:t>
            </w:r>
          </w:p>
        </w:tc>
      </w:tr>
      <w:tr>
        <w:tblPrEx>
          <w:shd w:val="clear" w:color="auto" w:fill="ced7e7"/>
        </w:tblPrEx>
        <w:trPr>
          <w:trHeight w:val="254" w:hRule="atLeast"/>
        </w:trPr>
        <w:tc>
          <w:tcPr>
            <w:tcW w:type="dxa" w:w="3486"/>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HRVi</w:t>
            </w:r>
          </w:p>
        </w:tc>
        <w:tc>
          <w:tcPr>
            <w:tcW w:type="dxa" w:w="2831"/>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110</w:t>
            </w:r>
          </w:p>
        </w:tc>
        <w:tc>
          <w:tcPr>
            <w:tcW w:type="dxa" w:w="3042"/>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19</w:t>
            </w:r>
          </w:p>
        </w:tc>
      </w:tr>
    </w:tbl>
    <w:p>
      <w:pPr>
        <w:pStyle w:val="Default"/>
        <w:bidi w:val="0"/>
        <w:spacing w:line="380" w:lineRule="atLeast"/>
        <w:ind w:left="0" w:right="0" w:firstLine="0"/>
        <w:jc w:val="left"/>
        <w:rPr>
          <w:color w:val="333333"/>
          <w:sz w:val="28"/>
          <w:szCs w:val="28"/>
          <w:rtl w:val="0"/>
        </w:rPr>
      </w:pPr>
    </w:p>
    <w:p>
      <w:pPr>
        <w:pStyle w:val="Default"/>
        <w:bidi w:val="0"/>
        <w:spacing w:line="380" w:lineRule="atLeast"/>
        <w:ind w:left="0" w:right="0" w:firstLine="0"/>
        <w:jc w:val="left"/>
        <w:rPr>
          <w:color w:val="333333"/>
          <w:sz w:val="28"/>
          <w:szCs w:val="28"/>
          <w:rtl w:val="0"/>
        </w:rPr>
      </w:pPr>
    </w:p>
    <w:p>
      <w:pPr>
        <w:pStyle w:val="Captioned Figure"/>
      </w:pPr>
      <w:r>
        <w:drawing>
          <wp:inline distT="0" distB="0" distL="0" distR="0">
            <wp:extent cx="5334000" cy="5334000"/>
            <wp:effectExtent l="0" t="0" r="0" b="0"/>
            <wp:docPr id="1073741826" name="officeArt object" descr="Figure 2 Completeness of Features in the Frequency Domain"/>
            <wp:cNvGraphicFramePr/>
            <a:graphic xmlns:a="http://schemas.openxmlformats.org/drawingml/2006/main">
              <a:graphicData uri="http://schemas.openxmlformats.org/drawingml/2006/picture">
                <pic:pic xmlns:pic="http://schemas.openxmlformats.org/drawingml/2006/picture">
                  <pic:nvPicPr>
                    <pic:cNvPr id="1073741826" name="Figure 2 Completeness of Features in the Frequency Domain" descr="Figure 2 Completeness of Features in the Frequency Domain"/>
                    <pic:cNvPicPr>
                      <a:picLocks noChangeAspect="1"/>
                    </pic:cNvPicPr>
                  </pic:nvPicPr>
                  <pic:blipFill>
                    <a:blip r:embed="rId5">
                      <a:extLst/>
                    </a:blip>
                    <a:stretch>
                      <a:fillRect/>
                    </a:stretch>
                  </pic:blipFill>
                  <pic:spPr>
                    <a:xfrm>
                      <a:off x="0" y="0"/>
                      <a:ext cx="5334000" cy="5334000"/>
                    </a:xfrm>
                    <a:prstGeom prst="rect">
                      <a:avLst/>
                    </a:prstGeom>
                    <a:ln w="12700" cap="flat">
                      <a:noFill/>
                      <a:miter lim="400000"/>
                    </a:ln>
                    <a:effectLst/>
                  </pic:spPr>
                </pic:pic>
              </a:graphicData>
            </a:graphic>
          </wp:inline>
        </w:drawing>
      </w:r>
    </w:p>
    <w:p>
      <w:pPr>
        <w:pStyle w:val="Image Caption"/>
      </w:pPr>
      <w:r>
        <w:rPr>
          <w:rtl w:val="0"/>
        </w:rPr>
        <w:t>Figure 2 Completeness of Features in the Frequency Domain</w:t>
      </w:r>
    </w:p>
    <w:p>
      <w:pPr>
        <w:pStyle w:val="Compact"/>
      </w:pPr>
      <w:r>
        <w:rPr>
          <w:rtl w:val="0"/>
        </w:rPr>
        <w:t>Table 2 Number of Frequency Domain Observations</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37"/>
        <w:gridCol w:w="2470"/>
        <w:gridCol w:w="2653"/>
      </w:tblGrid>
      <w:tr>
        <w:tblPrEx>
          <w:shd w:val="clear" w:color="auto" w:fill="ced7e7"/>
        </w:tblPrEx>
        <w:trPr>
          <w:trHeight w:val="293" w:hRule="atLeast"/>
        </w:trPr>
        <w:tc>
          <w:tcPr>
            <w:tcW w:type="dxa" w:w="423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pStyle w:val="Header &amp; Footer"/>
              <w:bidi w:val="0"/>
            </w:pPr>
            <w:r>
              <w:rPr>
                <w:rFonts w:ascii="Helvetica Neue" w:cs="Arial Unicode MS" w:hAnsi="Helvetica Neue" w:eastAsia="Arial Unicode MS"/>
                <w:rtl w:val="0"/>
              </w:rPr>
              <w:t>Y</w:t>
            </w:r>
          </w:p>
        </w:tc>
        <w:tc>
          <w:tcPr>
            <w:tcW w:type="dxa" w:w="2470"/>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60"/>
              <w:left w:type="dxa" w:w="160"/>
              <w:bottom w:type="dxa" w:w="160"/>
              <w:right w:type="dxa" w:w="160"/>
            </w:tcMar>
            <w:vAlign w:val="top"/>
          </w:tcPr>
          <w:p>
            <w:pPr>
              <w:pStyle w:val="Header &amp; Footer"/>
              <w:bidi w:val="0"/>
            </w:pPr>
            <w:r>
              <w:rPr>
                <w:rFonts w:ascii="Helvetica Neue" w:cs="Arial Unicode MS" w:hAnsi="Helvetica Neue" w:eastAsia="Arial Unicode MS"/>
                <w:rtl w:val="0"/>
              </w:rPr>
              <w:t>Control</w:t>
            </w:r>
          </w:p>
        </w:tc>
        <w:tc>
          <w:tcPr>
            <w:tcW w:type="dxa" w:w="2652"/>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60"/>
              <w:left w:type="dxa" w:w="160"/>
              <w:bottom w:type="dxa" w:w="160"/>
              <w:right w:type="dxa" w:w="160"/>
            </w:tcMar>
            <w:vAlign w:val="top"/>
          </w:tcPr>
          <w:p>
            <w:pPr>
              <w:pStyle w:val="Header &amp; Footer"/>
              <w:bidi w:val="0"/>
            </w:pPr>
            <w:r>
              <w:rPr>
                <w:rFonts w:ascii="Helvetica Neue" w:cs="Arial Unicode MS" w:hAnsi="Helvetica Neue" w:eastAsia="Arial Unicode MS"/>
                <w:rtl w:val="0"/>
              </w:rPr>
              <w:t>Episode</w:t>
            </w:r>
          </w:p>
        </w:tc>
      </w:tr>
      <w:tr>
        <w:tblPrEx>
          <w:shd w:val="clear" w:color="auto" w:fill="ced7e7"/>
        </w:tblPrEx>
        <w:trPr>
          <w:trHeight w:val="254" w:hRule="atLeast"/>
        </w:trPr>
        <w:tc>
          <w:tcPr>
            <w:tcW w:type="dxa" w:w="9360"/>
            <w:gridSpan w:val="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0"/>
                <w:szCs w:val="20"/>
                <w:u w:val="none"/>
                <w:vertAlign w:val="baseline"/>
                <w:rtl w:val="0"/>
              </w:rPr>
              <w:t>Heart Rate</w:t>
            </w:r>
          </w:p>
        </w:tc>
      </w:tr>
      <w:tr>
        <w:tblPrEx>
          <w:shd w:val="clear" w:color="auto" w:fill="ced7e7"/>
        </w:tblPrEx>
        <w:trPr>
          <w:trHeight w:val="254" w:hRule="atLeast"/>
        </w:trPr>
        <w:tc>
          <w:tcPr>
            <w:tcW w:type="dxa" w:w="423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Avg_niHR</w:t>
            </w:r>
          </w:p>
        </w:tc>
        <w:tc>
          <w:tcPr>
            <w:tcW w:type="dxa" w:w="247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1282</w:t>
            </w:r>
          </w:p>
        </w:tc>
        <w:tc>
          <w:tcPr>
            <w:tcW w:type="dxa" w:w="265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215</w:t>
            </w:r>
          </w:p>
        </w:tc>
      </w:tr>
      <w:tr>
        <w:tblPrEx>
          <w:shd w:val="clear" w:color="auto" w:fill="ced7e7"/>
        </w:tblPrEx>
        <w:trPr>
          <w:trHeight w:val="254" w:hRule="atLeast"/>
        </w:trPr>
        <w:tc>
          <w:tcPr>
            <w:tcW w:type="dxa" w:w="423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Start_niHR</w:t>
            </w:r>
          </w:p>
        </w:tc>
        <w:tc>
          <w:tcPr>
            <w:tcW w:type="dxa" w:w="247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1282</w:t>
            </w:r>
          </w:p>
        </w:tc>
        <w:tc>
          <w:tcPr>
            <w:tcW w:type="dxa" w:w="265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215</w:t>
            </w:r>
          </w:p>
        </w:tc>
      </w:tr>
      <w:tr>
        <w:tblPrEx>
          <w:shd w:val="clear" w:color="auto" w:fill="ced7e7"/>
        </w:tblPrEx>
        <w:trPr>
          <w:trHeight w:val="254" w:hRule="atLeast"/>
        </w:trPr>
        <w:tc>
          <w:tcPr>
            <w:tcW w:type="dxa" w:w="423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End_niHR</w:t>
            </w:r>
          </w:p>
        </w:tc>
        <w:tc>
          <w:tcPr>
            <w:tcW w:type="dxa" w:w="247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1282</w:t>
            </w:r>
          </w:p>
        </w:tc>
        <w:tc>
          <w:tcPr>
            <w:tcW w:type="dxa" w:w="265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215</w:t>
            </w:r>
          </w:p>
        </w:tc>
      </w:tr>
      <w:tr>
        <w:tblPrEx>
          <w:shd w:val="clear" w:color="auto" w:fill="ced7e7"/>
        </w:tblPrEx>
        <w:trPr>
          <w:trHeight w:val="254" w:hRule="atLeast"/>
        </w:trPr>
        <w:tc>
          <w:tcPr>
            <w:tcW w:type="dxa" w:w="423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Avg_HR</w:t>
            </w:r>
          </w:p>
        </w:tc>
        <w:tc>
          <w:tcPr>
            <w:tcW w:type="dxa" w:w="2470"/>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1282</w:t>
            </w:r>
          </w:p>
        </w:tc>
        <w:tc>
          <w:tcPr>
            <w:tcW w:type="dxa" w:w="2652"/>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215</w:t>
            </w:r>
          </w:p>
        </w:tc>
      </w:tr>
      <w:tr>
        <w:tblPrEx>
          <w:shd w:val="clear" w:color="auto" w:fill="ced7e7"/>
        </w:tblPrEx>
        <w:trPr>
          <w:trHeight w:val="254" w:hRule="atLeast"/>
        </w:trPr>
        <w:tc>
          <w:tcPr>
            <w:tcW w:type="dxa" w:w="9360"/>
            <w:gridSpan w:val="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0"/>
                <w:szCs w:val="20"/>
                <w:u w:val="none"/>
                <w:vertAlign w:val="baseline"/>
                <w:rtl w:val="0"/>
              </w:rPr>
              <w:t>High Frequency</w:t>
            </w:r>
          </w:p>
        </w:tc>
      </w:tr>
      <w:tr>
        <w:tblPrEx>
          <w:shd w:val="clear" w:color="auto" w:fill="ced7e7"/>
        </w:tblPrEx>
        <w:trPr>
          <w:trHeight w:val="254" w:hRule="atLeast"/>
        </w:trPr>
        <w:tc>
          <w:tcPr>
            <w:tcW w:type="dxa" w:w="423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HF_1</w:t>
            </w:r>
          </w:p>
        </w:tc>
        <w:tc>
          <w:tcPr>
            <w:tcW w:type="dxa" w:w="247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433</w:t>
            </w:r>
          </w:p>
        </w:tc>
        <w:tc>
          <w:tcPr>
            <w:tcW w:type="dxa" w:w="265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82</w:t>
            </w:r>
          </w:p>
        </w:tc>
      </w:tr>
      <w:tr>
        <w:tblPrEx>
          <w:shd w:val="clear" w:color="auto" w:fill="ced7e7"/>
        </w:tblPrEx>
        <w:trPr>
          <w:trHeight w:val="254" w:hRule="atLeast"/>
        </w:trPr>
        <w:tc>
          <w:tcPr>
            <w:tcW w:type="dxa" w:w="423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HF_2</w:t>
            </w:r>
          </w:p>
        </w:tc>
        <w:tc>
          <w:tcPr>
            <w:tcW w:type="dxa" w:w="247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451</w:t>
            </w:r>
          </w:p>
        </w:tc>
        <w:tc>
          <w:tcPr>
            <w:tcW w:type="dxa" w:w="265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77</w:t>
            </w:r>
          </w:p>
        </w:tc>
      </w:tr>
      <w:tr>
        <w:tblPrEx>
          <w:shd w:val="clear" w:color="auto" w:fill="ced7e7"/>
        </w:tblPrEx>
        <w:trPr>
          <w:trHeight w:val="254" w:hRule="atLeast"/>
        </w:trPr>
        <w:tc>
          <w:tcPr>
            <w:tcW w:type="dxa" w:w="423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HF_3</w:t>
            </w:r>
          </w:p>
        </w:tc>
        <w:tc>
          <w:tcPr>
            <w:tcW w:type="dxa" w:w="247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456</w:t>
            </w:r>
          </w:p>
        </w:tc>
        <w:tc>
          <w:tcPr>
            <w:tcW w:type="dxa" w:w="265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79</w:t>
            </w:r>
          </w:p>
        </w:tc>
      </w:tr>
      <w:tr>
        <w:tblPrEx>
          <w:shd w:val="clear" w:color="auto" w:fill="ced7e7"/>
        </w:tblPrEx>
        <w:trPr>
          <w:trHeight w:val="254" w:hRule="atLeast"/>
        </w:trPr>
        <w:tc>
          <w:tcPr>
            <w:tcW w:type="dxa" w:w="423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HF_4</w:t>
            </w:r>
          </w:p>
        </w:tc>
        <w:tc>
          <w:tcPr>
            <w:tcW w:type="dxa" w:w="247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440</w:t>
            </w:r>
          </w:p>
        </w:tc>
        <w:tc>
          <w:tcPr>
            <w:tcW w:type="dxa" w:w="265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82</w:t>
            </w:r>
          </w:p>
        </w:tc>
      </w:tr>
      <w:tr>
        <w:tblPrEx>
          <w:shd w:val="clear" w:color="auto" w:fill="ced7e7"/>
        </w:tblPrEx>
        <w:trPr>
          <w:trHeight w:val="254" w:hRule="atLeast"/>
        </w:trPr>
        <w:tc>
          <w:tcPr>
            <w:tcW w:type="dxa" w:w="423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HF_5</w:t>
            </w:r>
          </w:p>
        </w:tc>
        <w:tc>
          <w:tcPr>
            <w:tcW w:type="dxa" w:w="247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445</w:t>
            </w:r>
          </w:p>
        </w:tc>
        <w:tc>
          <w:tcPr>
            <w:tcW w:type="dxa" w:w="265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66</w:t>
            </w:r>
          </w:p>
        </w:tc>
      </w:tr>
      <w:tr>
        <w:tblPrEx>
          <w:shd w:val="clear" w:color="auto" w:fill="ced7e7"/>
        </w:tblPrEx>
        <w:trPr>
          <w:trHeight w:val="254" w:hRule="atLeast"/>
        </w:trPr>
        <w:tc>
          <w:tcPr>
            <w:tcW w:type="dxa" w:w="423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HF_6</w:t>
            </w:r>
          </w:p>
        </w:tc>
        <w:tc>
          <w:tcPr>
            <w:tcW w:type="dxa" w:w="2470"/>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444</w:t>
            </w:r>
          </w:p>
        </w:tc>
        <w:tc>
          <w:tcPr>
            <w:tcW w:type="dxa" w:w="2652"/>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71</w:t>
            </w:r>
          </w:p>
        </w:tc>
      </w:tr>
      <w:tr>
        <w:tblPrEx>
          <w:shd w:val="clear" w:color="auto" w:fill="ced7e7"/>
        </w:tblPrEx>
        <w:trPr>
          <w:trHeight w:val="254" w:hRule="atLeast"/>
        </w:trPr>
        <w:tc>
          <w:tcPr>
            <w:tcW w:type="dxa" w:w="9360"/>
            <w:gridSpan w:val="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0"/>
                <w:szCs w:val="20"/>
                <w:u w:val="none"/>
                <w:vertAlign w:val="baseline"/>
                <w:rtl w:val="0"/>
              </w:rPr>
              <w:t>Low Frequency</w:t>
            </w:r>
          </w:p>
        </w:tc>
      </w:tr>
      <w:tr>
        <w:tblPrEx>
          <w:shd w:val="clear" w:color="auto" w:fill="ced7e7"/>
        </w:tblPrEx>
        <w:trPr>
          <w:trHeight w:val="254" w:hRule="atLeast"/>
        </w:trPr>
        <w:tc>
          <w:tcPr>
            <w:tcW w:type="dxa" w:w="423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LF_1</w:t>
            </w:r>
          </w:p>
        </w:tc>
        <w:tc>
          <w:tcPr>
            <w:tcW w:type="dxa" w:w="247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433</w:t>
            </w:r>
          </w:p>
        </w:tc>
        <w:tc>
          <w:tcPr>
            <w:tcW w:type="dxa" w:w="265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82</w:t>
            </w:r>
          </w:p>
        </w:tc>
      </w:tr>
      <w:tr>
        <w:tblPrEx>
          <w:shd w:val="clear" w:color="auto" w:fill="ced7e7"/>
        </w:tblPrEx>
        <w:trPr>
          <w:trHeight w:val="254" w:hRule="atLeast"/>
        </w:trPr>
        <w:tc>
          <w:tcPr>
            <w:tcW w:type="dxa" w:w="423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LF_2</w:t>
            </w:r>
          </w:p>
        </w:tc>
        <w:tc>
          <w:tcPr>
            <w:tcW w:type="dxa" w:w="247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451</w:t>
            </w:r>
          </w:p>
        </w:tc>
        <w:tc>
          <w:tcPr>
            <w:tcW w:type="dxa" w:w="265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77</w:t>
            </w:r>
          </w:p>
        </w:tc>
      </w:tr>
      <w:tr>
        <w:tblPrEx>
          <w:shd w:val="clear" w:color="auto" w:fill="ced7e7"/>
        </w:tblPrEx>
        <w:trPr>
          <w:trHeight w:val="254" w:hRule="atLeast"/>
        </w:trPr>
        <w:tc>
          <w:tcPr>
            <w:tcW w:type="dxa" w:w="423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LF_3</w:t>
            </w:r>
          </w:p>
        </w:tc>
        <w:tc>
          <w:tcPr>
            <w:tcW w:type="dxa" w:w="247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456</w:t>
            </w:r>
          </w:p>
        </w:tc>
        <w:tc>
          <w:tcPr>
            <w:tcW w:type="dxa" w:w="265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79</w:t>
            </w:r>
          </w:p>
        </w:tc>
      </w:tr>
      <w:tr>
        <w:tblPrEx>
          <w:shd w:val="clear" w:color="auto" w:fill="ced7e7"/>
        </w:tblPrEx>
        <w:trPr>
          <w:trHeight w:val="254" w:hRule="atLeast"/>
        </w:trPr>
        <w:tc>
          <w:tcPr>
            <w:tcW w:type="dxa" w:w="423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LF_4</w:t>
            </w:r>
          </w:p>
        </w:tc>
        <w:tc>
          <w:tcPr>
            <w:tcW w:type="dxa" w:w="247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440</w:t>
            </w:r>
          </w:p>
        </w:tc>
        <w:tc>
          <w:tcPr>
            <w:tcW w:type="dxa" w:w="265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82</w:t>
            </w:r>
          </w:p>
        </w:tc>
      </w:tr>
      <w:tr>
        <w:tblPrEx>
          <w:shd w:val="clear" w:color="auto" w:fill="ced7e7"/>
        </w:tblPrEx>
        <w:trPr>
          <w:trHeight w:val="254" w:hRule="atLeast"/>
        </w:trPr>
        <w:tc>
          <w:tcPr>
            <w:tcW w:type="dxa" w:w="423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LF_5</w:t>
            </w:r>
          </w:p>
        </w:tc>
        <w:tc>
          <w:tcPr>
            <w:tcW w:type="dxa" w:w="247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445</w:t>
            </w:r>
          </w:p>
        </w:tc>
        <w:tc>
          <w:tcPr>
            <w:tcW w:type="dxa" w:w="265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66</w:t>
            </w:r>
          </w:p>
        </w:tc>
      </w:tr>
      <w:tr>
        <w:tblPrEx>
          <w:shd w:val="clear" w:color="auto" w:fill="ced7e7"/>
        </w:tblPrEx>
        <w:trPr>
          <w:trHeight w:val="254" w:hRule="atLeast"/>
        </w:trPr>
        <w:tc>
          <w:tcPr>
            <w:tcW w:type="dxa" w:w="423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LF_6</w:t>
            </w:r>
          </w:p>
        </w:tc>
        <w:tc>
          <w:tcPr>
            <w:tcW w:type="dxa" w:w="2470"/>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444</w:t>
            </w:r>
          </w:p>
        </w:tc>
        <w:tc>
          <w:tcPr>
            <w:tcW w:type="dxa" w:w="2652"/>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71</w:t>
            </w:r>
          </w:p>
        </w:tc>
      </w:tr>
      <w:tr>
        <w:tblPrEx>
          <w:shd w:val="clear" w:color="auto" w:fill="ced7e7"/>
        </w:tblPrEx>
        <w:trPr>
          <w:trHeight w:val="254" w:hRule="atLeast"/>
        </w:trPr>
        <w:tc>
          <w:tcPr>
            <w:tcW w:type="dxa" w:w="9360"/>
            <w:gridSpan w:val="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0"/>
                <w:szCs w:val="20"/>
                <w:u w:val="none"/>
                <w:vertAlign w:val="baseline"/>
                <w:rtl w:val="0"/>
              </w:rPr>
              <w:t>LF-HF Ratio</w:t>
            </w:r>
          </w:p>
        </w:tc>
      </w:tr>
      <w:tr>
        <w:tblPrEx>
          <w:shd w:val="clear" w:color="auto" w:fill="ced7e7"/>
        </w:tblPrEx>
        <w:trPr>
          <w:trHeight w:val="254" w:hRule="atLeast"/>
        </w:trPr>
        <w:tc>
          <w:tcPr>
            <w:tcW w:type="dxa" w:w="423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LFHF_1</w:t>
            </w:r>
          </w:p>
        </w:tc>
        <w:tc>
          <w:tcPr>
            <w:tcW w:type="dxa" w:w="247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433</w:t>
            </w:r>
          </w:p>
        </w:tc>
        <w:tc>
          <w:tcPr>
            <w:tcW w:type="dxa" w:w="265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82</w:t>
            </w:r>
          </w:p>
        </w:tc>
      </w:tr>
      <w:tr>
        <w:tblPrEx>
          <w:shd w:val="clear" w:color="auto" w:fill="ced7e7"/>
        </w:tblPrEx>
        <w:trPr>
          <w:trHeight w:val="254" w:hRule="atLeast"/>
        </w:trPr>
        <w:tc>
          <w:tcPr>
            <w:tcW w:type="dxa" w:w="423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LFHF_2</w:t>
            </w:r>
          </w:p>
        </w:tc>
        <w:tc>
          <w:tcPr>
            <w:tcW w:type="dxa" w:w="247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451</w:t>
            </w:r>
          </w:p>
        </w:tc>
        <w:tc>
          <w:tcPr>
            <w:tcW w:type="dxa" w:w="265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77</w:t>
            </w:r>
          </w:p>
        </w:tc>
      </w:tr>
      <w:tr>
        <w:tblPrEx>
          <w:shd w:val="clear" w:color="auto" w:fill="ced7e7"/>
        </w:tblPrEx>
        <w:trPr>
          <w:trHeight w:val="254" w:hRule="atLeast"/>
        </w:trPr>
        <w:tc>
          <w:tcPr>
            <w:tcW w:type="dxa" w:w="423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LFHF_3</w:t>
            </w:r>
          </w:p>
        </w:tc>
        <w:tc>
          <w:tcPr>
            <w:tcW w:type="dxa" w:w="247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456</w:t>
            </w:r>
          </w:p>
        </w:tc>
        <w:tc>
          <w:tcPr>
            <w:tcW w:type="dxa" w:w="265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79</w:t>
            </w:r>
          </w:p>
        </w:tc>
      </w:tr>
      <w:tr>
        <w:tblPrEx>
          <w:shd w:val="clear" w:color="auto" w:fill="ced7e7"/>
        </w:tblPrEx>
        <w:trPr>
          <w:trHeight w:val="254" w:hRule="atLeast"/>
        </w:trPr>
        <w:tc>
          <w:tcPr>
            <w:tcW w:type="dxa" w:w="423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LFHF_4</w:t>
            </w:r>
          </w:p>
        </w:tc>
        <w:tc>
          <w:tcPr>
            <w:tcW w:type="dxa" w:w="247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440</w:t>
            </w:r>
          </w:p>
        </w:tc>
        <w:tc>
          <w:tcPr>
            <w:tcW w:type="dxa" w:w="265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82</w:t>
            </w:r>
          </w:p>
        </w:tc>
      </w:tr>
      <w:tr>
        <w:tblPrEx>
          <w:shd w:val="clear" w:color="auto" w:fill="ced7e7"/>
        </w:tblPrEx>
        <w:trPr>
          <w:trHeight w:val="254" w:hRule="atLeast"/>
        </w:trPr>
        <w:tc>
          <w:tcPr>
            <w:tcW w:type="dxa" w:w="423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LFHF_5</w:t>
            </w:r>
          </w:p>
        </w:tc>
        <w:tc>
          <w:tcPr>
            <w:tcW w:type="dxa" w:w="247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445</w:t>
            </w:r>
          </w:p>
        </w:tc>
        <w:tc>
          <w:tcPr>
            <w:tcW w:type="dxa" w:w="265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66</w:t>
            </w:r>
          </w:p>
        </w:tc>
      </w:tr>
      <w:tr>
        <w:tblPrEx>
          <w:shd w:val="clear" w:color="auto" w:fill="ced7e7"/>
        </w:tblPrEx>
        <w:trPr>
          <w:trHeight w:val="254" w:hRule="atLeast"/>
        </w:trPr>
        <w:tc>
          <w:tcPr>
            <w:tcW w:type="dxa" w:w="4237"/>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LFHF_6</w:t>
            </w:r>
          </w:p>
        </w:tc>
        <w:tc>
          <w:tcPr>
            <w:tcW w:type="dxa" w:w="2470"/>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444</w:t>
            </w:r>
          </w:p>
        </w:tc>
        <w:tc>
          <w:tcPr>
            <w:tcW w:type="dxa" w:w="2652"/>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71</w:t>
            </w:r>
          </w:p>
        </w:tc>
      </w:tr>
    </w:tbl>
    <w:p>
      <w:pPr>
        <w:pStyle w:val="Default"/>
        <w:bidi w:val="0"/>
        <w:spacing w:line="380" w:lineRule="atLeast"/>
        <w:ind w:left="0" w:right="0" w:firstLine="0"/>
        <w:jc w:val="left"/>
        <w:rPr>
          <w:color w:val="333333"/>
          <w:sz w:val="28"/>
          <w:szCs w:val="28"/>
          <w:rtl w:val="0"/>
        </w:rPr>
      </w:pPr>
    </w:p>
    <w:p>
      <w:pPr>
        <w:pStyle w:val="Compact"/>
      </w:pPr>
    </w:p>
    <w:p>
      <w:pPr>
        <w:pStyle w:val="Heading 2"/>
      </w:pPr>
      <w:bookmarkStart w:name="comparisonofmeans" w:id="3"/>
      <w:r>
        <w:rPr>
          <w:rFonts w:cs="Arial Unicode MS" w:eastAsia="Arial Unicode MS"/>
          <w:rtl w:val="0"/>
          <w:lang w:val="en-US"/>
        </w:rPr>
        <w:t>Comparison of Means</w:t>
      </w:r>
      <w:bookmarkEnd w:id="3"/>
    </w:p>
    <w:p>
      <w:pPr>
        <w:pStyle w:val="First Paragraph"/>
      </w:pPr>
      <w:r>
        <w:rPr>
          <w:rtl w:val="0"/>
        </w:rPr>
        <w:t>The mean values for each time-domain features is shown in Table 3 below:</w:t>
      </w:r>
    </w:p>
    <w:p>
      <w:pPr>
        <w:pStyle w:val="Compact"/>
      </w:pPr>
      <w:r>
        <w:rPr>
          <w:rtl w:val="0"/>
        </w:rPr>
        <w:t>Table 3 Summary of Features in the Time Domain</w:t>
      </w:r>
    </w:p>
    <w:tbl>
      <w:tblPr>
        <w:tblW w:w="9359"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29"/>
        <w:gridCol w:w="1553"/>
        <w:gridCol w:w="2802"/>
        <w:gridCol w:w="2575"/>
      </w:tblGrid>
      <w:tr>
        <w:tblPrEx>
          <w:shd w:val="clear" w:color="auto" w:fill="ced7e7"/>
        </w:tblPrEx>
        <w:trPr>
          <w:trHeight w:val="264" w:hRule="atLeast"/>
        </w:trPr>
        <w:tc>
          <w:tcPr>
            <w:tcW w:type="dxa" w:w="2429"/>
            <w:tcBorders>
              <w:top w:val="single" w:color="ffffff" w:sz="8" w:space="0" w:shadow="0" w:frame="0"/>
              <w:left w:val="single" w:color="ffffff" w:sz="8" w:space="0" w:shadow="0" w:frame="0"/>
              <w:bottom w:val="single" w:color="dddddd" w:sz="16" w:space="0" w:shadow="0" w:frame="0"/>
              <w:right w:val="single" w:color="ffffff" w:sz="8" w:space="0" w:shadow="0" w:frame="0"/>
            </w:tcBorders>
            <w:shd w:val="clear" w:color="auto" w:fill="ced7e7"/>
            <w:tcMar>
              <w:top w:type="dxa" w:w="160"/>
              <w:left w:type="dxa" w:w="160"/>
              <w:bottom w:type="dxa" w:w="160"/>
              <w:right w:type="dxa" w:w="16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0"/>
                <w:szCs w:val="20"/>
                <w:u w:val="none"/>
                <w:vertAlign w:val="baseline"/>
                <w:rtl w:val="0"/>
              </w:rPr>
              <w:t>Variable</w:t>
            </w:r>
          </w:p>
        </w:tc>
        <w:tc>
          <w:tcPr>
            <w:tcW w:type="dxa" w:w="1552"/>
            <w:tcBorders>
              <w:top w:val="single" w:color="ffffff" w:sz="8" w:space="0" w:shadow="0" w:frame="0"/>
              <w:left w:val="single" w:color="ffffff" w:sz="8" w:space="0" w:shadow="0" w:frame="0"/>
              <w:bottom w:val="single" w:color="dddddd" w:sz="16" w:space="0" w:shadow="0" w:frame="0"/>
              <w:right w:val="single" w:color="ffffff" w:sz="8" w:space="0" w:shadow="0" w:frame="0"/>
            </w:tcBorders>
            <w:shd w:val="clear" w:color="auto" w:fill="ced7e7"/>
            <w:tcMar>
              <w:top w:type="dxa" w:w="160"/>
              <w:left w:type="dxa" w:w="160"/>
              <w:bottom w:type="dxa" w:w="160"/>
              <w:right w:type="dxa" w:w="16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1"/>
                <w:bCs w:val="1"/>
                <w:i w:val="1"/>
                <w:iCs w:val="1"/>
                <w:caps w:val="0"/>
                <w:smallCaps w:val="0"/>
                <w:strike w:val="0"/>
                <w:dstrike w:val="0"/>
                <w:outline w:val="0"/>
                <w:color w:val="333333"/>
                <w:spacing w:val="0"/>
                <w:kern w:val="0"/>
                <w:position w:val="0"/>
                <w:sz w:val="20"/>
                <w:szCs w:val="20"/>
                <w:u w:val="none"/>
                <w:vertAlign w:val="baseline"/>
                <w:rtl w:val="0"/>
              </w:rPr>
              <w:t>n</w:t>
            </w:r>
          </w:p>
        </w:tc>
        <w:tc>
          <w:tcPr>
            <w:tcW w:type="dxa" w:w="2802"/>
            <w:tcBorders>
              <w:top w:val="single" w:color="ffffff" w:sz="8" w:space="0" w:shadow="0" w:frame="0"/>
              <w:left w:val="single" w:color="ffffff" w:sz="8" w:space="0" w:shadow="0" w:frame="0"/>
              <w:bottom w:val="single" w:color="dddddd" w:sz="16" w:space="0" w:shadow="0" w:frame="0"/>
              <w:right w:val="single" w:color="ffffff" w:sz="8" w:space="0" w:shadow="0" w:frame="0"/>
            </w:tcBorders>
            <w:shd w:val="clear" w:color="auto" w:fill="ced7e7"/>
            <w:tcMar>
              <w:top w:type="dxa" w:w="160"/>
              <w:left w:type="dxa" w:w="160"/>
              <w:bottom w:type="dxa" w:w="160"/>
              <w:right w:type="dxa" w:w="16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0"/>
                <w:szCs w:val="20"/>
                <w:u w:val="none"/>
                <w:vertAlign w:val="baseline"/>
                <w:rtl w:val="0"/>
              </w:rPr>
              <w:t>Mean</w:t>
            </w:r>
          </w:p>
        </w:tc>
        <w:tc>
          <w:tcPr>
            <w:tcW w:type="dxa" w:w="2575"/>
            <w:tcBorders>
              <w:top w:val="single" w:color="ffffff" w:sz="8" w:space="0" w:shadow="0" w:frame="0"/>
              <w:left w:val="single" w:color="ffffff" w:sz="8" w:space="0" w:shadow="0" w:frame="0"/>
              <w:bottom w:val="single" w:color="dddddd" w:sz="16" w:space="0" w:shadow="0" w:frame="0"/>
              <w:right w:val="single" w:color="ffffff" w:sz="8" w:space="0" w:shadow="0" w:frame="0"/>
            </w:tcBorders>
            <w:shd w:val="clear" w:color="auto" w:fill="ced7e7"/>
            <w:tcMar>
              <w:top w:type="dxa" w:w="160"/>
              <w:left w:type="dxa" w:w="160"/>
              <w:bottom w:type="dxa" w:w="160"/>
              <w:right w:type="dxa" w:w="16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0"/>
                <w:szCs w:val="20"/>
                <w:u w:val="none"/>
                <w:vertAlign w:val="baseline"/>
                <w:rtl w:val="0"/>
              </w:rPr>
              <w:t>SD</w:t>
            </w:r>
          </w:p>
        </w:tc>
      </w:tr>
      <w:tr>
        <w:tblPrEx>
          <w:shd w:val="clear" w:color="auto" w:fill="ced7e7"/>
        </w:tblPrEx>
        <w:trPr>
          <w:trHeight w:val="264" w:hRule="atLeast"/>
        </w:trPr>
        <w:tc>
          <w:tcPr>
            <w:tcW w:type="dxa" w:w="2429"/>
            <w:tcBorders>
              <w:top w:val="single" w:color="dddddd" w:sz="16"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HRVi</w:t>
            </w:r>
          </w:p>
        </w:tc>
        <w:tc>
          <w:tcPr>
            <w:tcW w:type="dxa" w:w="1552"/>
            <w:tcBorders>
              <w:top w:val="single" w:color="dddddd" w:sz="16"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129</w:t>
            </w:r>
          </w:p>
        </w:tc>
        <w:tc>
          <w:tcPr>
            <w:tcW w:type="dxa" w:w="2802"/>
            <w:tcBorders>
              <w:top w:val="single" w:color="dddddd" w:sz="16"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7.171186</w:t>
            </w:r>
          </w:p>
        </w:tc>
        <w:tc>
          <w:tcPr>
            <w:tcW w:type="dxa" w:w="2575"/>
            <w:tcBorders>
              <w:top w:val="single" w:color="dddddd" w:sz="16"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1.992292</w:t>
            </w:r>
          </w:p>
        </w:tc>
      </w:tr>
      <w:tr>
        <w:tblPrEx>
          <w:shd w:val="clear" w:color="auto" w:fill="ced7e7"/>
        </w:tblPrEx>
        <w:trPr>
          <w:trHeight w:val="254" w:hRule="atLeast"/>
        </w:trPr>
        <w:tc>
          <w:tcPr>
            <w:tcW w:type="dxa" w:w="2429"/>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IRRR</w:t>
            </w:r>
          </w:p>
        </w:tc>
        <w:tc>
          <w:tcPr>
            <w:tcW w:type="dxa" w:w="155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129</w:t>
            </w:r>
          </w:p>
        </w:tc>
        <w:tc>
          <w:tcPr>
            <w:tcW w:type="dxa" w:w="280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65.288888</w:t>
            </w:r>
          </w:p>
        </w:tc>
        <w:tc>
          <w:tcPr>
            <w:tcW w:type="dxa" w:w="2575"/>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28.536286</w:t>
            </w:r>
          </w:p>
        </w:tc>
      </w:tr>
      <w:tr>
        <w:tblPrEx>
          <w:shd w:val="clear" w:color="auto" w:fill="ced7e7"/>
        </w:tblPrEx>
        <w:trPr>
          <w:trHeight w:val="254" w:hRule="atLeast"/>
        </w:trPr>
        <w:tc>
          <w:tcPr>
            <w:tcW w:type="dxa" w:w="2429"/>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MADRR</w:t>
            </w:r>
          </w:p>
        </w:tc>
        <w:tc>
          <w:tcPr>
            <w:tcW w:type="dxa" w:w="155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129</w:t>
            </w:r>
          </w:p>
        </w:tc>
        <w:tc>
          <w:tcPr>
            <w:tcW w:type="dxa" w:w="280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26.043073</w:t>
            </w:r>
          </w:p>
        </w:tc>
        <w:tc>
          <w:tcPr>
            <w:tcW w:type="dxa" w:w="2575"/>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10.932954</w:t>
            </w:r>
          </w:p>
        </w:tc>
      </w:tr>
      <w:tr>
        <w:tblPrEx>
          <w:shd w:val="clear" w:color="auto" w:fill="ced7e7"/>
        </w:tblPrEx>
        <w:trPr>
          <w:trHeight w:val="254" w:hRule="atLeast"/>
        </w:trPr>
        <w:tc>
          <w:tcPr>
            <w:tcW w:type="dxa" w:w="2429"/>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pNN50</w:t>
            </w:r>
          </w:p>
        </w:tc>
        <w:tc>
          <w:tcPr>
            <w:tcW w:type="dxa" w:w="155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129</w:t>
            </w:r>
          </w:p>
        </w:tc>
        <w:tc>
          <w:tcPr>
            <w:tcW w:type="dxa" w:w="280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19.830466</w:t>
            </w:r>
          </w:p>
        </w:tc>
        <w:tc>
          <w:tcPr>
            <w:tcW w:type="dxa" w:w="2575"/>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10.590041</w:t>
            </w:r>
          </w:p>
        </w:tc>
      </w:tr>
      <w:tr>
        <w:tblPrEx>
          <w:shd w:val="clear" w:color="auto" w:fill="ced7e7"/>
        </w:tblPrEx>
        <w:trPr>
          <w:trHeight w:val="254" w:hRule="atLeast"/>
        </w:trPr>
        <w:tc>
          <w:tcPr>
            <w:tcW w:type="dxa" w:w="2429"/>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rMSSD</w:t>
            </w:r>
          </w:p>
        </w:tc>
        <w:tc>
          <w:tcPr>
            <w:tcW w:type="dxa" w:w="155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129</w:t>
            </w:r>
          </w:p>
        </w:tc>
        <w:tc>
          <w:tcPr>
            <w:tcW w:type="dxa" w:w="280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48.539227</w:t>
            </w:r>
          </w:p>
        </w:tc>
        <w:tc>
          <w:tcPr>
            <w:tcW w:type="dxa" w:w="2575"/>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13.137957</w:t>
            </w:r>
          </w:p>
        </w:tc>
      </w:tr>
      <w:tr>
        <w:tblPrEx>
          <w:shd w:val="clear" w:color="auto" w:fill="ced7e7"/>
        </w:tblPrEx>
        <w:trPr>
          <w:trHeight w:val="254" w:hRule="atLeast"/>
        </w:trPr>
        <w:tc>
          <w:tcPr>
            <w:tcW w:type="dxa" w:w="2429"/>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SDANN</w:t>
            </w:r>
          </w:p>
        </w:tc>
        <w:tc>
          <w:tcPr>
            <w:tcW w:type="dxa" w:w="155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129</w:t>
            </w:r>
          </w:p>
        </w:tc>
        <w:tc>
          <w:tcPr>
            <w:tcW w:type="dxa" w:w="280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15.440406</w:t>
            </w:r>
          </w:p>
        </w:tc>
        <w:tc>
          <w:tcPr>
            <w:tcW w:type="dxa" w:w="2575"/>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15.451301</w:t>
            </w:r>
          </w:p>
        </w:tc>
      </w:tr>
      <w:tr>
        <w:tblPrEx>
          <w:shd w:val="clear" w:color="auto" w:fill="ced7e7"/>
        </w:tblPrEx>
        <w:trPr>
          <w:trHeight w:val="254" w:hRule="atLeast"/>
        </w:trPr>
        <w:tc>
          <w:tcPr>
            <w:tcW w:type="dxa" w:w="2429"/>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SDNN</w:t>
            </w:r>
          </w:p>
        </w:tc>
        <w:tc>
          <w:tcPr>
            <w:tcW w:type="dxa" w:w="155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1537</w:t>
            </w:r>
          </w:p>
        </w:tc>
        <w:tc>
          <w:tcPr>
            <w:tcW w:type="dxa" w:w="280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69.429465</w:t>
            </w:r>
          </w:p>
        </w:tc>
        <w:tc>
          <w:tcPr>
            <w:tcW w:type="dxa" w:w="2575"/>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24.835250</w:t>
            </w:r>
          </w:p>
        </w:tc>
      </w:tr>
      <w:tr>
        <w:tblPrEx>
          <w:shd w:val="clear" w:color="auto" w:fill="ced7e7"/>
        </w:tblPrEx>
        <w:trPr>
          <w:trHeight w:val="254" w:hRule="atLeast"/>
        </w:trPr>
        <w:tc>
          <w:tcPr>
            <w:tcW w:type="dxa" w:w="2429"/>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SDNNIDX</w:t>
            </w:r>
          </w:p>
        </w:tc>
        <w:tc>
          <w:tcPr>
            <w:tcW w:type="dxa" w:w="155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129</w:t>
            </w:r>
          </w:p>
        </w:tc>
        <w:tc>
          <w:tcPr>
            <w:tcW w:type="dxa" w:w="280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43.869882</w:t>
            </w:r>
          </w:p>
        </w:tc>
        <w:tc>
          <w:tcPr>
            <w:tcW w:type="dxa" w:w="2575"/>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12.781756</w:t>
            </w:r>
          </w:p>
        </w:tc>
      </w:tr>
      <w:tr>
        <w:tblPrEx>
          <w:shd w:val="clear" w:color="auto" w:fill="ced7e7"/>
        </w:tblPrEx>
        <w:trPr>
          <w:trHeight w:val="254" w:hRule="atLeast"/>
        </w:trPr>
        <w:tc>
          <w:tcPr>
            <w:tcW w:type="dxa" w:w="2429"/>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SDSD</w:t>
            </w:r>
          </w:p>
        </w:tc>
        <w:tc>
          <w:tcPr>
            <w:tcW w:type="dxa" w:w="155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129</w:t>
            </w:r>
          </w:p>
        </w:tc>
        <w:tc>
          <w:tcPr>
            <w:tcW w:type="dxa" w:w="280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48.557984</w:t>
            </w:r>
          </w:p>
        </w:tc>
        <w:tc>
          <w:tcPr>
            <w:tcW w:type="dxa" w:w="2575"/>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13.143443</w:t>
            </w:r>
          </w:p>
        </w:tc>
      </w:tr>
      <w:tr>
        <w:tblPrEx>
          <w:shd w:val="clear" w:color="auto" w:fill="ced7e7"/>
        </w:tblPrEx>
        <w:trPr>
          <w:trHeight w:val="254" w:hRule="atLeast"/>
        </w:trPr>
        <w:tc>
          <w:tcPr>
            <w:tcW w:type="dxa" w:w="2429"/>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TINN</w:t>
            </w:r>
          </w:p>
        </w:tc>
        <w:tc>
          <w:tcPr>
            <w:tcW w:type="dxa" w:w="1552"/>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129</w:t>
            </w:r>
          </w:p>
        </w:tc>
        <w:tc>
          <w:tcPr>
            <w:tcW w:type="dxa" w:w="2802"/>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112.049788</w:t>
            </w:r>
          </w:p>
        </w:tc>
        <w:tc>
          <w:tcPr>
            <w:tcW w:type="dxa" w:w="2575"/>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31.129567</w:t>
            </w:r>
          </w:p>
        </w:tc>
      </w:tr>
    </w:tbl>
    <w:p>
      <w:pPr>
        <w:pStyle w:val="Default"/>
        <w:bidi w:val="0"/>
        <w:spacing w:line="380" w:lineRule="atLeast"/>
        <w:ind w:left="0" w:right="0" w:firstLine="0"/>
        <w:jc w:val="right"/>
        <w:rPr>
          <w:color w:val="333333"/>
          <w:sz w:val="28"/>
          <w:szCs w:val="28"/>
          <w:rtl w:val="0"/>
        </w:rPr>
      </w:pPr>
    </w:p>
    <w:p>
      <w:pPr>
        <w:pStyle w:val="Default"/>
        <w:bidi w:val="0"/>
        <w:spacing w:line="380" w:lineRule="atLeast"/>
        <w:ind w:left="0" w:right="0" w:firstLine="0"/>
        <w:jc w:val="right"/>
        <w:rPr>
          <w:color w:val="333333"/>
          <w:sz w:val="28"/>
          <w:szCs w:val="28"/>
          <w:rtl w:val="0"/>
        </w:rPr>
      </w:pPr>
    </w:p>
    <w:p>
      <w:pPr>
        <w:pStyle w:val="Body Text"/>
      </w:pPr>
      <w:r>
        <w:rPr>
          <w:rtl w:val="0"/>
        </w:rPr>
        <w:t xml:space="preserve">Using a Two </w:t>
      </w:r>
      <w:r>
        <w:rPr>
          <w:i w:val="1"/>
          <w:iCs w:val="1"/>
          <w:rtl w:val="0"/>
          <w:lang w:val="en-US"/>
        </w:rPr>
        <w:t>t</w:t>
      </w:r>
      <w:r>
        <w:rPr>
          <w:rtl w:val="0"/>
        </w:rPr>
        <w:t xml:space="preserve"> permutation test run between episodes and controls, none of the time-domain variables were found to be significantly different, shown in Table 4.</w:t>
      </w:r>
    </w:p>
    <w:p>
      <w:pPr>
        <w:pStyle w:val="Compact"/>
      </w:pPr>
      <w:r>
        <w:rPr>
          <w:rtl w:val="0"/>
        </w:rPr>
        <w:t xml:space="preserve">Table 4 Between-Groups Permutation </w:t>
      </w:r>
      <w:r>
        <w:rPr>
          <w:i w:val="1"/>
          <w:iCs w:val="1"/>
          <w:rtl w:val="0"/>
          <w:lang w:val="en-US"/>
        </w:rPr>
        <w:t>t</w:t>
      </w:r>
      <w:r>
        <w:rPr>
          <w:rtl w:val="0"/>
        </w:rPr>
        <w:t>-test of Time Domain Features</w:t>
      </w:r>
    </w:p>
    <w:tbl>
      <w:tblPr>
        <w:tblW w:w="9349"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17"/>
        <w:gridCol w:w="1196"/>
        <w:gridCol w:w="1487"/>
        <w:gridCol w:w="1073"/>
        <w:gridCol w:w="1141"/>
        <w:gridCol w:w="1166"/>
        <w:gridCol w:w="1234"/>
        <w:gridCol w:w="735"/>
      </w:tblGrid>
      <w:tr>
        <w:tblPrEx>
          <w:shd w:val="clear" w:color="auto" w:fill="ced7e7"/>
        </w:tblPrEx>
        <w:trPr>
          <w:trHeight w:val="264" w:hRule="atLeast"/>
        </w:trPr>
        <w:tc>
          <w:tcPr>
            <w:tcW w:type="dxa" w:w="1317"/>
            <w:tcBorders>
              <w:top w:val="single" w:color="ffffff" w:sz="8" w:space="0" w:shadow="0" w:frame="0"/>
              <w:left w:val="single" w:color="ffffff" w:sz="8" w:space="0" w:shadow="0" w:frame="0"/>
              <w:bottom w:val="single" w:color="dddddd" w:sz="16" w:space="0" w:shadow="0" w:frame="0"/>
              <w:right w:val="single" w:color="ffffff" w:sz="8" w:space="0" w:shadow="0" w:frame="0"/>
            </w:tcBorders>
            <w:shd w:val="clear" w:color="auto" w:fill="ced7e7"/>
            <w:tcMar>
              <w:top w:type="dxa" w:w="160"/>
              <w:left w:type="dxa" w:w="160"/>
              <w:bottom w:type="dxa" w:w="160"/>
              <w:right w:type="dxa" w:w="160"/>
            </w:tcMar>
            <w:vAlign w:val="bottom"/>
          </w:tcPr>
          <w:p/>
        </w:tc>
        <w:tc>
          <w:tcPr>
            <w:tcW w:type="dxa" w:w="2683"/>
            <w:gridSpan w:val="2"/>
            <w:tcBorders>
              <w:top w:val="single" w:color="ffffff" w:sz="8" w:space="0" w:shadow="0" w:frame="0"/>
              <w:left w:val="single" w:color="ffffff" w:sz="8" w:space="0" w:shadow="0" w:frame="0"/>
              <w:bottom w:val="single" w:color="dddddd" w:sz="16" w:space="0" w:shadow="0" w:frame="0"/>
              <w:right w:val="single" w:color="ffffff" w:sz="8" w:space="0" w:shadow="0" w:frame="0"/>
            </w:tcBorders>
            <w:shd w:val="clear" w:color="auto" w:fill="ced7e7"/>
            <w:tcMar>
              <w:top w:type="dxa" w:w="160"/>
              <w:left w:type="dxa" w:w="160"/>
              <w:bottom w:type="dxa" w:w="160"/>
              <w:right w:type="dxa" w:w="16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center"/>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0"/>
                <w:szCs w:val="20"/>
                <w:u w:val="none"/>
                <w:vertAlign w:val="baseline"/>
                <w:rtl w:val="0"/>
              </w:rPr>
              <w:t>Mean</w:t>
            </w:r>
          </w:p>
        </w:tc>
        <w:tc>
          <w:tcPr>
            <w:tcW w:type="dxa" w:w="2213"/>
            <w:gridSpan w:val="2"/>
            <w:tcBorders>
              <w:top w:val="single" w:color="ffffff" w:sz="8" w:space="0" w:shadow="0" w:frame="0"/>
              <w:left w:val="single" w:color="ffffff" w:sz="8" w:space="0" w:shadow="0" w:frame="0"/>
              <w:bottom w:val="single" w:color="dddddd" w:sz="16" w:space="0" w:shadow="0" w:frame="0"/>
              <w:right w:val="single" w:color="ffffff" w:sz="8" w:space="0" w:shadow="0" w:frame="0"/>
            </w:tcBorders>
            <w:shd w:val="clear" w:color="auto" w:fill="ced7e7"/>
            <w:tcMar>
              <w:top w:type="dxa" w:w="160"/>
              <w:left w:type="dxa" w:w="160"/>
              <w:bottom w:type="dxa" w:w="160"/>
              <w:right w:type="dxa" w:w="16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center"/>
              <w:outlineLvl w:val="0"/>
              <w:rPr>
                <w:rtl w:val="0"/>
              </w:rPr>
            </w:pPr>
            <w:r>
              <w:rPr>
                <w:rFonts w:ascii="Helvetica Neue" w:cs="Arial Unicode MS" w:hAnsi="Helvetica Neue" w:eastAsia="Arial Unicode MS"/>
                <w:b w:val="1"/>
                <w:bCs w:val="1"/>
                <w:i w:val="1"/>
                <w:iCs w:val="1"/>
                <w:caps w:val="0"/>
                <w:smallCaps w:val="0"/>
                <w:strike w:val="0"/>
                <w:dstrike w:val="0"/>
                <w:outline w:val="0"/>
                <w:color w:val="333333"/>
                <w:spacing w:val="0"/>
                <w:kern w:val="0"/>
                <w:position w:val="0"/>
                <w:sz w:val="20"/>
                <w:szCs w:val="20"/>
                <w:u w:val="none"/>
                <w:vertAlign w:val="baseline"/>
                <w:rtl w:val="0"/>
              </w:rPr>
              <w:t>n</w:t>
            </w:r>
          </w:p>
        </w:tc>
        <w:tc>
          <w:tcPr>
            <w:tcW w:type="dxa" w:w="2400"/>
            <w:gridSpan w:val="2"/>
            <w:tcBorders>
              <w:top w:val="single" w:color="ffffff" w:sz="8" w:space="0" w:shadow="0" w:frame="0"/>
              <w:left w:val="single" w:color="ffffff" w:sz="8" w:space="0" w:shadow="0" w:frame="0"/>
              <w:bottom w:val="single" w:color="dddddd" w:sz="16" w:space="0" w:shadow="0" w:frame="0"/>
              <w:right w:val="single" w:color="ffffff" w:sz="8" w:space="0" w:shadow="0" w:frame="0"/>
            </w:tcBorders>
            <w:shd w:val="clear" w:color="auto" w:fill="ced7e7"/>
            <w:tcMar>
              <w:top w:type="dxa" w:w="160"/>
              <w:left w:type="dxa" w:w="160"/>
              <w:bottom w:type="dxa" w:w="160"/>
              <w:right w:type="dxa" w:w="16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center"/>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0"/>
                <w:szCs w:val="20"/>
                <w:u w:val="none"/>
                <w:vertAlign w:val="baseline"/>
                <w:rtl w:val="0"/>
              </w:rPr>
              <w:t>SD</w:t>
            </w:r>
          </w:p>
        </w:tc>
        <w:tc>
          <w:tcPr>
            <w:tcW w:type="dxa" w:w="735"/>
            <w:tcBorders>
              <w:top w:val="single" w:color="ffffff" w:sz="8" w:space="0" w:shadow="0" w:frame="0"/>
              <w:left w:val="single" w:color="ffffff" w:sz="8" w:space="0" w:shadow="0" w:frame="0"/>
              <w:bottom w:val="single" w:color="dddddd" w:sz="16" w:space="0" w:shadow="0" w:frame="0"/>
              <w:right w:val="single" w:color="ffffff" w:sz="8" w:space="0" w:shadow="0" w:frame="0"/>
            </w:tcBorders>
            <w:shd w:val="clear" w:color="auto" w:fill="ced7e7"/>
            <w:tcMar>
              <w:top w:type="dxa" w:w="160"/>
              <w:left w:type="dxa" w:w="160"/>
              <w:bottom w:type="dxa" w:w="160"/>
              <w:right w:type="dxa" w:w="160"/>
            </w:tcMar>
            <w:vAlign w:val="bottom"/>
          </w:tcPr>
          <w:p/>
        </w:tc>
      </w:tr>
      <w:tr>
        <w:tblPrEx>
          <w:shd w:val="clear" w:color="auto" w:fill="ced7e7"/>
        </w:tblPrEx>
        <w:trPr>
          <w:trHeight w:val="274" w:hRule="atLeast"/>
        </w:trPr>
        <w:tc>
          <w:tcPr>
            <w:tcW w:type="dxa" w:w="1317"/>
            <w:tcBorders>
              <w:top w:val="single" w:color="dddddd" w:sz="16" w:space="0" w:shadow="0" w:frame="0"/>
              <w:left w:val="single" w:color="ffffff" w:sz="8" w:space="0" w:shadow="0" w:frame="0"/>
              <w:bottom w:val="single" w:color="dddddd" w:sz="16" w:space="0" w:shadow="0" w:frame="0"/>
              <w:right w:val="single" w:color="ffffff" w:sz="8" w:space="0" w:shadow="0" w:frame="0"/>
            </w:tcBorders>
            <w:shd w:val="clear" w:color="auto" w:fill="e8ecf3"/>
            <w:tcMar>
              <w:top w:type="dxa" w:w="160"/>
              <w:left w:type="dxa" w:w="160"/>
              <w:bottom w:type="dxa" w:w="160"/>
              <w:right w:type="dxa" w:w="16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0"/>
                <w:szCs w:val="20"/>
                <w:u w:val="none"/>
                <w:vertAlign w:val="baseline"/>
                <w:rtl w:val="0"/>
              </w:rPr>
              <w:t>Variable</w:t>
            </w:r>
          </w:p>
        </w:tc>
        <w:tc>
          <w:tcPr>
            <w:tcW w:type="dxa" w:w="1196"/>
            <w:tcBorders>
              <w:top w:val="single" w:color="dddddd" w:sz="16" w:space="0" w:shadow="0" w:frame="0"/>
              <w:left w:val="single" w:color="ffffff" w:sz="8" w:space="0" w:shadow="0" w:frame="0"/>
              <w:bottom w:val="single" w:color="dddddd" w:sz="16" w:space="0" w:shadow="0" w:frame="0"/>
              <w:right w:val="single" w:color="ffffff" w:sz="8" w:space="0" w:shadow="0" w:frame="0"/>
            </w:tcBorders>
            <w:shd w:val="clear" w:color="auto" w:fill="e8ecf3"/>
            <w:tcMar>
              <w:top w:type="dxa" w:w="160"/>
              <w:left w:type="dxa" w:w="160"/>
              <w:bottom w:type="dxa" w:w="160"/>
              <w:right w:type="dxa" w:w="16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0"/>
                <w:szCs w:val="20"/>
                <w:u w:val="none"/>
                <w:vertAlign w:val="baseline"/>
                <w:rtl w:val="0"/>
              </w:rPr>
              <w:t>Control</w:t>
            </w:r>
          </w:p>
        </w:tc>
        <w:tc>
          <w:tcPr>
            <w:tcW w:type="dxa" w:w="1487"/>
            <w:tcBorders>
              <w:top w:val="single" w:color="dddddd" w:sz="16" w:space="0" w:shadow="0" w:frame="0"/>
              <w:left w:val="single" w:color="ffffff" w:sz="8" w:space="0" w:shadow="0" w:frame="0"/>
              <w:bottom w:val="single" w:color="dddddd" w:sz="16" w:space="0" w:shadow="0" w:frame="0"/>
              <w:right w:val="single" w:color="ffffff" w:sz="8" w:space="0" w:shadow="0" w:frame="0"/>
            </w:tcBorders>
            <w:shd w:val="clear" w:color="auto" w:fill="e8ecf3"/>
            <w:tcMar>
              <w:top w:type="dxa" w:w="160"/>
              <w:left w:type="dxa" w:w="160"/>
              <w:bottom w:type="dxa" w:w="160"/>
              <w:right w:type="dxa" w:w="16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0"/>
                <w:szCs w:val="20"/>
                <w:u w:val="none"/>
                <w:vertAlign w:val="baseline"/>
                <w:rtl w:val="0"/>
              </w:rPr>
              <w:t>Episode</w:t>
            </w:r>
          </w:p>
        </w:tc>
        <w:tc>
          <w:tcPr>
            <w:tcW w:type="dxa" w:w="1072"/>
            <w:tcBorders>
              <w:top w:val="single" w:color="dddddd" w:sz="16" w:space="0" w:shadow="0" w:frame="0"/>
              <w:left w:val="single" w:color="ffffff" w:sz="8" w:space="0" w:shadow="0" w:frame="0"/>
              <w:bottom w:val="single" w:color="dddddd" w:sz="16" w:space="0" w:shadow="0" w:frame="0"/>
              <w:right w:val="single" w:color="ffffff" w:sz="8" w:space="0" w:shadow="0" w:frame="0"/>
            </w:tcBorders>
            <w:shd w:val="clear" w:color="auto" w:fill="e8ecf3"/>
            <w:tcMar>
              <w:top w:type="dxa" w:w="160"/>
              <w:left w:type="dxa" w:w="160"/>
              <w:bottom w:type="dxa" w:w="160"/>
              <w:right w:type="dxa" w:w="16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0"/>
                <w:szCs w:val="20"/>
                <w:u w:val="none"/>
                <w:vertAlign w:val="baseline"/>
                <w:rtl w:val="0"/>
              </w:rPr>
              <w:t>Control</w:t>
            </w:r>
          </w:p>
        </w:tc>
        <w:tc>
          <w:tcPr>
            <w:tcW w:type="dxa" w:w="1140"/>
            <w:tcBorders>
              <w:top w:val="single" w:color="dddddd" w:sz="16" w:space="0" w:shadow="0" w:frame="0"/>
              <w:left w:val="single" w:color="ffffff" w:sz="8" w:space="0" w:shadow="0" w:frame="0"/>
              <w:bottom w:val="single" w:color="dddddd" w:sz="16" w:space="0" w:shadow="0" w:frame="0"/>
              <w:right w:val="single" w:color="ffffff" w:sz="8" w:space="0" w:shadow="0" w:frame="0"/>
            </w:tcBorders>
            <w:shd w:val="clear" w:color="auto" w:fill="e8ecf3"/>
            <w:tcMar>
              <w:top w:type="dxa" w:w="160"/>
              <w:left w:type="dxa" w:w="160"/>
              <w:bottom w:type="dxa" w:w="160"/>
              <w:right w:type="dxa" w:w="16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0"/>
                <w:szCs w:val="20"/>
                <w:u w:val="none"/>
                <w:vertAlign w:val="baseline"/>
                <w:rtl w:val="0"/>
              </w:rPr>
              <w:t>Episode</w:t>
            </w:r>
          </w:p>
        </w:tc>
        <w:tc>
          <w:tcPr>
            <w:tcW w:type="dxa" w:w="1166"/>
            <w:tcBorders>
              <w:top w:val="single" w:color="dddddd" w:sz="16" w:space="0" w:shadow="0" w:frame="0"/>
              <w:left w:val="single" w:color="ffffff" w:sz="8" w:space="0" w:shadow="0" w:frame="0"/>
              <w:bottom w:val="single" w:color="dddddd" w:sz="16" w:space="0" w:shadow="0" w:frame="0"/>
              <w:right w:val="single" w:color="ffffff" w:sz="8" w:space="0" w:shadow="0" w:frame="0"/>
            </w:tcBorders>
            <w:shd w:val="clear" w:color="auto" w:fill="e8ecf3"/>
            <w:tcMar>
              <w:top w:type="dxa" w:w="160"/>
              <w:left w:type="dxa" w:w="160"/>
              <w:bottom w:type="dxa" w:w="160"/>
              <w:right w:type="dxa" w:w="16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0"/>
                <w:szCs w:val="20"/>
                <w:u w:val="none"/>
                <w:vertAlign w:val="baseline"/>
                <w:rtl w:val="0"/>
              </w:rPr>
              <w:t>Control</w:t>
            </w:r>
          </w:p>
        </w:tc>
        <w:tc>
          <w:tcPr>
            <w:tcW w:type="dxa" w:w="1234"/>
            <w:tcBorders>
              <w:top w:val="single" w:color="dddddd" w:sz="16" w:space="0" w:shadow="0" w:frame="0"/>
              <w:left w:val="single" w:color="ffffff" w:sz="8" w:space="0" w:shadow="0" w:frame="0"/>
              <w:bottom w:val="single" w:color="dddddd" w:sz="16" w:space="0" w:shadow="0" w:frame="0"/>
              <w:right w:val="single" w:color="ffffff" w:sz="8" w:space="0" w:shadow="0" w:frame="0"/>
            </w:tcBorders>
            <w:shd w:val="clear" w:color="auto" w:fill="e8ecf3"/>
            <w:tcMar>
              <w:top w:type="dxa" w:w="160"/>
              <w:left w:type="dxa" w:w="160"/>
              <w:bottom w:type="dxa" w:w="160"/>
              <w:right w:type="dxa" w:w="16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0"/>
                <w:szCs w:val="20"/>
                <w:u w:val="none"/>
                <w:vertAlign w:val="baseline"/>
                <w:rtl w:val="0"/>
              </w:rPr>
              <w:t>Episode</w:t>
            </w:r>
          </w:p>
        </w:tc>
        <w:tc>
          <w:tcPr>
            <w:tcW w:type="dxa" w:w="735"/>
            <w:tcBorders>
              <w:top w:val="single" w:color="dddddd" w:sz="16" w:space="0" w:shadow="0" w:frame="0"/>
              <w:left w:val="single" w:color="ffffff" w:sz="8" w:space="0" w:shadow="0" w:frame="0"/>
              <w:bottom w:val="single" w:color="dddddd" w:sz="16" w:space="0" w:shadow="0" w:frame="0"/>
              <w:right w:val="single" w:color="ffffff" w:sz="8" w:space="0" w:shadow="0" w:frame="0"/>
            </w:tcBorders>
            <w:shd w:val="clear" w:color="auto" w:fill="e8ecf3"/>
            <w:tcMar>
              <w:top w:type="dxa" w:w="160"/>
              <w:left w:type="dxa" w:w="160"/>
              <w:bottom w:type="dxa" w:w="160"/>
              <w:right w:type="dxa" w:w="16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1"/>
                <w:bCs w:val="1"/>
                <w:i w:val="1"/>
                <w:iCs w:val="1"/>
                <w:caps w:val="0"/>
                <w:smallCaps w:val="0"/>
                <w:strike w:val="0"/>
                <w:dstrike w:val="0"/>
                <w:outline w:val="0"/>
                <w:color w:val="333333"/>
                <w:spacing w:val="0"/>
                <w:kern w:val="0"/>
                <w:position w:val="0"/>
                <w:sz w:val="20"/>
                <w:szCs w:val="20"/>
                <w:u w:val="none"/>
                <w:vertAlign w:val="baseline"/>
                <w:rtl w:val="0"/>
              </w:rPr>
              <w:t>p</w:t>
            </w:r>
          </w:p>
        </w:tc>
      </w:tr>
      <w:tr>
        <w:tblPrEx>
          <w:shd w:val="clear" w:color="auto" w:fill="ced7e7"/>
        </w:tblPrEx>
        <w:trPr>
          <w:trHeight w:val="264" w:hRule="atLeast"/>
        </w:trPr>
        <w:tc>
          <w:tcPr>
            <w:tcW w:type="dxa" w:w="1317"/>
            <w:tcBorders>
              <w:top w:val="single" w:color="dddddd" w:sz="16"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HRVi</w:t>
            </w:r>
          </w:p>
        </w:tc>
        <w:tc>
          <w:tcPr>
            <w:tcW w:type="dxa" w:w="1196"/>
            <w:tcBorders>
              <w:top w:val="single" w:color="dddddd" w:sz="16"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7.20</w:t>
            </w:r>
          </w:p>
        </w:tc>
        <w:tc>
          <w:tcPr>
            <w:tcW w:type="dxa" w:w="1487"/>
            <w:tcBorders>
              <w:top w:val="single" w:color="dddddd" w:sz="16"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6.98</w:t>
            </w:r>
          </w:p>
        </w:tc>
        <w:tc>
          <w:tcPr>
            <w:tcW w:type="dxa" w:w="1072"/>
            <w:tcBorders>
              <w:top w:val="single" w:color="dddddd" w:sz="16"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110</w:t>
            </w:r>
          </w:p>
        </w:tc>
        <w:tc>
          <w:tcPr>
            <w:tcW w:type="dxa" w:w="1140"/>
            <w:tcBorders>
              <w:top w:val="single" w:color="dddddd" w:sz="16"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19</w:t>
            </w:r>
          </w:p>
        </w:tc>
        <w:tc>
          <w:tcPr>
            <w:tcW w:type="dxa" w:w="1166"/>
            <w:tcBorders>
              <w:top w:val="single" w:color="dddddd" w:sz="16"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2.12</w:t>
            </w:r>
          </w:p>
        </w:tc>
        <w:tc>
          <w:tcPr>
            <w:tcW w:type="dxa" w:w="1234"/>
            <w:tcBorders>
              <w:top w:val="single" w:color="dddddd" w:sz="16"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1.04</w:t>
            </w:r>
          </w:p>
        </w:tc>
        <w:tc>
          <w:tcPr>
            <w:tcW w:type="dxa" w:w="735"/>
            <w:tcBorders>
              <w:top w:val="single" w:color="dddddd" w:sz="16"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0.66</w:t>
            </w:r>
          </w:p>
        </w:tc>
      </w:tr>
      <w:tr>
        <w:tblPrEx>
          <w:shd w:val="clear" w:color="auto" w:fill="ced7e7"/>
        </w:tblPrEx>
        <w:trPr>
          <w:trHeight w:val="254" w:hRule="atLeast"/>
        </w:trPr>
        <w:tc>
          <w:tcPr>
            <w:tcW w:type="dxa" w:w="131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IRRR</w:t>
            </w:r>
          </w:p>
        </w:tc>
        <w:tc>
          <w:tcPr>
            <w:tcW w:type="dxa" w:w="119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66.05</w:t>
            </w:r>
          </w:p>
        </w:tc>
        <w:tc>
          <w:tcPr>
            <w:tcW w:type="dxa" w:w="148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60.86</w:t>
            </w:r>
          </w:p>
        </w:tc>
        <w:tc>
          <w:tcPr>
            <w:tcW w:type="dxa" w:w="107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110</w:t>
            </w:r>
          </w:p>
        </w:tc>
        <w:tc>
          <w:tcPr>
            <w:tcW w:type="dxa" w:w="114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19</w:t>
            </w:r>
          </w:p>
        </w:tc>
        <w:tc>
          <w:tcPr>
            <w:tcW w:type="dxa" w:w="116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30.50</w:t>
            </w:r>
          </w:p>
        </w:tc>
        <w:tc>
          <w:tcPr>
            <w:tcW w:type="dxa" w:w="123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11.52</w:t>
            </w:r>
          </w:p>
        </w:tc>
        <w:tc>
          <w:tcPr>
            <w:tcW w:type="dxa" w:w="735"/>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0.47</w:t>
            </w:r>
          </w:p>
        </w:tc>
      </w:tr>
      <w:tr>
        <w:tblPrEx>
          <w:shd w:val="clear" w:color="auto" w:fill="ced7e7"/>
        </w:tblPrEx>
        <w:trPr>
          <w:trHeight w:val="254" w:hRule="atLeast"/>
        </w:trPr>
        <w:tc>
          <w:tcPr>
            <w:tcW w:type="dxa" w:w="131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MADRR</w:t>
            </w:r>
          </w:p>
        </w:tc>
        <w:tc>
          <w:tcPr>
            <w:tcW w:type="dxa" w:w="119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26.14</w:t>
            </w:r>
          </w:p>
        </w:tc>
        <w:tc>
          <w:tcPr>
            <w:tcW w:type="dxa" w:w="148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25.49</w:t>
            </w:r>
          </w:p>
        </w:tc>
        <w:tc>
          <w:tcPr>
            <w:tcW w:type="dxa" w:w="107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110</w:t>
            </w:r>
          </w:p>
        </w:tc>
        <w:tc>
          <w:tcPr>
            <w:tcW w:type="dxa" w:w="114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19</w:t>
            </w:r>
          </w:p>
        </w:tc>
        <w:tc>
          <w:tcPr>
            <w:tcW w:type="dxa" w:w="116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11.22</w:t>
            </w:r>
          </w:p>
        </w:tc>
        <w:tc>
          <w:tcPr>
            <w:tcW w:type="dxa" w:w="123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9.33</w:t>
            </w:r>
          </w:p>
        </w:tc>
        <w:tc>
          <w:tcPr>
            <w:tcW w:type="dxa" w:w="735"/>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0.73</w:t>
            </w:r>
          </w:p>
        </w:tc>
      </w:tr>
      <w:tr>
        <w:tblPrEx>
          <w:shd w:val="clear" w:color="auto" w:fill="ced7e7"/>
        </w:tblPrEx>
        <w:trPr>
          <w:trHeight w:val="254" w:hRule="atLeast"/>
        </w:trPr>
        <w:tc>
          <w:tcPr>
            <w:tcW w:type="dxa" w:w="131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pNN50</w:t>
            </w:r>
          </w:p>
        </w:tc>
        <w:tc>
          <w:tcPr>
            <w:tcW w:type="dxa" w:w="119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19.99</w:t>
            </w:r>
          </w:p>
        </w:tc>
        <w:tc>
          <w:tcPr>
            <w:tcW w:type="dxa" w:w="148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18.93</w:t>
            </w:r>
          </w:p>
        </w:tc>
        <w:tc>
          <w:tcPr>
            <w:tcW w:type="dxa" w:w="107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110</w:t>
            </w:r>
          </w:p>
        </w:tc>
        <w:tc>
          <w:tcPr>
            <w:tcW w:type="dxa" w:w="114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19</w:t>
            </w:r>
          </w:p>
        </w:tc>
        <w:tc>
          <w:tcPr>
            <w:tcW w:type="dxa" w:w="116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10.93</w:t>
            </w:r>
          </w:p>
        </w:tc>
        <w:tc>
          <w:tcPr>
            <w:tcW w:type="dxa" w:w="123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8.54</w:t>
            </w:r>
          </w:p>
        </w:tc>
        <w:tc>
          <w:tcPr>
            <w:tcW w:type="dxa" w:w="735"/>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0.69</w:t>
            </w:r>
          </w:p>
        </w:tc>
      </w:tr>
      <w:tr>
        <w:tblPrEx>
          <w:shd w:val="clear" w:color="auto" w:fill="ced7e7"/>
        </w:tblPrEx>
        <w:trPr>
          <w:trHeight w:val="254" w:hRule="atLeast"/>
        </w:trPr>
        <w:tc>
          <w:tcPr>
            <w:tcW w:type="dxa" w:w="131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rMSSD</w:t>
            </w:r>
          </w:p>
        </w:tc>
        <w:tc>
          <w:tcPr>
            <w:tcW w:type="dxa" w:w="119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48.95</w:t>
            </w:r>
          </w:p>
        </w:tc>
        <w:tc>
          <w:tcPr>
            <w:tcW w:type="dxa" w:w="148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46.17</w:t>
            </w:r>
          </w:p>
        </w:tc>
        <w:tc>
          <w:tcPr>
            <w:tcW w:type="dxa" w:w="107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110</w:t>
            </w:r>
          </w:p>
        </w:tc>
        <w:tc>
          <w:tcPr>
            <w:tcW w:type="dxa" w:w="114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19</w:t>
            </w:r>
          </w:p>
        </w:tc>
        <w:tc>
          <w:tcPr>
            <w:tcW w:type="dxa" w:w="116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13.61</w:t>
            </w:r>
          </w:p>
        </w:tc>
        <w:tc>
          <w:tcPr>
            <w:tcW w:type="dxa" w:w="123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9.95</w:t>
            </w:r>
          </w:p>
        </w:tc>
        <w:tc>
          <w:tcPr>
            <w:tcW w:type="dxa" w:w="735"/>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0.39</w:t>
            </w:r>
          </w:p>
        </w:tc>
      </w:tr>
      <w:tr>
        <w:tblPrEx>
          <w:shd w:val="clear" w:color="auto" w:fill="ced7e7"/>
        </w:tblPrEx>
        <w:trPr>
          <w:trHeight w:val="254" w:hRule="atLeast"/>
        </w:trPr>
        <w:tc>
          <w:tcPr>
            <w:tcW w:type="dxa" w:w="131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SDANN</w:t>
            </w:r>
          </w:p>
        </w:tc>
        <w:tc>
          <w:tcPr>
            <w:tcW w:type="dxa" w:w="119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15.62</w:t>
            </w:r>
          </w:p>
        </w:tc>
        <w:tc>
          <w:tcPr>
            <w:tcW w:type="dxa" w:w="148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14.40</w:t>
            </w:r>
          </w:p>
        </w:tc>
        <w:tc>
          <w:tcPr>
            <w:tcW w:type="dxa" w:w="107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110</w:t>
            </w:r>
          </w:p>
        </w:tc>
        <w:tc>
          <w:tcPr>
            <w:tcW w:type="dxa" w:w="114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19</w:t>
            </w:r>
          </w:p>
        </w:tc>
        <w:tc>
          <w:tcPr>
            <w:tcW w:type="dxa" w:w="116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16.33</w:t>
            </w:r>
          </w:p>
        </w:tc>
        <w:tc>
          <w:tcPr>
            <w:tcW w:type="dxa" w:w="123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9.02</w:t>
            </w:r>
          </w:p>
        </w:tc>
        <w:tc>
          <w:tcPr>
            <w:tcW w:type="dxa" w:w="735"/>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0.74</w:t>
            </w:r>
          </w:p>
        </w:tc>
      </w:tr>
      <w:tr>
        <w:tblPrEx>
          <w:shd w:val="clear" w:color="auto" w:fill="ced7e7"/>
        </w:tblPrEx>
        <w:trPr>
          <w:trHeight w:val="254" w:hRule="atLeast"/>
        </w:trPr>
        <w:tc>
          <w:tcPr>
            <w:tcW w:type="dxa" w:w="131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SDNN</w:t>
            </w:r>
          </w:p>
        </w:tc>
        <w:tc>
          <w:tcPr>
            <w:tcW w:type="dxa" w:w="119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69.69</w:t>
            </w:r>
          </w:p>
        </w:tc>
        <w:tc>
          <w:tcPr>
            <w:tcW w:type="dxa" w:w="148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67.87</w:t>
            </w:r>
          </w:p>
        </w:tc>
        <w:tc>
          <w:tcPr>
            <w:tcW w:type="dxa" w:w="107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1318</w:t>
            </w:r>
          </w:p>
        </w:tc>
        <w:tc>
          <w:tcPr>
            <w:tcW w:type="dxa" w:w="114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219</w:t>
            </w:r>
          </w:p>
        </w:tc>
        <w:tc>
          <w:tcPr>
            <w:tcW w:type="dxa" w:w="116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25.23</w:t>
            </w:r>
          </w:p>
        </w:tc>
        <w:tc>
          <w:tcPr>
            <w:tcW w:type="dxa" w:w="123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22.32</w:t>
            </w:r>
          </w:p>
        </w:tc>
        <w:tc>
          <w:tcPr>
            <w:tcW w:type="dxa" w:w="735"/>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0.31</w:t>
            </w:r>
          </w:p>
        </w:tc>
      </w:tr>
      <w:tr>
        <w:tblPrEx>
          <w:shd w:val="clear" w:color="auto" w:fill="ced7e7"/>
        </w:tblPrEx>
        <w:trPr>
          <w:trHeight w:val="254" w:hRule="atLeast"/>
        </w:trPr>
        <w:tc>
          <w:tcPr>
            <w:tcW w:type="dxa" w:w="131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SDNNIDX</w:t>
            </w:r>
          </w:p>
        </w:tc>
        <w:tc>
          <w:tcPr>
            <w:tcW w:type="dxa" w:w="119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44.04</w:t>
            </w:r>
          </w:p>
        </w:tc>
        <w:tc>
          <w:tcPr>
            <w:tcW w:type="dxa" w:w="148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42.86</w:t>
            </w:r>
          </w:p>
        </w:tc>
        <w:tc>
          <w:tcPr>
            <w:tcW w:type="dxa" w:w="107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110</w:t>
            </w:r>
          </w:p>
        </w:tc>
        <w:tc>
          <w:tcPr>
            <w:tcW w:type="dxa" w:w="114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19</w:t>
            </w:r>
          </w:p>
        </w:tc>
        <w:tc>
          <w:tcPr>
            <w:tcW w:type="dxa" w:w="116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13.45</w:t>
            </w:r>
          </w:p>
        </w:tc>
        <w:tc>
          <w:tcPr>
            <w:tcW w:type="dxa" w:w="123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8.05</w:t>
            </w:r>
          </w:p>
        </w:tc>
        <w:tc>
          <w:tcPr>
            <w:tcW w:type="dxa" w:w="735"/>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0.70</w:t>
            </w:r>
          </w:p>
        </w:tc>
      </w:tr>
      <w:tr>
        <w:tblPrEx>
          <w:shd w:val="clear" w:color="auto" w:fill="ced7e7"/>
        </w:tblPrEx>
        <w:trPr>
          <w:trHeight w:val="254" w:hRule="atLeast"/>
        </w:trPr>
        <w:tc>
          <w:tcPr>
            <w:tcW w:type="dxa" w:w="131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SDSD</w:t>
            </w:r>
          </w:p>
        </w:tc>
        <w:tc>
          <w:tcPr>
            <w:tcW w:type="dxa" w:w="119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48.97</w:t>
            </w:r>
          </w:p>
        </w:tc>
        <w:tc>
          <w:tcPr>
            <w:tcW w:type="dxa" w:w="148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46.19</w:t>
            </w:r>
          </w:p>
        </w:tc>
        <w:tc>
          <w:tcPr>
            <w:tcW w:type="dxa" w:w="1072"/>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110</w:t>
            </w:r>
          </w:p>
        </w:tc>
        <w:tc>
          <w:tcPr>
            <w:tcW w:type="dxa" w:w="114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19</w:t>
            </w:r>
          </w:p>
        </w:tc>
        <w:tc>
          <w:tcPr>
            <w:tcW w:type="dxa" w:w="116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13.61</w:t>
            </w:r>
          </w:p>
        </w:tc>
        <w:tc>
          <w:tcPr>
            <w:tcW w:type="dxa" w:w="123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9.96</w:t>
            </w:r>
          </w:p>
        </w:tc>
        <w:tc>
          <w:tcPr>
            <w:tcW w:type="dxa" w:w="735"/>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0.39</w:t>
            </w:r>
          </w:p>
        </w:tc>
      </w:tr>
      <w:tr>
        <w:tblPrEx>
          <w:shd w:val="clear" w:color="auto" w:fill="ced7e7"/>
        </w:tblPrEx>
        <w:trPr>
          <w:trHeight w:val="254" w:hRule="atLeast"/>
        </w:trPr>
        <w:tc>
          <w:tcPr>
            <w:tcW w:type="dxa" w:w="1317"/>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TINN</w:t>
            </w:r>
          </w:p>
        </w:tc>
        <w:tc>
          <w:tcPr>
            <w:tcW w:type="dxa" w:w="1196"/>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112.55</w:t>
            </w:r>
          </w:p>
        </w:tc>
        <w:tc>
          <w:tcPr>
            <w:tcW w:type="dxa" w:w="1487"/>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109.14</w:t>
            </w:r>
          </w:p>
        </w:tc>
        <w:tc>
          <w:tcPr>
            <w:tcW w:type="dxa" w:w="1072"/>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110</w:t>
            </w:r>
          </w:p>
        </w:tc>
        <w:tc>
          <w:tcPr>
            <w:tcW w:type="dxa" w:w="1140"/>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19</w:t>
            </w:r>
          </w:p>
        </w:tc>
        <w:tc>
          <w:tcPr>
            <w:tcW w:type="dxa" w:w="1166"/>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33.06</w:t>
            </w:r>
          </w:p>
        </w:tc>
        <w:tc>
          <w:tcPr>
            <w:tcW w:type="dxa" w:w="1234"/>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16.20</w:t>
            </w:r>
          </w:p>
        </w:tc>
        <w:tc>
          <w:tcPr>
            <w:tcW w:type="dxa" w:w="735"/>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0.66</w:t>
            </w:r>
          </w:p>
        </w:tc>
      </w:tr>
    </w:tbl>
    <w:p>
      <w:pPr>
        <w:pStyle w:val="Default"/>
        <w:bidi w:val="0"/>
        <w:spacing w:line="380" w:lineRule="atLeast"/>
        <w:ind w:left="0" w:right="0" w:firstLine="0"/>
        <w:jc w:val="right"/>
        <w:rPr>
          <w:color w:val="333333"/>
          <w:sz w:val="28"/>
          <w:szCs w:val="28"/>
          <w:rtl w:val="0"/>
        </w:rPr>
      </w:pPr>
    </w:p>
    <w:p>
      <w:pPr>
        <w:pStyle w:val="Default"/>
        <w:bidi w:val="0"/>
        <w:spacing w:line="380" w:lineRule="atLeast"/>
        <w:ind w:left="0" w:right="0" w:firstLine="0"/>
        <w:jc w:val="right"/>
        <w:rPr>
          <w:color w:val="333333"/>
          <w:sz w:val="28"/>
          <w:szCs w:val="28"/>
          <w:rtl w:val="0"/>
        </w:rPr>
      </w:pPr>
    </w:p>
    <w:p>
      <w:pPr>
        <w:pStyle w:val="Captioned Figure"/>
      </w:pPr>
      <w:r>
        <w:drawing>
          <wp:inline distT="0" distB="0" distL="0" distR="0">
            <wp:extent cx="5334000" cy="5334000"/>
            <wp:effectExtent l="0" t="0" r="0" b="0"/>
            <wp:docPr id="1073741827" name="officeArt object" descr="Figure 3 Between-Groups Permutation t-test of Time Domain Features"/>
            <wp:cNvGraphicFramePr/>
            <a:graphic xmlns:a="http://schemas.openxmlformats.org/drawingml/2006/main">
              <a:graphicData uri="http://schemas.openxmlformats.org/drawingml/2006/picture">
                <pic:pic xmlns:pic="http://schemas.openxmlformats.org/drawingml/2006/picture">
                  <pic:nvPicPr>
                    <pic:cNvPr id="1073741827" name="Figure 3 Between-Groups Permutation t-test of Time Domain Features" descr="Figure 3 Between-Groups Permutation t-test of Time Domain Features"/>
                    <pic:cNvPicPr>
                      <a:picLocks noChangeAspect="1"/>
                    </pic:cNvPicPr>
                  </pic:nvPicPr>
                  <pic:blipFill>
                    <a:blip r:embed="rId6">
                      <a:extLst/>
                    </a:blip>
                    <a:stretch>
                      <a:fillRect/>
                    </a:stretch>
                  </pic:blipFill>
                  <pic:spPr>
                    <a:xfrm>
                      <a:off x="0" y="0"/>
                      <a:ext cx="5334000" cy="5334000"/>
                    </a:xfrm>
                    <a:prstGeom prst="rect">
                      <a:avLst/>
                    </a:prstGeom>
                    <a:ln w="12700" cap="flat">
                      <a:noFill/>
                      <a:miter lim="400000"/>
                    </a:ln>
                    <a:effectLst/>
                  </pic:spPr>
                </pic:pic>
              </a:graphicData>
            </a:graphic>
          </wp:inline>
        </w:drawing>
      </w:r>
    </w:p>
    <w:p>
      <w:pPr>
        <w:pStyle w:val="Image Caption"/>
      </w:pPr>
      <w:r>
        <w:rPr>
          <w:rtl w:val="0"/>
        </w:rPr>
        <w:t xml:space="preserve">Figure 3 Between-Groups Permutation </w:t>
      </w:r>
      <w:r>
        <w:rPr>
          <w:rtl w:val="0"/>
          <w:lang w:val="en-US"/>
        </w:rPr>
        <w:t>t</w:t>
      </w:r>
      <w:r>
        <w:rPr>
          <w:rtl w:val="0"/>
        </w:rPr>
        <w:t>-test of Time Domain Features</w:t>
      </w:r>
    </w:p>
    <w:p>
      <w:pPr>
        <w:pStyle w:val="Body Text"/>
      </w:pPr>
      <w:r>
        <w:rPr>
          <w:rtl w:val="0"/>
        </w:rPr>
        <w:t>A similar approach was taken to analyze the frequency domain. Table 5 below outlines the mean values of features:</w:t>
      </w:r>
    </w:p>
    <w:p>
      <w:pPr>
        <w:pStyle w:val="Compact"/>
      </w:pPr>
      <w:r>
        <w:rPr>
          <w:rtl w:val="0"/>
        </w:rPr>
        <w:t>Table 5 Summary of Features in the Frequency Domain</w:t>
      </w:r>
    </w:p>
    <w:tbl>
      <w:tblPr>
        <w:tblW w:w="9360"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53"/>
        <w:gridCol w:w="1657"/>
        <w:gridCol w:w="2025"/>
        <w:gridCol w:w="2025"/>
      </w:tblGrid>
      <w:tr>
        <w:tblPrEx>
          <w:shd w:val="clear" w:color="auto" w:fill="ced7e7"/>
        </w:tblPrEx>
        <w:trPr>
          <w:trHeight w:val="264" w:hRule="atLeast"/>
        </w:trPr>
        <w:tc>
          <w:tcPr>
            <w:tcW w:type="dxa" w:w="3653"/>
            <w:tcBorders>
              <w:top w:val="single" w:color="ffffff" w:sz="8" w:space="0" w:shadow="0" w:frame="0"/>
              <w:left w:val="single" w:color="ffffff" w:sz="8" w:space="0" w:shadow="0" w:frame="0"/>
              <w:bottom w:val="single" w:color="dddddd" w:sz="16" w:space="0" w:shadow="0" w:frame="0"/>
              <w:right w:val="single" w:color="ffffff" w:sz="8" w:space="0" w:shadow="0" w:frame="0"/>
            </w:tcBorders>
            <w:shd w:val="clear" w:color="auto" w:fill="ced7e7"/>
            <w:tcMar>
              <w:top w:type="dxa" w:w="160"/>
              <w:left w:type="dxa" w:w="160"/>
              <w:bottom w:type="dxa" w:w="160"/>
              <w:right w:type="dxa" w:w="16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0"/>
                <w:szCs w:val="20"/>
                <w:u w:val="none"/>
                <w:vertAlign w:val="baseline"/>
                <w:rtl w:val="0"/>
              </w:rPr>
              <w:t>Variable</w:t>
            </w:r>
          </w:p>
        </w:tc>
        <w:tc>
          <w:tcPr>
            <w:tcW w:type="dxa" w:w="1657"/>
            <w:tcBorders>
              <w:top w:val="single" w:color="ffffff" w:sz="8" w:space="0" w:shadow="0" w:frame="0"/>
              <w:left w:val="single" w:color="ffffff" w:sz="8" w:space="0" w:shadow="0" w:frame="0"/>
              <w:bottom w:val="single" w:color="dddddd" w:sz="16" w:space="0" w:shadow="0" w:frame="0"/>
              <w:right w:val="single" w:color="ffffff" w:sz="8" w:space="0" w:shadow="0" w:frame="0"/>
            </w:tcBorders>
            <w:shd w:val="clear" w:color="auto" w:fill="ced7e7"/>
            <w:tcMar>
              <w:top w:type="dxa" w:w="160"/>
              <w:left w:type="dxa" w:w="160"/>
              <w:bottom w:type="dxa" w:w="160"/>
              <w:right w:type="dxa" w:w="16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1"/>
                <w:bCs w:val="1"/>
                <w:i w:val="1"/>
                <w:iCs w:val="1"/>
                <w:caps w:val="0"/>
                <w:smallCaps w:val="0"/>
                <w:strike w:val="0"/>
                <w:dstrike w:val="0"/>
                <w:outline w:val="0"/>
                <w:color w:val="333333"/>
                <w:spacing w:val="0"/>
                <w:kern w:val="0"/>
                <w:position w:val="0"/>
                <w:sz w:val="20"/>
                <w:szCs w:val="20"/>
                <w:u w:val="none"/>
                <w:vertAlign w:val="baseline"/>
                <w:rtl w:val="0"/>
              </w:rPr>
              <w:t>n</w:t>
            </w:r>
          </w:p>
        </w:tc>
        <w:tc>
          <w:tcPr>
            <w:tcW w:type="dxa" w:w="2024"/>
            <w:tcBorders>
              <w:top w:val="single" w:color="ffffff" w:sz="8" w:space="0" w:shadow="0" w:frame="0"/>
              <w:left w:val="single" w:color="ffffff" w:sz="8" w:space="0" w:shadow="0" w:frame="0"/>
              <w:bottom w:val="single" w:color="dddddd" w:sz="16" w:space="0" w:shadow="0" w:frame="0"/>
              <w:right w:val="single" w:color="ffffff" w:sz="8" w:space="0" w:shadow="0" w:frame="0"/>
            </w:tcBorders>
            <w:shd w:val="clear" w:color="auto" w:fill="ced7e7"/>
            <w:tcMar>
              <w:top w:type="dxa" w:w="160"/>
              <w:left w:type="dxa" w:w="160"/>
              <w:bottom w:type="dxa" w:w="160"/>
              <w:right w:type="dxa" w:w="16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0"/>
                <w:szCs w:val="20"/>
                <w:u w:val="none"/>
                <w:vertAlign w:val="baseline"/>
                <w:rtl w:val="0"/>
              </w:rPr>
              <w:t>Mean</w:t>
            </w:r>
          </w:p>
        </w:tc>
        <w:tc>
          <w:tcPr>
            <w:tcW w:type="dxa" w:w="2024"/>
            <w:tcBorders>
              <w:top w:val="single" w:color="ffffff" w:sz="8" w:space="0" w:shadow="0" w:frame="0"/>
              <w:left w:val="single" w:color="ffffff" w:sz="8" w:space="0" w:shadow="0" w:frame="0"/>
              <w:bottom w:val="single" w:color="dddddd" w:sz="16" w:space="0" w:shadow="0" w:frame="0"/>
              <w:right w:val="single" w:color="ffffff" w:sz="8" w:space="0" w:shadow="0" w:frame="0"/>
            </w:tcBorders>
            <w:shd w:val="clear" w:color="auto" w:fill="ced7e7"/>
            <w:tcMar>
              <w:top w:type="dxa" w:w="160"/>
              <w:left w:type="dxa" w:w="160"/>
              <w:bottom w:type="dxa" w:w="160"/>
              <w:right w:type="dxa" w:w="16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0"/>
                <w:szCs w:val="20"/>
                <w:u w:val="none"/>
                <w:vertAlign w:val="baseline"/>
                <w:rtl w:val="0"/>
              </w:rPr>
              <w:t>SD</w:t>
            </w:r>
          </w:p>
        </w:tc>
      </w:tr>
      <w:tr>
        <w:tblPrEx>
          <w:shd w:val="clear" w:color="auto" w:fill="ced7e7"/>
        </w:tblPrEx>
        <w:trPr>
          <w:trHeight w:val="264" w:hRule="atLeast"/>
        </w:trPr>
        <w:tc>
          <w:tcPr>
            <w:tcW w:type="dxa" w:w="9360"/>
            <w:gridSpan w:val="4"/>
            <w:tcBorders>
              <w:top w:val="single" w:color="dddddd" w:sz="16"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0"/>
                <w:szCs w:val="20"/>
                <w:u w:val="none"/>
                <w:vertAlign w:val="baseline"/>
                <w:rtl w:val="0"/>
              </w:rPr>
              <w:t>Heart Rate</w:t>
            </w:r>
          </w:p>
        </w:tc>
      </w:tr>
      <w:tr>
        <w:tblPrEx>
          <w:shd w:val="clear" w:color="auto" w:fill="ced7e7"/>
        </w:tblPrEx>
        <w:trPr>
          <w:trHeight w:val="254" w:hRule="atLeast"/>
        </w:trPr>
        <w:tc>
          <w:tcPr>
            <w:tcW w:type="dxa" w:w="365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Avg_HR</w:t>
            </w:r>
          </w:p>
        </w:tc>
        <w:tc>
          <w:tcPr>
            <w:tcW w:type="dxa" w:w="165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1497</w:t>
            </w:r>
          </w:p>
        </w:tc>
        <w:tc>
          <w:tcPr>
            <w:tcW w:type="dxa" w:w="202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79.50</w:t>
            </w:r>
          </w:p>
        </w:tc>
        <w:tc>
          <w:tcPr>
            <w:tcW w:type="dxa" w:w="202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12.13</w:t>
            </w:r>
          </w:p>
        </w:tc>
      </w:tr>
      <w:tr>
        <w:tblPrEx>
          <w:shd w:val="clear" w:color="auto" w:fill="ced7e7"/>
        </w:tblPrEx>
        <w:trPr>
          <w:trHeight w:val="254" w:hRule="atLeast"/>
        </w:trPr>
        <w:tc>
          <w:tcPr>
            <w:tcW w:type="dxa" w:w="365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Avg_niHR</w:t>
            </w:r>
          </w:p>
        </w:tc>
        <w:tc>
          <w:tcPr>
            <w:tcW w:type="dxa" w:w="165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1497</w:t>
            </w:r>
          </w:p>
        </w:tc>
        <w:tc>
          <w:tcPr>
            <w:tcW w:type="dxa" w:w="202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80.26</w:t>
            </w:r>
          </w:p>
        </w:tc>
        <w:tc>
          <w:tcPr>
            <w:tcW w:type="dxa" w:w="202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12.20</w:t>
            </w:r>
          </w:p>
        </w:tc>
      </w:tr>
      <w:tr>
        <w:tblPrEx>
          <w:shd w:val="clear" w:color="auto" w:fill="ced7e7"/>
        </w:tblPrEx>
        <w:trPr>
          <w:trHeight w:val="254" w:hRule="atLeast"/>
        </w:trPr>
        <w:tc>
          <w:tcPr>
            <w:tcW w:type="dxa" w:w="365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Start_niHR</w:t>
            </w:r>
          </w:p>
        </w:tc>
        <w:tc>
          <w:tcPr>
            <w:tcW w:type="dxa" w:w="165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1497</w:t>
            </w:r>
          </w:p>
        </w:tc>
        <w:tc>
          <w:tcPr>
            <w:tcW w:type="dxa" w:w="202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83.58</w:t>
            </w:r>
          </w:p>
        </w:tc>
        <w:tc>
          <w:tcPr>
            <w:tcW w:type="dxa" w:w="202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17.76</w:t>
            </w:r>
          </w:p>
        </w:tc>
      </w:tr>
      <w:tr>
        <w:tblPrEx>
          <w:shd w:val="clear" w:color="auto" w:fill="ced7e7"/>
        </w:tblPrEx>
        <w:trPr>
          <w:trHeight w:val="254" w:hRule="atLeast"/>
        </w:trPr>
        <w:tc>
          <w:tcPr>
            <w:tcW w:type="dxa" w:w="365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End_niHR</w:t>
            </w:r>
          </w:p>
        </w:tc>
        <w:tc>
          <w:tcPr>
            <w:tcW w:type="dxa" w:w="1657"/>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1497</w:t>
            </w:r>
          </w:p>
        </w:tc>
        <w:tc>
          <w:tcPr>
            <w:tcW w:type="dxa" w:w="2024"/>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81.34</w:t>
            </w:r>
          </w:p>
        </w:tc>
        <w:tc>
          <w:tcPr>
            <w:tcW w:type="dxa" w:w="2024"/>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15.69</w:t>
            </w:r>
          </w:p>
        </w:tc>
      </w:tr>
      <w:tr>
        <w:tblPrEx>
          <w:shd w:val="clear" w:color="auto" w:fill="ced7e7"/>
        </w:tblPrEx>
        <w:trPr>
          <w:trHeight w:val="254" w:hRule="atLeast"/>
        </w:trPr>
        <w:tc>
          <w:tcPr>
            <w:tcW w:type="dxa" w:w="9360"/>
            <w:gridSpan w:val="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0"/>
                <w:szCs w:val="20"/>
                <w:u w:val="none"/>
                <w:vertAlign w:val="baseline"/>
                <w:rtl w:val="0"/>
              </w:rPr>
              <w:t>High Frequency</w:t>
            </w:r>
          </w:p>
        </w:tc>
      </w:tr>
      <w:tr>
        <w:tblPrEx>
          <w:shd w:val="clear" w:color="auto" w:fill="ced7e7"/>
        </w:tblPrEx>
        <w:trPr>
          <w:trHeight w:val="254" w:hRule="atLeast"/>
        </w:trPr>
        <w:tc>
          <w:tcPr>
            <w:tcW w:type="dxa" w:w="365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HF_1</w:t>
            </w:r>
          </w:p>
        </w:tc>
        <w:tc>
          <w:tcPr>
            <w:tcW w:type="dxa" w:w="165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515</w:t>
            </w:r>
          </w:p>
        </w:tc>
        <w:tc>
          <w:tcPr>
            <w:tcW w:type="dxa" w:w="202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282.34</w:t>
            </w:r>
          </w:p>
        </w:tc>
        <w:tc>
          <w:tcPr>
            <w:tcW w:type="dxa" w:w="202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382.80</w:t>
            </w:r>
          </w:p>
        </w:tc>
      </w:tr>
      <w:tr>
        <w:tblPrEx>
          <w:shd w:val="clear" w:color="auto" w:fill="ced7e7"/>
        </w:tblPrEx>
        <w:trPr>
          <w:trHeight w:val="254" w:hRule="atLeast"/>
        </w:trPr>
        <w:tc>
          <w:tcPr>
            <w:tcW w:type="dxa" w:w="365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HF_2</w:t>
            </w:r>
          </w:p>
        </w:tc>
        <w:tc>
          <w:tcPr>
            <w:tcW w:type="dxa" w:w="165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528</w:t>
            </w:r>
          </w:p>
        </w:tc>
        <w:tc>
          <w:tcPr>
            <w:tcW w:type="dxa" w:w="202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271.35</w:t>
            </w:r>
          </w:p>
        </w:tc>
        <w:tc>
          <w:tcPr>
            <w:tcW w:type="dxa" w:w="202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351.14</w:t>
            </w:r>
          </w:p>
        </w:tc>
      </w:tr>
      <w:tr>
        <w:tblPrEx>
          <w:shd w:val="clear" w:color="auto" w:fill="ced7e7"/>
        </w:tblPrEx>
        <w:trPr>
          <w:trHeight w:val="254" w:hRule="atLeast"/>
        </w:trPr>
        <w:tc>
          <w:tcPr>
            <w:tcW w:type="dxa" w:w="365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HF_3</w:t>
            </w:r>
          </w:p>
        </w:tc>
        <w:tc>
          <w:tcPr>
            <w:tcW w:type="dxa" w:w="165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535</w:t>
            </w:r>
          </w:p>
        </w:tc>
        <w:tc>
          <w:tcPr>
            <w:tcW w:type="dxa" w:w="202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262.68</w:t>
            </w:r>
          </w:p>
        </w:tc>
        <w:tc>
          <w:tcPr>
            <w:tcW w:type="dxa" w:w="202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291.35</w:t>
            </w:r>
          </w:p>
        </w:tc>
      </w:tr>
      <w:tr>
        <w:tblPrEx>
          <w:shd w:val="clear" w:color="auto" w:fill="ced7e7"/>
        </w:tblPrEx>
        <w:trPr>
          <w:trHeight w:val="254" w:hRule="atLeast"/>
        </w:trPr>
        <w:tc>
          <w:tcPr>
            <w:tcW w:type="dxa" w:w="365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HF_4</w:t>
            </w:r>
          </w:p>
        </w:tc>
        <w:tc>
          <w:tcPr>
            <w:tcW w:type="dxa" w:w="165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522</w:t>
            </w:r>
          </w:p>
        </w:tc>
        <w:tc>
          <w:tcPr>
            <w:tcW w:type="dxa" w:w="202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248.05</w:t>
            </w:r>
          </w:p>
        </w:tc>
        <w:tc>
          <w:tcPr>
            <w:tcW w:type="dxa" w:w="202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289.56</w:t>
            </w:r>
          </w:p>
        </w:tc>
      </w:tr>
      <w:tr>
        <w:tblPrEx>
          <w:shd w:val="clear" w:color="auto" w:fill="ced7e7"/>
        </w:tblPrEx>
        <w:trPr>
          <w:trHeight w:val="254" w:hRule="atLeast"/>
        </w:trPr>
        <w:tc>
          <w:tcPr>
            <w:tcW w:type="dxa" w:w="365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HF_5</w:t>
            </w:r>
          </w:p>
        </w:tc>
        <w:tc>
          <w:tcPr>
            <w:tcW w:type="dxa" w:w="165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511</w:t>
            </w:r>
          </w:p>
        </w:tc>
        <w:tc>
          <w:tcPr>
            <w:tcW w:type="dxa" w:w="202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254.59</w:t>
            </w:r>
          </w:p>
        </w:tc>
        <w:tc>
          <w:tcPr>
            <w:tcW w:type="dxa" w:w="202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317.44</w:t>
            </w:r>
          </w:p>
        </w:tc>
      </w:tr>
      <w:tr>
        <w:tblPrEx>
          <w:shd w:val="clear" w:color="auto" w:fill="ced7e7"/>
        </w:tblPrEx>
        <w:trPr>
          <w:trHeight w:val="254" w:hRule="atLeast"/>
        </w:trPr>
        <w:tc>
          <w:tcPr>
            <w:tcW w:type="dxa" w:w="365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HF_6</w:t>
            </w:r>
          </w:p>
        </w:tc>
        <w:tc>
          <w:tcPr>
            <w:tcW w:type="dxa" w:w="1657"/>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515</w:t>
            </w:r>
          </w:p>
        </w:tc>
        <w:tc>
          <w:tcPr>
            <w:tcW w:type="dxa" w:w="2024"/>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295.68</w:t>
            </w:r>
          </w:p>
        </w:tc>
        <w:tc>
          <w:tcPr>
            <w:tcW w:type="dxa" w:w="2024"/>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432.77</w:t>
            </w:r>
          </w:p>
        </w:tc>
      </w:tr>
      <w:tr>
        <w:tblPrEx>
          <w:shd w:val="clear" w:color="auto" w:fill="ced7e7"/>
        </w:tblPrEx>
        <w:trPr>
          <w:trHeight w:val="254" w:hRule="atLeast"/>
        </w:trPr>
        <w:tc>
          <w:tcPr>
            <w:tcW w:type="dxa" w:w="9360"/>
            <w:gridSpan w:val="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0"/>
                <w:szCs w:val="20"/>
                <w:u w:val="none"/>
                <w:vertAlign w:val="baseline"/>
                <w:rtl w:val="0"/>
              </w:rPr>
              <w:t>Low Frequency</w:t>
            </w:r>
          </w:p>
        </w:tc>
      </w:tr>
      <w:tr>
        <w:tblPrEx>
          <w:shd w:val="clear" w:color="auto" w:fill="ced7e7"/>
        </w:tblPrEx>
        <w:trPr>
          <w:trHeight w:val="254" w:hRule="atLeast"/>
        </w:trPr>
        <w:tc>
          <w:tcPr>
            <w:tcW w:type="dxa" w:w="365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LF_1</w:t>
            </w:r>
          </w:p>
        </w:tc>
        <w:tc>
          <w:tcPr>
            <w:tcW w:type="dxa" w:w="165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515</w:t>
            </w:r>
          </w:p>
        </w:tc>
        <w:tc>
          <w:tcPr>
            <w:tcW w:type="dxa" w:w="202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320.98</w:t>
            </w:r>
          </w:p>
        </w:tc>
        <w:tc>
          <w:tcPr>
            <w:tcW w:type="dxa" w:w="202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254.62</w:t>
            </w:r>
          </w:p>
        </w:tc>
      </w:tr>
      <w:tr>
        <w:tblPrEx>
          <w:shd w:val="clear" w:color="auto" w:fill="ced7e7"/>
        </w:tblPrEx>
        <w:trPr>
          <w:trHeight w:val="254" w:hRule="atLeast"/>
        </w:trPr>
        <w:tc>
          <w:tcPr>
            <w:tcW w:type="dxa" w:w="365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LF_2</w:t>
            </w:r>
          </w:p>
        </w:tc>
        <w:tc>
          <w:tcPr>
            <w:tcW w:type="dxa" w:w="165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528</w:t>
            </w:r>
          </w:p>
        </w:tc>
        <w:tc>
          <w:tcPr>
            <w:tcW w:type="dxa" w:w="202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319.81</w:t>
            </w:r>
          </w:p>
        </w:tc>
        <w:tc>
          <w:tcPr>
            <w:tcW w:type="dxa" w:w="202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246.48</w:t>
            </w:r>
          </w:p>
        </w:tc>
      </w:tr>
      <w:tr>
        <w:tblPrEx>
          <w:shd w:val="clear" w:color="auto" w:fill="ced7e7"/>
        </w:tblPrEx>
        <w:trPr>
          <w:trHeight w:val="254" w:hRule="atLeast"/>
        </w:trPr>
        <w:tc>
          <w:tcPr>
            <w:tcW w:type="dxa" w:w="365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LF_3</w:t>
            </w:r>
          </w:p>
        </w:tc>
        <w:tc>
          <w:tcPr>
            <w:tcW w:type="dxa" w:w="165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535</w:t>
            </w:r>
          </w:p>
        </w:tc>
        <w:tc>
          <w:tcPr>
            <w:tcW w:type="dxa" w:w="202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323.36</w:t>
            </w:r>
          </w:p>
        </w:tc>
        <w:tc>
          <w:tcPr>
            <w:tcW w:type="dxa" w:w="202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247.22</w:t>
            </w:r>
          </w:p>
        </w:tc>
      </w:tr>
      <w:tr>
        <w:tblPrEx>
          <w:shd w:val="clear" w:color="auto" w:fill="ced7e7"/>
        </w:tblPrEx>
        <w:trPr>
          <w:trHeight w:val="254" w:hRule="atLeast"/>
        </w:trPr>
        <w:tc>
          <w:tcPr>
            <w:tcW w:type="dxa" w:w="365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LF_4</w:t>
            </w:r>
          </w:p>
        </w:tc>
        <w:tc>
          <w:tcPr>
            <w:tcW w:type="dxa" w:w="165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522</w:t>
            </w:r>
          </w:p>
        </w:tc>
        <w:tc>
          <w:tcPr>
            <w:tcW w:type="dxa" w:w="202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314.75</w:t>
            </w:r>
          </w:p>
        </w:tc>
        <w:tc>
          <w:tcPr>
            <w:tcW w:type="dxa" w:w="202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238.92</w:t>
            </w:r>
          </w:p>
        </w:tc>
      </w:tr>
      <w:tr>
        <w:tblPrEx>
          <w:shd w:val="clear" w:color="auto" w:fill="ced7e7"/>
        </w:tblPrEx>
        <w:trPr>
          <w:trHeight w:val="254" w:hRule="atLeast"/>
        </w:trPr>
        <w:tc>
          <w:tcPr>
            <w:tcW w:type="dxa" w:w="365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LF_5</w:t>
            </w:r>
          </w:p>
        </w:tc>
        <w:tc>
          <w:tcPr>
            <w:tcW w:type="dxa" w:w="165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511</w:t>
            </w:r>
          </w:p>
        </w:tc>
        <w:tc>
          <w:tcPr>
            <w:tcW w:type="dxa" w:w="202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334.37</w:t>
            </w:r>
          </w:p>
        </w:tc>
        <w:tc>
          <w:tcPr>
            <w:tcW w:type="dxa" w:w="202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253.86</w:t>
            </w:r>
          </w:p>
        </w:tc>
      </w:tr>
      <w:tr>
        <w:tblPrEx>
          <w:shd w:val="clear" w:color="auto" w:fill="ced7e7"/>
        </w:tblPrEx>
        <w:trPr>
          <w:trHeight w:val="254" w:hRule="atLeast"/>
        </w:trPr>
        <w:tc>
          <w:tcPr>
            <w:tcW w:type="dxa" w:w="365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LF_6</w:t>
            </w:r>
          </w:p>
        </w:tc>
        <w:tc>
          <w:tcPr>
            <w:tcW w:type="dxa" w:w="1657"/>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515</w:t>
            </w:r>
          </w:p>
        </w:tc>
        <w:tc>
          <w:tcPr>
            <w:tcW w:type="dxa" w:w="2024"/>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345.29</w:t>
            </w:r>
          </w:p>
        </w:tc>
        <w:tc>
          <w:tcPr>
            <w:tcW w:type="dxa" w:w="2024"/>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269.47</w:t>
            </w:r>
          </w:p>
        </w:tc>
      </w:tr>
      <w:tr>
        <w:tblPrEx>
          <w:shd w:val="clear" w:color="auto" w:fill="ced7e7"/>
        </w:tblPrEx>
        <w:trPr>
          <w:trHeight w:val="254" w:hRule="atLeast"/>
        </w:trPr>
        <w:tc>
          <w:tcPr>
            <w:tcW w:type="dxa" w:w="9360"/>
            <w:gridSpan w:val="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0"/>
                <w:szCs w:val="20"/>
                <w:u w:val="none"/>
                <w:vertAlign w:val="baseline"/>
                <w:rtl w:val="0"/>
              </w:rPr>
              <w:t>LF-HF Ratio</w:t>
            </w:r>
          </w:p>
        </w:tc>
      </w:tr>
      <w:tr>
        <w:tblPrEx>
          <w:shd w:val="clear" w:color="auto" w:fill="ced7e7"/>
        </w:tblPrEx>
        <w:trPr>
          <w:trHeight w:val="254" w:hRule="atLeast"/>
        </w:trPr>
        <w:tc>
          <w:tcPr>
            <w:tcW w:type="dxa" w:w="365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LFHF_1</w:t>
            </w:r>
          </w:p>
        </w:tc>
        <w:tc>
          <w:tcPr>
            <w:tcW w:type="dxa" w:w="165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515</w:t>
            </w:r>
          </w:p>
        </w:tc>
        <w:tc>
          <w:tcPr>
            <w:tcW w:type="dxa" w:w="202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4.69</w:t>
            </w:r>
          </w:p>
        </w:tc>
        <w:tc>
          <w:tcPr>
            <w:tcW w:type="dxa" w:w="202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3.42</w:t>
            </w:r>
          </w:p>
        </w:tc>
      </w:tr>
      <w:tr>
        <w:tblPrEx>
          <w:shd w:val="clear" w:color="auto" w:fill="ced7e7"/>
        </w:tblPrEx>
        <w:trPr>
          <w:trHeight w:val="254" w:hRule="atLeast"/>
        </w:trPr>
        <w:tc>
          <w:tcPr>
            <w:tcW w:type="dxa" w:w="365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LFHF_2</w:t>
            </w:r>
          </w:p>
        </w:tc>
        <w:tc>
          <w:tcPr>
            <w:tcW w:type="dxa" w:w="165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528</w:t>
            </w:r>
          </w:p>
        </w:tc>
        <w:tc>
          <w:tcPr>
            <w:tcW w:type="dxa" w:w="202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4.68</w:t>
            </w:r>
          </w:p>
        </w:tc>
        <w:tc>
          <w:tcPr>
            <w:tcW w:type="dxa" w:w="202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3.53</w:t>
            </w:r>
          </w:p>
        </w:tc>
      </w:tr>
      <w:tr>
        <w:tblPrEx>
          <w:shd w:val="clear" w:color="auto" w:fill="ced7e7"/>
        </w:tblPrEx>
        <w:trPr>
          <w:trHeight w:val="254" w:hRule="atLeast"/>
        </w:trPr>
        <w:tc>
          <w:tcPr>
            <w:tcW w:type="dxa" w:w="365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LFHF_3</w:t>
            </w:r>
          </w:p>
        </w:tc>
        <w:tc>
          <w:tcPr>
            <w:tcW w:type="dxa" w:w="165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535</w:t>
            </w:r>
          </w:p>
        </w:tc>
        <w:tc>
          <w:tcPr>
            <w:tcW w:type="dxa" w:w="202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4.59</w:t>
            </w:r>
          </w:p>
        </w:tc>
        <w:tc>
          <w:tcPr>
            <w:tcW w:type="dxa" w:w="202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3.46</w:t>
            </w:r>
          </w:p>
        </w:tc>
      </w:tr>
      <w:tr>
        <w:tblPrEx>
          <w:shd w:val="clear" w:color="auto" w:fill="ced7e7"/>
        </w:tblPrEx>
        <w:trPr>
          <w:trHeight w:val="254" w:hRule="atLeast"/>
        </w:trPr>
        <w:tc>
          <w:tcPr>
            <w:tcW w:type="dxa" w:w="365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LFHF_4</w:t>
            </w:r>
          </w:p>
        </w:tc>
        <w:tc>
          <w:tcPr>
            <w:tcW w:type="dxa" w:w="165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522</w:t>
            </w:r>
          </w:p>
        </w:tc>
        <w:tc>
          <w:tcPr>
            <w:tcW w:type="dxa" w:w="202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4.83</w:t>
            </w:r>
          </w:p>
        </w:tc>
        <w:tc>
          <w:tcPr>
            <w:tcW w:type="dxa" w:w="202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3.55</w:t>
            </w:r>
          </w:p>
        </w:tc>
      </w:tr>
      <w:tr>
        <w:tblPrEx>
          <w:shd w:val="clear" w:color="auto" w:fill="ced7e7"/>
        </w:tblPrEx>
        <w:trPr>
          <w:trHeight w:val="254" w:hRule="atLeast"/>
        </w:trPr>
        <w:tc>
          <w:tcPr>
            <w:tcW w:type="dxa" w:w="365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LFHF_5</w:t>
            </w:r>
          </w:p>
        </w:tc>
        <w:tc>
          <w:tcPr>
            <w:tcW w:type="dxa" w:w="165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511</w:t>
            </w:r>
          </w:p>
        </w:tc>
        <w:tc>
          <w:tcPr>
            <w:tcW w:type="dxa" w:w="202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4.98</w:t>
            </w:r>
          </w:p>
        </w:tc>
        <w:tc>
          <w:tcPr>
            <w:tcW w:type="dxa" w:w="202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3.55</w:t>
            </w:r>
          </w:p>
        </w:tc>
      </w:tr>
      <w:tr>
        <w:tblPrEx>
          <w:shd w:val="clear" w:color="auto" w:fill="ced7e7"/>
        </w:tblPrEx>
        <w:trPr>
          <w:trHeight w:val="254" w:hRule="atLeast"/>
        </w:trPr>
        <w:tc>
          <w:tcPr>
            <w:tcW w:type="dxa" w:w="3653"/>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LFHF_6</w:t>
            </w:r>
          </w:p>
        </w:tc>
        <w:tc>
          <w:tcPr>
            <w:tcW w:type="dxa" w:w="1657"/>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515</w:t>
            </w:r>
          </w:p>
        </w:tc>
        <w:tc>
          <w:tcPr>
            <w:tcW w:type="dxa" w:w="2024"/>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4.85</w:t>
            </w:r>
          </w:p>
        </w:tc>
        <w:tc>
          <w:tcPr>
            <w:tcW w:type="dxa" w:w="2024"/>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3.42</w:t>
            </w:r>
          </w:p>
        </w:tc>
      </w:tr>
    </w:tbl>
    <w:p>
      <w:pPr>
        <w:pStyle w:val="Default"/>
        <w:bidi w:val="0"/>
        <w:spacing w:line="380" w:lineRule="atLeast"/>
        <w:ind w:left="0" w:right="0" w:firstLine="0"/>
        <w:jc w:val="right"/>
        <w:rPr>
          <w:color w:val="333333"/>
          <w:sz w:val="28"/>
          <w:szCs w:val="28"/>
          <w:rtl w:val="0"/>
        </w:rPr>
      </w:pPr>
    </w:p>
    <w:p>
      <w:pPr>
        <w:pStyle w:val="Default"/>
        <w:bidi w:val="0"/>
        <w:spacing w:line="380" w:lineRule="atLeast"/>
        <w:ind w:left="0" w:right="0" w:firstLine="0"/>
        <w:jc w:val="right"/>
        <w:rPr>
          <w:color w:val="333333"/>
          <w:sz w:val="28"/>
          <w:szCs w:val="28"/>
          <w:rtl w:val="0"/>
        </w:rPr>
      </w:pPr>
    </w:p>
    <w:p>
      <w:pPr>
        <w:pStyle w:val="Compact"/>
      </w:pPr>
    </w:p>
    <w:p>
      <w:pPr>
        <w:pStyle w:val="Compact"/>
      </w:pPr>
      <w:r>
        <w:rPr>
          <w:rtl w:val="0"/>
        </w:rPr>
        <w:t>Using the same Two-</w:t>
      </w:r>
      <w:r>
        <w:rPr>
          <w:i w:val="1"/>
          <w:iCs w:val="1"/>
          <w:rtl w:val="0"/>
          <w:lang w:val="en-US"/>
        </w:rPr>
        <w:t>t</w:t>
      </w:r>
      <w:r>
        <w:rPr>
          <w:rtl w:val="0"/>
        </w:rPr>
        <w:t xml:space="preserve"> permutation approach, we found signficant differences in means for Average Heart Rate, Average non-interpolated Heart Rate, Ending non-interpolated Heart Rate, and the LF-HF ratio in the third window, shown in Table 6</w:t>
      </w:r>
    </w:p>
    <w:p>
      <w:pPr>
        <w:pStyle w:val="Compact"/>
      </w:pPr>
    </w:p>
    <w:p>
      <w:pPr>
        <w:pStyle w:val="Compact"/>
      </w:pPr>
      <w:r>
        <w:rPr>
          <w:rtl w:val="0"/>
        </w:rPr>
        <w:t xml:space="preserve">Table 6 Between-Groups Permutation </w:t>
      </w:r>
      <w:r>
        <w:rPr>
          <w:i w:val="1"/>
          <w:iCs w:val="1"/>
          <w:rtl w:val="0"/>
          <w:lang w:val="en-US"/>
        </w:rPr>
        <w:t>t</w:t>
      </w:r>
      <w:r>
        <w:rPr>
          <w:rtl w:val="0"/>
        </w:rPr>
        <w:t>-test of Frequency Domain Features</w:t>
      </w:r>
    </w:p>
    <w:p>
      <w:pPr>
        <w:pStyle w:val="Default"/>
        <w:bidi w:val="0"/>
        <w:spacing w:line="320" w:lineRule="atLeast"/>
        <w:ind w:left="0" w:right="0" w:firstLine="0"/>
        <w:jc w:val="left"/>
        <w:rPr>
          <w:color w:val="777777"/>
          <w:sz w:val="28"/>
          <w:szCs w:val="28"/>
          <w:rtl w:val="0"/>
        </w:rPr>
      </w:pPr>
    </w:p>
    <w:tbl>
      <w:tblPr>
        <w:tblW w:w="9340"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54"/>
        <w:gridCol w:w="1073"/>
        <w:gridCol w:w="1386"/>
        <w:gridCol w:w="1181"/>
        <w:gridCol w:w="1131"/>
        <w:gridCol w:w="1051"/>
        <w:gridCol w:w="1166"/>
        <w:gridCol w:w="698"/>
      </w:tblGrid>
      <w:tr>
        <w:tblPrEx>
          <w:shd w:val="clear" w:color="auto" w:fill="ced7e7"/>
        </w:tblPrEx>
        <w:trPr>
          <w:trHeight w:val="264" w:hRule="atLeast"/>
        </w:trPr>
        <w:tc>
          <w:tcPr>
            <w:tcW w:type="dxa" w:w="1654"/>
            <w:tcBorders>
              <w:top w:val="single" w:color="ffffff" w:sz="8" w:space="0" w:shadow="0" w:frame="0"/>
              <w:left w:val="single" w:color="ffffff" w:sz="8" w:space="0" w:shadow="0" w:frame="0"/>
              <w:bottom w:val="single" w:color="dddddd" w:sz="16" w:space="0" w:shadow="0" w:frame="0"/>
              <w:right w:val="single" w:color="ffffff" w:sz="8" w:space="0" w:shadow="0" w:frame="0"/>
            </w:tcBorders>
            <w:shd w:val="clear" w:color="auto" w:fill="ced7e7"/>
            <w:tcMar>
              <w:top w:type="dxa" w:w="160"/>
              <w:left w:type="dxa" w:w="160"/>
              <w:bottom w:type="dxa" w:w="160"/>
              <w:right w:type="dxa" w:w="160"/>
            </w:tcMar>
            <w:vAlign w:val="bottom"/>
          </w:tcPr>
          <w:p/>
        </w:tc>
        <w:tc>
          <w:tcPr>
            <w:tcW w:type="dxa" w:w="2459"/>
            <w:gridSpan w:val="2"/>
            <w:tcBorders>
              <w:top w:val="single" w:color="ffffff" w:sz="8" w:space="0" w:shadow="0" w:frame="0"/>
              <w:left w:val="single" w:color="ffffff" w:sz="8" w:space="0" w:shadow="0" w:frame="0"/>
              <w:bottom w:val="single" w:color="dddddd" w:sz="16" w:space="0" w:shadow="0" w:frame="0"/>
              <w:right w:val="single" w:color="ffffff" w:sz="8" w:space="0" w:shadow="0" w:frame="0"/>
            </w:tcBorders>
            <w:shd w:val="clear" w:color="auto" w:fill="ced7e7"/>
            <w:tcMar>
              <w:top w:type="dxa" w:w="160"/>
              <w:left w:type="dxa" w:w="160"/>
              <w:bottom w:type="dxa" w:w="160"/>
              <w:right w:type="dxa" w:w="16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center"/>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0"/>
                <w:szCs w:val="20"/>
                <w:u w:val="none"/>
                <w:vertAlign w:val="baseline"/>
                <w:rtl w:val="0"/>
              </w:rPr>
              <w:t>Mean</w:t>
            </w:r>
          </w:p>
        </w:tc>
        <w:tc>
          <w:tcPr>
            <w:tcW w:type="dxa" w:w="2311"/>
            <w:gridSpan w:val="2"/>
            <w:tcBorders>
              <w:top w:val="single" w:color="ffffff" w:sz="8" w:space="0" w:shadow="0" w:frame="0"/>
              <w:left w:val="single" w:color="ffffff" w:sz="8" w:space="0" w:shadow="0" w:frame="0"/>
              <w:bottom w:val="single" w:color="dddddd" w:sz="16" w:space="0" w:shadow="0" w:frame="0"/>
              <w:right w:val="single" w:color="ffffff" w:sz="8" w:space="0" w:shadow="0" w:frame="0"/>
            </w:tcBorders>
            <w:shd w:val="clear" w:color="auto" w:fill="ced7e7"/>
            <w:tcMar>
              <w:top w:type="dxa" w:w="160"/>
              <w:left w:type="dxa" w:w="160"/>
              <w:bottom w:type="dxa" w:w="160"/>
              <w:right w:type="dxa" w:w="16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center"/>
              <w:outlineLvl w:val="0"/>
              <w:rPr>
                <w:rtl w:val="0"/>
              </w:rPr>
            </w:pPr>
            <w:r>
              <w:rPr>
                <w:rFonts w:ascii="Helvetica Neue" w:cs="Arial Unicode MS" w:hAnsi="Helvetica Neue" w:eastAsia="Arial Unicode MS"/>
                <w:b w:val="1"/>
                <w:bCs w:val="1"/>
                <w:i w:val="1"/>
                <w:iCs w:val="1"/>
                <w:caps w:val="0"/>
                <w:smallCaps w:val="0"/>
                <w:strike w:val="0"/>
                <w:dstrike w:val="0"/>
                <w:outline w:val="0"/>
                <w:color w:val="333333"/>
                <w:spacing w:val="0"/>
                <w:kern w:val="0"/>
                <w:position w:val="0"/>
                <w:sz w:val="20"/>
                <w:szCs w:val="20"/>
                <w:u w:val="none"/>
                <w:vertAlign w:val="baseline"/>
                <w:rtl w:val="0"/>
              </w:rPr>
              <w:t>n</w:t>
            </w:r>
          </w:p>
        </w:tc>
        <w:tc>
          <w:tcPr>
            <w:tcW w:type="dxa" w:w="2217"/>
            <w:gridSpan w:val="2"/>
            <w:tcBorders>
              <w:top w:val="single" w:color="ffffff" w:sz="8" w:space="0" w:shadow="0" w:frame="0"/>
              <w:left w:val="single" w:color="ffffff" w:sz="8" w:space="0" w:shadow="0" w:frame="0"/>
              <w:bottom w:val="single" w:color="dddddd" w:sz="16" w:space="0" w:shadow="0" w:frame="0"/>
              <w:right w:val="single" w:color="ffffff" w:sz="8" w:space="0" w:shadow="0" w:frame="0"/>
            </w:tcBorders>
            <w:shd w:val="clear" w:color="auto" w:fill="ced7e7"/>
            <w:tcMar>
              <w:top w:type="dxa" w:w="160"/>
              <w:left w:type="dxa" w:w="160"/>
              <w:bottom w:type="dxa" w:w="160"/>
              <w:right w:type="dxa" w:w="16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center"/>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0"/>
                <w:szCs w:val="20"/>
                <w:u w:val="none"/>
                <w:vertAlign w:val="baseline"/>
                <w:rtl w:val="0"/>
              </w:rPr>
              <w:t>SD</w:t>
            </w:r>
          </w:p>
        </w:tc>
        <w:tc>
          <w:tcPr>
            <w:tcW w:type="dxa" w:w="697"/>
            <w:tcBorders>
              <w:top w:val="single" w:color="ffffff" w:sz="8" w:space="0" w:shadow="0" w:frame="0"/>
              <w:left w:val="single" w:color="ffffff" w:sz="8" w:space="0" w:shadow="0" w:frame="0"/>
              <w:bottom w:val="single" w:color="dddddd" w:sz="16" w:space="0" w:shadow="0" w:frame="0"/>
              <w:right w:val="single" w:color="ffffff" w:sz="8" w:space="0" w:shadow="0" w:frame="0"/>
            </w:tcBorders>
            <w:shd w:val="clear" w:color="auto" w:fill="ced7e7"/>
            <w:tcMar>
              <w:top w:type="dxa" w:w="160"/>
              <w:left w:type="dxa" w:w="160"/>
              <w:bottom w:type="dxa" w:w="160"/>
              <w:right w:type="dxa" w:w="160"/>
            </w:tcMar>
            <w:vAlign w:val="bottom"/>
          </w:tcPr>
          <w:p/>
        </w:tc>
      </w:tr>
      <w:tr>
        <w:tblPrEx>
          <w:shd w:val="clear" w:color="auto" w:fill="ced7e7"/>
        </w:tblPrEx>
        <w:trPr>
          <w:trHeight w:val="274" w:hRule="atLeast"/>
        </w:trPr>
        <w:tc>
          <w:tcPr>
            <w:tcW w:type="dxa" w:w="1654"/>
            <w:tcBorders>
              <w:top w:val="single" w:color="dddddd" w:sz="16" w:space="0" w:shadow="0" w:frame="0"/>
              <w:left w:val="single" w:color="ffffff" w:sz="8" w:space="0" w:shadow="0" w:frame="0"/>
              <w:bottom w:val="single" w:color="dddddd" w:sz="16" w:space="0" w:shadow="0" w:frame="0"/>
              <w:right w:val="single" w:color="ffffff" w:sz="8" w:space="0" w:shadow="0" w:frame="0"/>
            </w:tcBorders>
            <w:shd w:val="clear" w:color="auto" w:fill="e8ecf3"/>
            <w:tcMar>
              <w:top w:type="dxa" w:w="160"/>
              <w:left w:type="dxa" w:w="160"/>
              <w:bottom w:type="dxa" w:w="160"/>
              <w:right w:type="dxa" w:w="16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0"/>
                <w:szCs w:val="20"/>
                <w:u w:val="none"/>
                <w:vertAlign w:val="baseline"/>
                <w:rtl w:val="0"/>
              </w:rPr>
              <w:t>Variable</w:t>
            </w:r>
          </w:p>
        </w:tc>
        <w:tc>
          <w:tcPr>
            <w:tcW w:type="dxa" w:w="1073"/>
            <w:tcBorders>
              <w:top w:val="single" w:color="dddddd" w:sz="16" w:space="0" w:shadow="0" w:frame="0"/>
              <w:left w:val="single" w:color="ffffff" w:sz="8" w:space="0" w:shadow="0" w:frame="0"/>
              <w:bottom w:val="single" w:color="dddddd" w:sz="16" w:space="0" w:shadow="0" w:frame="0"/>
              <w:right w:val="single" w:color="ffffff" w:sz="8" w:space="0" w:shadow="0" w:frame="0"/>
            </w:tcBorders>
            <w:shd w:val="clear" w:color="auto" w:fill="e8ecf3"/>
            <w:tcMar>
              <w:top w:type="dxa" w:w="160"/>
              <w:left w:type="dxa" w:w="160"/>
              <w:bottom w:type="dxa" w:w="160"/>
              <w:right w:type="dxa" w:w="16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0"/>
                <w:szCs w:val="20"/>
                <w:u w:val="none"/>
                <w:vertAlign w:val="baseline"/>
                <w:rtl w:val="0"/>
              </w:rPr>
              <w:t>Control</w:t>
            </w:r>
          </w:p>
        </w:tc>
        <w:tc>
          <w:tcPr>
            <w:tcW w:type="dxa" w:w="1386"/>
            <w:tcBorders>
              <w:top w:val="single" w:color="dddddd" w:sz="16" w:space="0" w:shadow="0" w:frame="0"/>
              <w:left w:val="single" w:color="ffffff" w:sz="8" w:space="0" w:shadow="0" w:frame="0"/>
              <w:bottom w:val="single" w:color="dddddd" w:sz="16" w:space="0" w:shadow="0" w:frame="0"/>
              <w:right w:val="single" w:color="ffffff" w:sz="8" w:space="0" w:shadow="0" w:frame="0"/>
            </w:tcBorders>
            <w:shd w:val="clear" w:color="auto" w:fill="e8ecf3"/>
            <w:tcMar>
              <w:top w:type="dxa" w:w="160"/>
              <w:left w:type="dxa" w:w="160"/>
              <w:bottom w:type="dxa" w:w="160"/>
              <w:right w:type="dxa" w:w="16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0"/>
                <w:szCs w:val="20"/>
                <w:u w:val="none"/>
                <w:vertAlign w:val="baseline"/>
                <w:rtl w:val="0"/>
              </w:rPr>
              <w:t>Episode</w:t>
            </w:r>
          </w:p>
        </w:tc>
        <w:tc>
          <w:tcPr>
            <w:tcW w:type="dxa" w:w="1180"/>
            <w:tcBorders>
              <w:top w:val="single" w:color="dddddd" w:sz="16" w:space="0" w:shadow="0" w:frame="0"/>
              <w:left w:val="single" w:color="ffffff" w:sz="8" w:space="0" w:shadow="0" w:frame="0"/>
              <w:bottom w:val="single" w:color="dddddd" w:sz="16" w:space="0" w:shadow="0" w:frame="0"/>
              <w:right w:val="single" w:color="ffffff" w:sz="8" w:space="0" w:shadow="0" w:frame="0"/>
            </w:tcBorders>
            <w:shd w:val="clear" w:color="auto" w:fill="e8ecf3"/>
            <w:tcMar>
              <w:top w:type="dxa" w:w="160"/>
              <w:left w:type="dxa" w:w="160"/>
              <w:bottom w:type="dxa" w:w="160"/>
              <w:right w:type="dxa" w:w="16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0"/>
                <w:szCs w:val="20"/>
                <w:u w:val="none"/>
                <w:vertAlign w:val="baseline"/>
                <w:rtl w:val="0"/>
              </w:rPr>
              <w:t>Control</w:t>
            </w:r>
          </w:p>
        </w:tc>
        <w:tc>
          <w:tcPr>
            <w:tcW w:type="dxa" w:w="1130"/>
            <w:tcBorders>
              <w:top w:val="single" w:color="dddddd" w:sz="16" w:space="0" w:shadow="0" w:frame="0"/>
              <w:left w:val="single" w:color="ffffff" w:sz="8" w:space="0" w:shadow="0" w:frame="0"/>
              <w:bottom w:val="single" w:color="dddddd" w:sz="16" w:space="0" w:shadow="0" w:frame="0"/>
              <w:right w:val="single" w:color="ffffff" w:sz="8" w:space="0" w:shadow="0" w:frame="0"/>
            </w:tcBorders>
            <w:shd w:val="clear" w:color="auto" w:fill="e8ecf3"/>
            <w:tcMar>
              <w:top w:type="dxa" w:w="160"/>
              <w:left w:type="dxa" w:w="160"/>
              <w:bottom w:type="dxa" w:w="160"/>
              <w:right w:type="dxa" w:w="16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0"/>
                <w:szCs w:val="20"/>
                <w:u w:val="none"/>
                <w:vertAlign w:val="baseline"/>
                <w:rtl w:val="0"/>
              </w:rPr>
              <w:t>Episode</w:t>
            </w:r>
          </w:p>
        </w:tc>
        <w:tc>
          <w:tcPr>
            <w:tcW w:type="dxa" w:w="1050"/>
            <w:tcBorders>
              <w:top w:val="single" w:color="dddddd" w:sz="16" w:space="0" w:shadow="0" w:frame="0"/>
              <w:left w:val="single" w:color="ffffff" w:sz="8" w:space="0" w:shadow="0" w:frame="0"/>
              <w:bottom w:val="single" w:color="dddddd" w:sz="16" w:space="0" w:shadow="0" w:frame="0"/>
              <w:right w:val="single" w:color="ffffff" w:sz="8" w:space="0" w:shadow="0" w:frame="0"/>
            </w:tcBorders>
            <w:shd w:val="clear" w:color="auto" w:fill="e8ecf3"/>
            <w:tcMar>
              <w:top w:type="dxa" w:w="160"/>
              <w:left w:type="dxa" w:w="160"/>
              <w:bottom w:type="dxa" w:w="160"/>
              <w:right w:type="dxa" w:w="16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0"/>
                <w:szCs w:val="20"/>
                <w:u w:val="none"/>
                <w:vertAlign w:val="baseline"/>
                <w:rtl w:val="0"/>
              </w:rPr>
              <w:t>Control</w:t>
            </w:r>
          </w:p>
        </w:tc>
        <w:tc>
          <w:tcPr>
            <w:tcW w:type="dxa" w:w="1166"/>
            <w:tcBorders>
              <w:top w:val="single" w:color="dddddd" w:sz="16" w:space="0" w:shadow="0" w:frame="0"/>
              <w:left w:val="single" w:color="ffffff" w:sz="8" w:space="0" w:shadow="0" w:frame="0"/>
              <w:bottom w:val="single" w:color="dddddd" w:sz="16" w:space="0" w:shadow="0" w:frame="0"/>
              <w:right w:val="single" w:color="ffffff" w:sz="8" w:space="0" w:shadow="0" w:frame="0"/>
            </w:tcBorders>
            <w:shd w:val="clear" w:color="auto" w:fill="e8ecf3"/>
            <w:tcMar>
              <w:top w:type="dxa" w:w="160"/>
              <w:left w:type="dxa" w:w="160"/>
              <w:bottom w:type="dxa" w:w="160"/>
              <w:right w:type="dxa" w:w="16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0"/>
                <w:szCs w:val="20"/>
                <w:u w:val="none"/>
                <w:vertAlign w:val="baseline"/>
                <w:rtl w:val="0"/>
              </w:rPr>
              <w:t>Episode</w:t>
            </w:r>
          </w:p>
        </w:tc>
        <w:tc>
          <w:tcPr>
            <w:tcW w:type="dxa" w:w="697"/>
            <w:tcBorders>
              <w:top w:val="single" w:color="dddddd" w:sz="16" w:space="0" w:shadow="0" w:frame="0"/>
              <w:left w:val="single" w:color="ffffff" w:sz="8" w:space="0" w:shadow="0" w:frame="0"/>
              <w:bottom w:val="single" w:color="dddddd" w:sz="16" w:space="0" w:shadow="0" w:frame="0"/>
              <w:right w:val="single" w:color="ffffff" w:sz="8" w:space="0" w:shadow="0" w:frame="0"/>
            </w:tcBorders>
            <w:shd w:val="clear" w:color="auto" w:fill="e8ecf3"/>
            <w:tcMar>
              <w:top w:type="dxa" w:w="160"/>
              <w:left w:type="dxa" w:w="160"/>
              <w:bottom w:type="dxa" w:w="160"/>
              <w:right w:type="dxa" w:w="160"/>
            </w:tcMar>
            <w:vAlign w:val="bottom"/>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1"/>
                <w:bCs w:val="1"/>
                <w:i w:val="1"/>
                <w:iCs w:val="1"/>
                <w:caps w:val="0"/>
                <w:smallCaps w:val="0"/>
                <w:strike w:val="0"/>
                <w:dstrike w:val="0"/>
                <w:outline w:val="0"/>
                <w:color w:val="333333"/>
                <w:spacing w:val="0"/>
                <w:kern w:val="0"/>
                <w:position w:val="0"/>
                <w:sz w:val="20"/>
                <w:szCs w:val="20"/>
                <w:u w:val="none"/>
                <w:vertAlign w:val="baseline"/>
                <w:rtl w:val="0"/>
              </w:rPr>
              <w:t>p</w:t>
            </w:r>
          </w:p>
        </w:tc>
      </w:tr>
      <w:tr>
        <w:tblPrEx>
          <w:shd w:val="clear" w:color="auto" w:fill="ced7e7"/>
        </w:tblPrEx>
        <w:trPr>
          <w:trHeight w:val="264" w:hRule="atLeast"/>
        </w:trPr>
        <w:tc>
          <w:tcPr>
            <w:tcW w:type="dxa" w:w="9340"/>
            <w:gridSpan w:val="8"/>
            <w:tcBorders>
              <w:top w:val="single" w:color="dddddd" w:sz="16"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0"/>
                <w:szCs w:val="20"/>
                <w:u w:val="none"/>
                <w:vertAlign w:val="baseline"/>
                <w:rtl w:val="0"/>
              </w:rPr>
              <w:t>Heart Rate</w:t>
            </w:r>
          </w:p>
        </w:tc>
      </w:tr>
      <w:tr>
        <w:tblPrEx>
          <w:shd w:val="clear" w:color="auto" w:fill="ced7e7"/>
        </w:tblPrEx>
        <w:trPr>
          <w:trHeight w:val="634" w:hRule="atLeast"/>
        </w:trPr>
        <w:tc>
          <w:tcPr>
            <w:tcW w:type="dxa" w:w="165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Avg_HR</w:t>
            </w:r>
          </w:p>
        </w:tc>
        <w:tc>
          <w:tcPr>
            <w:tcW w:type="dxa" w:w="107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79.22</w:t>
            </w:r>
          </w:p>
        </w:tc>
        <w:tc>
          <w:tcPr>
            <w:tcW w:type="dxa" w:w="138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81.20</w:t>
            </w:r>
          </w:p>
        </w:tc>
        <w:tc>
          <w:tcPr>
            <w:tcW w:type="dxa" w:w="118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1282</w:t>
            </w:r>
          </w:p>
        </w:tc>
        <w:tc>
          <w:tcPr>
            <w:tcW w:type="dxa" w:w="113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215</w:t>
            </w:r>
          </w:p>
        </w:tc>
        <w:tc>
          <w:tcPr>
            <w:tcW w:type="dxa" w:w="105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12.25</w:t>
            </w:r>
          </w:p>
        </w:tc>
        <w:tc>
          <w:tcPr>
            <w:tcW w:type="dxa" w:w="116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11.30</w:t>
            </w:r>
          </w:p>
        </w:tc>
        <w:tc>
          <w:tcPr>
            <w:tcW w:type="dxa" w:w="69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0.03</w:t>
            </w:r>
          </w:p>
        </w:tc>
      </w:tr>
      <w:tr>
        <w:tblPrEx>
          <w:shd w:val="clear" w:color="auto" w:fill="ced7e7"/>
        </w:tblPrEx>
        <w:trPr>
          <w:trHeight w:val="634" w:hRule="atLeast"/>
        </w:trPr>
        <w:tc>
          <w:tcPr>
            <w:tcW w:type="dxa" w:w="165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Avg_niHR</w:t>
            </w:r>
          </w:p>
        </w:tc>
        <w:tc>
          <w:tcPr>
            <w:tcW w:type="dxa" w:w="107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80.01</w:t>
            </w:r>
          </w:p>
        </w:tc>
        <w:tc>
          <w:tcPr>
            <w:tcW w:type="dxa" w:w="138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81.76</w:t>
            </w:r>
          </w:p>
        </w:tc>
        <w:tc>
          <w:tcPr>
            <w:tcW w:type="dxa" w:w="118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1282</w:t>
            </w:r>
          </w:p>
        </w:tc>
        <w:tc>
          <w:tcPr>
            <w:tcW w:type="dxa" w:w="113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215</w:t>
            </w:r>
          </w:p>
        </w:tc>
        <w:tc>
          <w:tcPr>
            <w:tcW w:type="dxa" w:w="105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12.31</w:t>
            </w:r>
          </w:p>
        </w:tc>
        <w:tc>
          <w:tcPr>
            <w:tcW w:type="dxa" w:w="116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11.41</w:t>
            </w:r>
          </w:p>
        </w:tc>
        <w:tc>
          <w:tcPr>
            <w:tcW w:type="dxa" w:w="69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0.05</w:t>
            </w:r>
          </w:p>
        </w:tc>
      </w:tr>
      <w:tr>
        <w:tblPrEx>
          <w:shd w:val="clear" w:color="auto" w:fill="ced7e7"/>
        </w:tblPrEx>
        <w:trPr>
          <w:trHeight w:val="1014" w:hRule="atLeast"/>
        </w:trPr>
        <w:tc>
          <w:tcPr>
            <w:tcW w:type="dxa" w:w="165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Start_niHR</w:t>
            </w:r>
          </w:p>
        </w:tc>
        <w:tc>
          <w:tcPr>
            <w:tcW w:type="dxa" w:w="107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83.56</w:t>
            </w:r>
          </w:p>
        </w:tc>
        <w:tc>
          <w:tcPr>
            <w:tcW w:type="dxa" w:w="138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83.70</w:t>
            </w:r>
          </w:p>
        </w:tc>
        <w:tc>
          <w:tcPr>
            <w:tcW w:type="dxa" w:w="118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1282</w:t>
            </w:r>
          </w:p>
        </w:tc>
        <w:tc>
          <w:tcPr>
            <w:tcW w:type="dxa" w:w="113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215</w:t>
            </w:r>
          </w:p>
        </w:tc>
        <w:tc>
          <w:tcPr>
            <w:tcW w:type="dxa" w:w="105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18.21</w:t>
            </w:r>
          </w:p>
        </w:tc>
        <w:tc>
          <w:tcPr>
            <w:tcW w:type="dxa" w:w="116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14.85</w:t>
            </w:r>
          </w:p>
        </w:tc>
        <w:tc>
          <w:tcPr>
            <w:tcW w:type="dxa" w:w="69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0.92</w:t>
            </w:r>
          </w:p>
        </w:tc>
      </w:tr>
      <w:tr>
        <w:tblPrEx>
          <w:shd w:val="clear" w:color="auto" w:fill="ced7e7"/>
        </w:tblPrEx>
        <w:trPr>
          <w:trHeight w:val="634" w:hRule="atLeast"/>
        </w:trPr>
        <w:tc>
          <w:tcPr>
            <w:tcW w:type="dxa" w:w="165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End_niHR</w:t>
            </w:r>
          </w:p>
        </w:tc>
        <w:tc>
          <w:tcPr>
            <w:tcW w:type="dxa" w:w="1073"/>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80.77</w:t>
            </w:r>
          </w:p>
        </w:tc>
        <w:tc>
          <w:tcPr>
            <w:tcW w:type="dxa" w:w="1386"/>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84.71</w:t>
            </w:r>
          </w:p>
        </w:tc>
        <w:tc>
          <w:tcPr>
            <w:tcW w:type="dxa" w:w="1180"/>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1282</w:t>
            </w:r>
          </w:p>
        </w:tc>
        <w:tc>
          <w:tcPr>
            <w:tcW w:type="dxa" w:w="1130"/>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215</w:t>
            </w:r>
          </w:p>
        </w:tc>
        <w:tc>
          <w:tcPr>
            <w:tcW w:type="dxa" w:w="1050"/>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15.55</w:t>
            </w:r>
          </w:p>
        </w:tc>
        <w:tc>
          <w:tcPr>
            <w:tcW w:type="dxa" w:w="1166"/>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16.12</w:t>
            </w:r>
          </w:p>
        </w:tc>
        <w:tc>
          <w:tcPr>
            <w:tcW w:type="dxa" w:w="697"/>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0.00</w:t>
            </w:r>
          </w:p>
        </w:tc>
      </w:tr>
      <w:tr>
        <w:tblPrEx>
          <w:shd w:val="clear" w:color="auto" w:fill="ced7e7"/>
        </w:tblPrEx>
        <w:trPr>
          <w:trHeight w:val="254" w:hRule="atLeast"/>
        </w:trPr>
        <w:tc>
          <w:tcPr>
            <w:tcW w:type="dxa" w:w="9340"/>
            <w:gridSpan w:val="8"/>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0"/>
                <w:szCs w:val="20"/>
                <w:u w:val="none"/>
                <w:vertAlign w:val="baseline"/>
                <w:rtl w:val="0"/>
              </w:rPr>
              <w:t>High Frequency</w:t>
            </w:r>
          </w:p>
        </w:tc>
      </w:tr>
      <w:tr>
        <w:tblPrEx>
          <w:shd w:val="clear" w:color="auto" w:fill="ced7e7"/>
        </w:tblPrEx>
        <w:trPr>
          <w:trHeight w:val="254" w:hRule="atLeast"/>
        </w:trPr>
        <w:tc>
          <w:tcPr>
            <w:tcW w:type="dxa" w:w="165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HF_1</w:t>
            </w:r>
          </w:p>
        </w:tc>
        <w:tc>
          <w:tcPr>
            <w:tcW w:type="dxa" w:w="107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272.59</w:t>
            </w:r>
          </w:p>
        </w:tc>
        <w:tc>
          <w:tcPr>
            <w:tcW w:type="dxa" w:w="138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333.79</w:t>
            </w:r>
          </w:p>
        </w:tc>
        <w:tc>
          <w:tcPr>
            <w:tcW w:type="dxa" w:w="118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433</w:t>
            </w:r>
          </w:p>
        </w:tc>
        <w:tc>
          <w:tcPr>
            <w:tcW w:type="dxa" w:w="113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82</w:t>
            </w:r>
          </w:p>
        </w:tc>
        <w:tc>
          <w:tcPr>
            <w:tcW w:type="dxa" w:w="105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329.02</w:t>
            </w:r>
          </w:p>
        </w:tc>
        <w:tc>
          <w:tcPr>
            <w:tcW w:type="dxa" w:w="116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591.06</w:t>
            </w:r>
          </w:p>
        </w:tc>
        <w:tc>
          <w:tcPr>
            <w:tcW w:type="dxa" w:w="69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0.18</w:t>
            </w:r>
          </w:p>
        </w:tc>
      </w:tr>
      <w:tr>
        <w:tblPrEx>
          <w:shd w:val="clear" w:color="auto" w:fill="ced7e7"/>
        </w:tblPrEx>
        <w:trPr>
          <w:trHeight w:val="254" w:hRule="atLeast"/>
        </w:trPr>
        <w:tc>
          <w:tcPr>
            <w:tcW w:type="dxa" w:w="165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HF_2</w:t>
            </w:r>
          </w:p>
        </w:tc>
        <w:tc>
          <w:tcPr>
            <w:tcW w:type="dxa" w:w="107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263.68</w:t>
            </w:r>
          </w:p>
        </w:tc>
        <w:tc>
          <w:tcPr>
            <w:tcW w:type="dxa" w:w="138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316.23</w:t>
            </w:r>
          </w:p>
        </w:tc>
        <w:tc>
          <w:tcPr>
            <w:tcW w:type="dxa" w:w="118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451</w:t>
            </w:r>
          </w:p>
        </w:tc>
        <w:tc>
          <w:tcPr>
            <w:tcW w:type="dxa" w:w="113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77</w:t>
            </w:r>
          </w:p>
        </w:tc>
        <w:tc>
          <w:tcPr>
            <w:tcW w:type="dxa" w:w="105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305.91</w:t>
            </w:r>
          </w:p>
        </w:tc>
        <w:tc>
          <w:tcPr>
            <w:tcW w:type="dxa" w:w="116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546.34</w:t>
            </w:r>
          </w:p>
        </w:tc>
        <w:tc>
          <w:tcPr>
            <w:tcW w:type="dxa" w:w="69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0.22</w:t>
            </w:r>
          </w:p>
        </w:tc>
      </w:tr>
      <w:tr>
        <w:tblPrEx>
          <w:shd w:val="clear" w:color="auto" w:fill="ced7e7"/>
        </w:tblPrEx>
        <w:trPr>
          <w:trHeight w:val="254" w:hRule="atLeast"/>
        </w:trPr>
        <w:tc>
          <w:tcPr>
            <w:tcW w:type="dxa" w:w="165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HF_3</w:t>
            </w:r>
          </w:p>
        </w:tc>
        <w:tc>
          <w:tcPr>
            <w:tcW w:type="dxa" w:w="107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257.48</w:t>
            </w:r>
          </w:p>
        </w:tc>
        <w:tc>
          <w:tcPr>
            <w:tcW w:type="dxa" w:w="138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292.74</w:t>
            </w:r>
          </w:p>
        </w:tc>
        <w:tc>
          <w:tcPr>
            <w:tcW w:type="dxa" w:w="118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456</w:t>
            </w:r>
          </w:p>
        </w:tc>
        <w:tc>
          <w:tcPr>
            <w:tcW w:type="dxa" w:w="113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79</w:t>
            </w:r>
          </w:p>
        </w:tc>
        <w:tc>
          <w:tcPr>
            <w:tcW w:type="dxa" w:w="105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257.94</w:t>
            </w:r>
          </w:p>
        </w:tc>
        <w:tc>
          <w:tcPr>
            <w:tcW w:type="dxa" w:w="116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438.11</w:t>
            </w:r>
          </w:p>
        </w:tc>
        <w:tc>
          <w:tcPr>
            <w:tcW w:type="dxa" w:w="69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0.31</w:t>
            </w:r>
          </w:p>
        </w:tc>
      </w:tr>
      <w:tr>
        <w:tblPrEx>
          <w:shd w:val="clear" w:color="auto" w:fill="ced7e7"/>
        </w:tblPrEx>
        <w:trPr>
          <w:trHeight w:val="254" w:hRule="atLeast"/>
        </w:trPr>
        <w:tc>
          <w:tcPr>
            <w:tcW w:type="dxa" w:w="165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HF_4</w:t>
            </w:r>
          </w:p>
        </w:tc>
        <w:tc>
          <w:tcPr>
            <w:tcW w:type="dxa" w:w="107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244.61</w:t>
            </w:r>
          </w:p>
        </w:tc>
        <w:tc>
          <w:tcPr>
            <w:tcW w:type="dxa" w:w="138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266.51</w:t>
            </w:r>
          </w:p>
        </w:tc>
        <w:tc>
          <w:tcPr>
            <w:tcW w:type="dxa" w:w="118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440</w:t>
            </w:r>
          </w:p>
        </w:tc>
        <w:tc>
          <w:tcPr>
            <w:tcW w:type="dxa" w:w="113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82</w:t>
            </w:r>
          </w:p>
        </w:tc>
        <w:tc>
          <w:tcPr>
            <w:tcW w:type="dxa" w:w="105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259.52</w:t>
            </w:r>
          </w:p>
        </w:tc>
        <w:tc>
          <w:tcPr>
            <w:tcW w:type="dxa" w:w="116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416.97</w:t>
            </w:r>
          </w:p>
        </w:tc>
        <w:tc>
          <w:tcPr>
            <w:tcW w:type="dxa" w:w="69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0.55</w:t>
            </w:r>
          </w:p>
        </w:tc>
      </w:tr>
      <w:tr>
        <w:tblPrEx>
          <w:shd w:val="clear" w:color="auto" w:fill="ced7e7"/>
        </w:tblPrEx>
        <w:trPr>
          <w:trHeight w:val="254" w:hRule="atLeast"/>
        </w:trPr>
        <w:tc>
          <w:tcPr>
            <w:tcW w:type="dxa" w:w="165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HF_5</w:t>
            </w:r>
          </w:p>
        </w:tc>
        <w:tc>
          <w:tcPr>
            <w:tcW w:type="dxa" w:w="107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262.25</w:t>
            </w:r>
          </w:p>
        </w:tc>
        <w:tc>
          <w:tcPr>
            <w:tcW w:type="dxa" w:w="138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202.95</w:t>
            </w:r>
          </w:p>
        </w:tc>
        <w:tc>
          <w:tcPr>
            <w:tcW w:type="dxa" w:w="118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445</w:t>
            </w:r>
          </w:p>
        </w:tc>
        <w:tc>
          <w:tcPr>
            <w:tcW w:type="dxa" w:w="113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66</w:t>
            </w:r>
          </w:p>
        </w:tc>
        <w:tc>
          <w:tcPr>
            <w:tcW w:type="dxa" w:w="105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335.09</w:t>
            </w:r>
          </w:p>
        </w:tc>
        <w:tc>
          <w:tcPr>
            <w:tcW w:type="dxa" w:w="116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143.31</w:t>
            </w:r>
          </w:p>
        </w:tc>
        <w:tc>
          <w:tcPr>
            <w:tcW w:type="dxa" w:w="69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0.14</w:t>
            </w:r>
          </w:p>
        </w:tc>
      </w:tr>
      <w:tr>
        <w:tblPrEx>
          <w:shd w:val="clear" w:color="auto" w:fill="ced7e7"/>
        </w:tblPrEx>
        <w:trPr>
          <w:trHeight w:val="254" w:hRule="atLeast"/>
        </w:trPr>
        <w:tc>
          <w:tcPr>
            <w:tcW w:type="dxa" w:w="165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HF_6</w:t>
            </w:r>
          </w:p>
        </w:tc>
        <w:tc>
          <w:tcPr>
            <w:tcW w:type="dxa" w:w="1073"/>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305.57</w:t>
            </w:r>
          </w:p>
        </w:tc>
        <w:tc>
          <w:tcPr>
            <w:tcW w:type="dxa" w:w="1386"/>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233.80</w:t>
            </w:r>
          </w:p>
        </w:tc>
        <w:tc>
          <w:tcPr>
            <w:tcW w:type="dxa" w:w="1180"/>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444</w:t>
            </w:r>
          </w:p>
        </w:tc>
        <w:tc>
          <w:tcPr>
            <w:tcW w:type="dxa" w:w="1130"/>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71</w:t>
            </w:r>
          </w:p>
        </w:tc>
        <w:tc>
          <w:tcPr>
            <w:tcW w:type="dxa" w:w="1050"/>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460.86</w:t>
            </w:r>
          </w:p>
        </w:tc>
        <w:tc>
          <w:tcPr>
            <w:tcW w:type="dxa" w:w="1166"/>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163.01</w:t>
            </w:r>
          </w:p>
        </w:tc>
        <w:tc>
          <w:tcPr>
            <w:tcW w:type="dxa" w:w="697"/>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0.18</w:t>
            </w:r>
          </w:p>
        </w:tc>
      </w:tr>
      <w:tr>
        <w:tblPrEx>
          <w:shd w:val="clear" w:color="auto" w:fill="ced7e7"/>
        </w:tblPrEx>
        <w:trPr>
          <w:trHeight w:val="254" w:hRule="atLeast"/>
        </w:trPr>
        <w:tc>
          <w:tcPr>
            <w:tcW w:type="dxa" w:w="9340"/>
            <w:gridSpan w:val="8"/>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0"/>
                <w:szCs w:val="20"/>
                <w:u w:val="none"/>
                <w:vertAlign w:val="baseline"/>
                <w:rtl w:val="0"/>
              </w:rPr>
              <w:t>Low Frequency</w:t>
            </w:r>
          </w:p>
        </w:tc>
      </w:tr>
      <w:tr>
        <w:tblPrEx>
          <w:shd w:val="clear" w:color="auto" w:fill="ced7e7"/>
        </w:tblPrEx>
        <w:trPr>
          <w:trHeight w:val="254" w:hRule="atLeast"/>
        </w:trPr>
        <w:tc>
          <w:tcPr>
            <w:tcW w:type="dxa" w:w="165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LF_1</w:t>
            </w:r>
          </w:p>
        </w:tc>
        <w:tc>
          <w:tcPr>
            <w:tcW w:type="dxa" w:w="107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322.90</w:t>
            </w:r>
          </w:p>
        </w:tc>
        <w:tc>
          <w:tcPr>
            <w:tcW w:type="dxa" w:w="138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310.85</w:t>
            </w:r>
          </w:p>
        </w:tc>
        <w:tc>
          <w:tcPr>
            <w:tcW w:type="dxa" w:w="118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433</w:t>
            </w:r>
          </w:p>
        </w:tc>
        <w:tc>
          <w:tcPr>
            <w:tcW w:type="dxa" w:w="113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82</w:t>
            </w:r>
          </w:p>
        </w:tc>
        <w:tc>
          <w:tcPr>
            <w:tcW w:type="dxa" w:w="105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255.19</w:t>
            </w:r>
          </w:p>
        </w:tc>
        <w:tc>
          <w:tcPr>
            <w:tcW w:type="dxa" w:w="116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252.93</w:t>
            </w:r>
          </w:p>
        </w:tc>
        <w:tc>
          <w:tcPr>
            <w:tcW w:type="dxa" w:w="69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0.70</w:t>
            </w:r>
          </w:p>
        </w:tc>
      </w:tr>
      <w:tr>
        <w:tblPrEx>
          <w:shd w:val="clear" w:color="auto" w:fill="ced7e7"/>
        </w:tblPrEx>
        <w:trPr>
          <w:trHeight w:val="254" w:hRule="atLeast"/>
        </w:trPr>
        <w:tc>
          <w:tcPr>
            <w:tcW w:type="dxa" w:w="165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LF_2</w:t>
            </w:r>
          </w:p>
        </w:tc>
        <w:tc>
          <w:tcPr>
            <w:tcW w:type="dxa" w:w="107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315.46</w:t>
            </w:r>
          </w:p>
        </w:tc>
        <w:tc>
          <w:tcPr>
            <w:tcW w:type="dxa" w:w="138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345.28</w:t>
            </w:r>
          </w:p>
        </w:tc>
        <w:tc>
          <w:tcPr>
            <w:tcW w:type="dxa" w:w="118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451</w:t>
            </w:r>
          </w:p>
        </w:tc>
        <w:tc>
          <w:tcPr>
            <w:tcW w:type="dxa" w:w="113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77</w:t>
            </w:r>
          </w:p>
        </w:tc>
        <w:tc>
          <w:tcPr>
            <w:tcW w:type="dxa" w:w="105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245.66</w:t>
            </w:r>
          </w:p>
        </w:tc>
        <w:tc>
          <w:tcPr>
            <w:tcW w:type="dxa" w:w="116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251.30</w:t>
            </w:r>
          </w:p>
        </w:tc>
        <w:tc>
          <w:tcPr>
            <w:tcW w:type="dxa" w:w="69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0.33</w:t>
            </w:r>
          </w:p>
        </w:tc>
      </w:tr>
      <w:tr>
        <w:tblPrEx>
          <w:shd w:val="clear" w:color="auto" w:fill="ced7e7"/>
        </w:tblPrEx>
        <w:trPr>
          <w:trHeight w:val="254" w:hRule="atLeast"/>
        </w:trPr>
        <w:tc>
          <w:tcPr>
            <w:tcW w:type="dxa" w:w="165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LF_3</w:t>
            </w:r>
          </w:p>
        </w:tc>
        <w:tc>
          <w:tcPr>
            <w:tcW w:type="dxa" w:w="107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326.12</w:t>
            </w:r>
          </w:p>
        </w:tc>
        <w:tc>
          <w:tcPr>
            <w:tcW w:type="dxa" w:w="138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307.45</w:t>
            </w:r>
          </w:p>
        </w:tc>
        <w:tc>
          <w:tcPr>
            <w:tcW w:type="dxa" w:w="118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456</w:t>
            </w:r>
          </w:p>
        </w:tc>
        <w:tc>
          <w:tcPr>
            <w:tcW w:type="dxa" w:w="113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79</w:t>
            </w:r>
          </w:p>
        </w:tc>
        <w:tc>
          <w:tcPr>
            <w:tcW w:type="dxa" w:w="105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253.17</w:t>
            </w:r>
          </w:p>
        </w:tc>
        <w:tc>
          <w:tcPr>
            <w:tcW w:type="dxa" w:w="116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210.27</w:t>
            </w:r>
          </w:p>
        </w:tc>
        <w:tc>
          <w:tcPr>
            <w:tcW w:type="dxa" w:w="69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0.53</w:t>
            </w:r>
          </w:p>
        </w:tc>
      </w:tr>
      <w:tr>
        <w:tblPrEx>
          <w:shd w:val="clear" w:color="auto" w:fill="ced7e7"/>
        </w:tblPrEx>
        <w:trPr>
          <w:trHeight w:val="254" w:hRule="atLeast"/>
        </w:trPr>
        <w:tc>
          <w:tcPr>
            <w:tcW w:type="dxa" w:w="165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LF_4</w:t>
            </w:r>
          </w:p>
        </w:tc>
        <w:tc>
          <w:tcPr>
            <w:tcW w:type="dxa" w:w="107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309.79</w:t>
            </w:r>
          </w:p>
        </w:tc>
        <w:tc>
          <w:tcPr>
            <w:tcW w:type="dxa" w:w="138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341.38</w:t>
            </w:r>
          </w:p>
        </w:tc>
        <w:tc>
          <w:tcPr>
            <w:tcW w:type="dxa" w:w="118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440</w:t>
            </w:r>
          </w:p>
        </w:tc>
        <w:tc>
          <w:tcPr>
            <w:tcW w:type="dxa" w:w="113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82</w:t>
            </w:r>
          </w:p>
        </w:tc>
        <w:tc>
          <w:tcPr>
            <w:tcW w:type="dxa" w:w="105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235.44</w:t>
            </w:r>
          </w:p>
        </w:tc>
        <w:tc>
          <w:tcPr>
            <w:tcW w:type="dxa" w:w="116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256.66</w:t>
            </w:r>
          </w:p>
        </w:tc>
        <w:tc>
          <w:tcPr>
            <w:tcW w:type="dxa" w:w="69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0.27</w:t>
            </w:r>
          </w:p>
        </w:tc>
      </w:tr>
      <w:tr>
        <w:tblPrEx>
          <w:shd w:val="clear" w:color="auto" w:fill="ced7e7"/>
        </w:tblPrEx>
        <w:trPr>
          <w:trHeight w:val="254" w:hRule="atLeast"/>
        </w:trPr>
        <w:tc>
          <w:tcPr>
            <w:tcW w:type="dxa" w:w="165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LF_5</w:t>
            </w:r>
          </w:p>
        </w:tc>
        <w:tc>
          <w:tcPr>
            <w:tcW w:type="dxa" w:w="107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330.80</w:t>
            </w:r>
          </w:p>
        </w:tc>
        <w:tc>
          <w:tcPr>
            <w:tcW w:type="dxa" w:w="138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358.43</w:t>
            </w:r>
          </w:p>
        </w:tc>
        <w:tc>
          <w:tcPr>
            <w:tcW w:type="dxa" w:w="118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445</w:t>
            </w:r>
          </w:p>
        </w:tc>
        <w:tc>
          <w:tcPr>
            <w:tcW w:type="dxa" w:w="113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66</w:t>
            </w:r>
          </w:p>
        </w:tc>
        <w:tc>
          <w:tcPr>
            <w:tcW w:type="dxa" w:w="105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252.93</w:t>
            </w:r>
          </w:p>
        </w:tc>
        <w:tc>
          <w:tcPr>
            <w:tcW w:type="dxa" w:w="116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260.77</w:t>
            </w:r>
          </w:p>
        </w:tc>
        <w:tc>
          <w:tcPr>
            <w:tcW w:type="dxa" w:w="69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0.41</w:t>
            </w:r>
          </w:p>
        </w:tc>
      </w:tr>
      <w:tr>
        <w:tblPrEx>
          <w:shd w:val="clear" w:color="auto" w:fill="ced7e7"/>
        </w:tblPrEx>
        <w:trPr>
          <w:trHeight w:val="254" w:hRule="atLeast"/>
        </w:trPr>
        <w:tc>
          <w:tcPr>
            <w:tcW w:type="dxa" w:w="165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LF_6</w:t>
            </w:r>
          </w:p>
        </w:tc>
        <w:tc>
          <w:tcPr>
            <w:tcW w:type="dxa" w:w="1073"/>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347.62</w:t>
            </w:r>
          </w:p>
        </w:tc>
        <w:tc>
          <w:tcPr>
            <w:tcW w:type="dxa" w:w="1386"/>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330.70</w:t>
            </w:r>
          </w:p>
        </w:tc>
        <w:tc>
          <w:tcPr>
            <w:tcW w:type="dxa" w:w="1180"/>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444</w:t>
            </w:r>
          </w:p>
        </w:tc>
        <w:tc>
          <w:tcPr>
            <w:tcW w:type="dxa" w:w="1130"/>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71</w:t>
            </w:r>
          </w:p>
        </w:tc>
        <w:tc>
          <w:tcPr>
            <w:tcW w:type="dxa" w:w="1050"/>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273.40</w:t>
            </w:r>
          </w:p>
        </w:tc>
        <w:tc>
          <w:tcPr>
            <w:tcW w:type="dxa" w:w="1166"/>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244.74</w:t>
            </w:r>
          </w:p>
        </w:tc>
        <w:tc>
          <w:tcPr>
            <w:tcW w:type="dxa" w:w="697"/>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0.63</w:t>
            </w:r>
          </w:p>
        </w:tc>
      </w:tr>
      <w:tr>
        <w:tblPrEx>
          <w:shd w:val="clear" w:color="auto" w:fill="ced7e7"/>
        </w:tblPrEx>
        <w:trPr>
          <w:trHeight w:val="254" w:hRule="atLeast"/>
        </w:trPr>
        <w:tc>
          <w:tcPr>
            <w:tcW w:type="dxa" w:w="9340"/>
            <w:gridSpan w:val="8"/>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1"/>
                <w:bCs w:val="1"/>
                <w:i w:val="0"/>
                <w:iCs w:val="0"/>
                <w:caps w:val="0"/>
                <w:smallCaps w:val="0"/>
                <w:strike w:val="0"/>
                <w:dstrike w:val="0"/>
                <w:outline w:val="0"/>
                <w:color w:val="333333"/>
                <w:spacing w:val="0"/>
                <w:kern w:val="0"/>
                <w:position w:val="0"/>
                <w:sz w:val="20"/>
                <w:szCs w:val="20"/>
                <w:u w:val="none"/>
                <w:vertAlign w:val="baseline"/>
                <w:rtl w:val="0"/>
              </w:rPr>
              <w:t>LF-HF Ratio</w:t>
            </w:r>
          </w:p>
        </w:tc>
      </w:tr>
      <w:tr>
        <w:tblPrEx>
          <w:shd w:val="clear" w:color="auto" w:fill="ced7e7"/>
        </w:tblPrEx>
        <w:trPr>
          <w:trHeight w:val="634" w:hRule="atLeast"/>
        </w:trPr>
        <w:tc>
          <w:tcPr>
            <w:tcW w:type="dxa" w:w="165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LFHF_1</w:t>
            </w:r>
          </w:p>
        </w:tc>
        <w:tc>
          <w:tcPr>
            <w:tcW w:type="dxa" w:w="107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4.72</w:t>
            </w:r>
          </w:p>
        </w:tc>
        <w:tc>
          <w:tcPr>
            <w:tcW w:type="dxa" w:w="138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4.57</w:t>
            </w:r>
          </w:p>
        </w:tc>
        <w:tc>
          <w:tcPr>
            <w:tcW w:type="dxa" w:w="118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433</w:t>
            </w:r>
          </w:p>
        </w:tc>
        <w:tc>
          <w:tcPr>
            <w:tcW w:type="dxa" w:w="113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82</w:t>
            </w:r>
          </w:p>
        </w:tc>
        <w:tc>
          <w:tcPr>
            <w:tcW w:type="dxa" w:w="105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3.46</w:t>
            </w:r>
          </w:p>
        </w:tc>
        <w:tc>
          <w:tcPr>
            <w:tcW w:type="dxa" w:w="116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3.20</w:t>
            </w:r>
          </w:p>
        </w:tc>
        <w:tc>
          <w:tcPr>
            <w:tcW w:type="dxa" w:w="69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0.71</w:t>
            </w:r>
          </w:p>
        </w:tc>
      </w:tr>
      <w:tr>
        <w:tblPrEx>
          <w:shd w:val="clear" w:color="auto" w:fill="ced7e7"/>
        </w:tblPrEx>
        <w:trPr>
          <w:trHeight w:val="634" w:hRule="atLeast"/>
        </w:trPr>
        <w:tc>
          <w:tcPr>
            <w:tcW w:type="dxa" w:w="165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LFHF_2</w:t>
            </w:r>
          </w:p>
        </w:tc>
        <w:tc>
          <w:tcPr>
            <w:tcW w:type="dxa" w:w="107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4.68</w:t>
            </w:r>
          </w:p>
        </w:tc>
        <w:tc>
          <w:tcPr>
            <w:tcW w:type="dxa" w:w="138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4.67</w:t>
            </w:r>
          </w:p>
        </w:tc>
        <w:tc>
          <w:tcPr>
            <w:tcW w:type="dxa" w:w="118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451</w:t>
            </w:r>
          </w:p>
        </w:tc>
        <w:tc>
          <w:tcPr>
            <w:tcW w:type="dxa" w:w="113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77</w:t>
            </w:r>
          </w:p>
        </w:tc>
        <w:tc>
          <w:tcPr>
            <w:tcW w:type="dxa" w:w="105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3.50</w:t>
            </w:r>
          </w:p>
        </w:tc>
        <w:tc>
          <w:tcPr>
            <w:tcW w:type="dxa" w:w="116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3.72</w:t>
            </w:r>
          </w:p>
        </w:tc>
        <w:tc>
          <w:tcPr>
            <w:tcW w:type="dxa" w:w="69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0.97</w:t>
            </w:r>
          </w:p>
        </w:tc>
      </w:tr>
      <w:tr>
        <w:tblPrEx>
          <w:shd w:val="clear" w:color="auto" w:fill="ced7e7"/>
        </w:tblPrEx>
        <w:trPr>
          <w:trHeight w:val="634" w:hRule="atLeast"/>
        </w:trPr>
        <w:tc>
          <w:tcPr>
            <w:tcW w:type="dxa" w:w="165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LFHF_3</w:t>
            </w:r>
          </w:p>
        </w:tc>
        <w:tc>
          <w:tcPr>
            <w:tcW w:type="dxa" w:w="107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4.72</w:t>
            </w:r>
          </w:p>
        </w:tc>
        <w:tc>
          <w:tcPr>
            <w:tcW w:type="dxa" w:w="138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3.86</w:t>
            </w:r>
          </w:p>
        </w:tc>
        <w:tc>
          <w:tcPr>
            <w:tcW w:type="dxa" w:w="118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456</w:t>
            </w:r>
          </w:p>
        </w:tc>
        <w:tc>
          <w:tcPr>
            <w:tcW w:type="dxa" w:w="113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79</w:t>
            </w:r>
          </w:p>
        </w:tc>
        <w:tc>
          <w:tcPr>
            <w:tcW w:type="dxa" w:w="105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3.49</w:t>
            </w:r>
          </w:p>
        </w:tc>
        <w:tc>
          <w:tcPr>
            <w:tcW w:type="dxa" w:w="116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3.19</w:t>
            </w:r>
          </w:p>
        </w:tc>
        <w:tc>
          <w:tcPr>
            <w:tcW w:type="dxa" w:w="69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0.04</w:t>
            </w:r>
          </w:p>
        </w:tc>
      </w:tr>
      <w:tr>
        <w:tblPrEx>
          <w:shd w:val="clear" w:color="auto" w:fill="ced7e7"/>
        </w:tblPrEx>
        <w:trPr>
          <w:trHeight w:val="634" w:hRule="atLeast"/>
        </w:trPr>
        <w:tc>
          <w:tcPr>
            <w:tcW w:type="dxa" w:w="165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LFHF_4</w:t>
            </w:r>
          </w:p>
        </w:tc>
        <w:tc>
          <w:tcPr>
            <w:tcW w:type="dxa" w:w="107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4.78</w:t>
            </w:r>
          </w:p>
        </w:tc>
        <w:tc>
          <w:tcPr>
            <w:tcW w:type="dxa" w:w="138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5.09</w:t>
            </w:r>
          </w:p>
        </w:tc>
        <w:tc>
          <w:tcPr>
            <w:tcW w:type="dxa" w:w="118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440</w:t>
            </w:r>
          </w:p>
        </w:tc>
        <w:tc>
          <w:tcPr>
            <w:tcW w:type="dxa" w:w="113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82</w:t>
            </w:r>
          </w:p>
        </w:tc>
        <w:tc>
          <w:tcPr>
            <w:tcW w:type="dxa" w:w="105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3.54</w:t>
            </w:r>
          </w:p>
        </w:tc>
        <w:tc>
          <w:tcPr>
            <w:tcW w:type="dxa" w:w="116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3.60</w:t>
            </w:r>
          </w:p>
        </w:tc>
        <w:tc>
          <w:tcPr>
            <w:tcW w:type="dxa" w:w="69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0.46</w:t>
            </w:r>
          </w:p>
        </w:tc>
      </w:tr>
      <w:tr>
        <w:tblPrEx>
          <w:shd w:val="clear" w:color="auto" w:fill="ced7e7"/>
        </w:tblPrEx>
        <w:trPr>
          <w:trHeight w:val="634" w:hRule="atLeast"/>
        </w:trPr>
        <w:tc>
          <w:tcPr>
            <w:tcW w:type="dxa" w:w="1654"/>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LFHF_5</w:t>
            </w:r>
          </w:p>
        </w:tc>
        <w:tc>
          <w:tcPr>
            <w:tcW w:type="dxa" w:w="1073"/>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4.98</w:t>
            </w:r>
          </w:p>
        </w:tc>
        <w:tc>
          <w:tcPr>
            <w:tcW w:type="dxa" w:w="138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5.02</w:t>
            </w:r>
          </w:p>
        </w:tc>
        <w:tc>
          <w:tcPr>
            <w:tcW w:type="dxa" w:w="118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445</w:t>
            </w:r>
          </w:p>
        </w:tc>
        <w:tc>
          <w:tcPr>
            <w:tcW w:type="dxa" w:w="113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66</w:t>
            </w:r>
          </w:p>
        </w:tc>
        <w:tc>
          <w:tcPr>
            <w:tcW w:type="dxa" w:w="1050"/>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3.52</w:t>
            </w:r>
          </w:p>
        </w:tc>
        <w:tc>
          <w:tcPr>
            <w:tcW w:type="dxa" w:w="1166"/>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3.74</w:t>
            </w:r>
          </w:p>
        </w:tc>
        <w:tc>
          <w:tcPr>
            <w:tcW w:type="dxa" w:w="697"/>
            <w:tcBorders>
              <w:top w:val="single" w:color="dddddd" w:sz="8" w:space="0" w:shadow="0" w:frame="0"/>
              <w:left w:val="single" w:color="ffffff" w:sz="8" w:space="0" w:shadow="0" w:frame="0"/>
              <w:bottom w:val="single" w:color="dddddd" w:sz="8" w:space="0" w:shadow="0" w:frame="0"/>
              <w:right w:val="single" w:color="ffffff" w:sz="8" w:space="0" w:shadow="0" w:frame="0"/>
            </w:tcBorders>
            <w:shd w:val="clear" w:color="auto" w:fill="ced7e7"/>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0.94</w:t>
            </w:r>
          </w:p>
        </w:tc>
      </w:tr>
      <w:tr>
        <w:tblPrEx>
          <w:shd w:val="clear" w:color="auto" w:fill="ced7e7"/>
        </w:tblPrEx>
        <w:trPr>
          <w:trHeight w:val="634" w:hRule="atLeast"/>
        </w:trPr>
        <w:tc>
          <w:tcPr>
            <w:tcW w:type="dxa" w:w="1654"/>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60"/>
              <w:left w:type="dxa" w:w="5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lef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LFHF_6</w:t>
            </w:r>
          </w:p>
        </w:tc>
        <w:tc>
          <w:tcPr>
            <w:tcW w:type="dxa" w:w="1073"/>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4.80</w:t>
            </w:r>
          </w:p>
        </w:tc>
        <w:tc>
          <w:tcPr>
            <w:tcW w:type="dxa" w:w="1386"/>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5.14</w:t>
            </w:r>
          </w:p>
        </w:tc>
        <w:tc>
          <w:tcPr>
            <w:tcW w:type="dxa" w:w="1180"/>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444</w:t>
            </w:r>
          </w:p>
        </w:tc>
        <w:tc>
          <w:tcPr>
            <w:tcW w:type="dxa" w:w="1130"/>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71</w:t>
            </w:r>
          </w:p>
        </w:tc>
        <w:tc>
          <w:tcPr>
            <w:tcW w:type="dxa" w:w="1050"/>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3.43</w:t>
            </w:r>
          </w:p>
        </w:tc>
        <w:tc>
          <w:tcPr>
            <w:tcW w:type="dxa" w:w="1166"/>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3.35</w:t>
            </w:r>
          </w:p>
        </w:tc>
        <w:tc>
          <w:tcPr>
            <w:tcW w:type="dxa" w:w="697"/>
            <w:tcBorders>
              <w:top w:val="single" w:color="dddddd"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160"/>
              <w:left w:type="dxa" w:w="160"/>
              <w:bottom w:type="dxa" w:w="160"/>
              <w:right w:type="dxa" w:w="160"/>
            </w:tcMar>
            <w:vAlign w:val="top"/>
          </w:tcPr>
          <w:p>
            <w:pPr>
              <w:keepNext w:val="0"/>
              <w:keepLines w:val="0"/>
              <w:pageBreakBefore w:val="0"/>
              <w:widowControl w:val="1"/>
              <w:shd w:val="clear" w:color="auto" w:fill="auto"/>
              <w:suppressAutoHyphens w:val="1"/>
              <w:bidi w:val="0"/>
              <w:spacing w:before="0" w:after="0" w:line="380" w:lineRule="atLeast"/>
              <w:ind w:left="0" w:right="0" w:firstLine="0"/>
              <w:jc w:val="right"/>
              <w:outlineLvl w:val="0"/>
              <w:rPr>
                <w:rtl w:val="0"/>
              </w:rPr>
            </w:pPr>
            <w:r>
              <w:rPr>
                <w:rFonts w:ascii="Helvetica Neue" w:cs="Arial Unicode MS" w:hAnsi="Helvetica Neue" w:eastAsia="Arial Unicode MS"/>
                <w:b w:val="0"/>
                <w:bCs w:val="0"/>
                <w:i w:val="0"/>
                <w:iCs w:val="0"/>
                <w:caps w:val="0"/>
                <w:smallCaps w:val="0"/>
                <w:strike w:val="0"/>
                <w:dstrike w:val="0"/>
                <w:outline w:val="0"/>
                <w:color w:val="333333"/>
                <w:spacing w:val="0"/>
                <w:kern w:val="0"/>
                <w:position w:val="0"/>
                <w:sz w:val="20"/>
                <w:szCs w:val="20"/>
                <w:u w:val="none"/>
                <w:vertAlign w:val="baseline"/>
                <w:rtl w:val="0"/>
              </w:rPr>
              <w:t>0.44</w:t>
            </w:r>
          </w:p>
        </w:tc>
      </w:tr>
    </w:tbl>
    <w:p>
      <w:pPr>
        <w:pStyle w:val="Default"/>
        <w:bidi w:val="0"/>
        <w:spacing w:line="380" w:lineRule="atLeast"/>
        <w:ind w:left="0" w:right="0" w:firstLine="0"/>
        <w:jc w:val="right"/>
        <w:rPr>
          <w:color w:val="333333"/>
          <w:sz w:val="28"/>
          <w:szCs w:val="28"/>
          <w:rtl w:val="0"/>
        </w:rPr>
      </w:pPr>
    </w:p>
    <w:p>
      <w:pPr>
        <w:pStyle w:val="Captioned Figure"/>
      </w:pPr>
      <w:r>
        <w:drawing>
          <wp:inline distT="0" distB="0" distL="0" distR="0">
            <wp:extent cx="5334000" cy="5334000"/>
            <wp:effectExtent l="0" t="0" r="0" b="0"/>
            <wp:docPr id="1073741828" name="officeArt object" descr="Figure 4 Between-Groups Permutation t-test of Frequency Domain Features: a) Heart Rate Features; b) High Frequency Features; c) Low Frequency Features d) Low Frequency-High Frequency Ratio Features"/>
            <wp:cNvGraphicFramePr/>
            <a:graphic xmlns:a="http://schemas.openxmlformats.org/drawingml/2006/main">
              <a:graphicData uri="http://schemas.openxmlformats.org/drawingml/2006/picture">
                <pic:pic xmlns:pic="http://schemas.openxmlformats.org/drawingml/2006/picture">
                  <pic:nvPicPr>
                    <pic:cNvPr id="1073741828" name="Figure 4 Between-Groups Permutation t-test of Frequency Domain Features: a) Heart Rate Features; b) High Frequency Features; c) Low Frequency Features d) Low Frequency-High Frequency Ratio Features" descr="Figure 4 Between-Groups Permutation t-test of Frequency Domain Features: a) Heart Rate Features; b) High Frequency Features; c) Low Frequency Features d) Low Frequency-High Frequency Ratio Features"/>
                    <pic:cNvPicPr>
                      <a:picLocks noChangeAspect="1"/>
                    </pic:cNvPicPr>
                  </pic:nvPicPr>
                  <pic:blipFill>
                    <a:blip r:embed="rId7">
                      <a:extLst/>
                    </a:blip>
                    <a:stretch>
                      <a:fillRect/>
                    </a:stretch>
                  </pic:blipFill>
                  <pic:spPr>
                    <a:xfrm>
                      <a:off x="0" y="0"/>
                      <a:ext cx="5334000" cy="5334000"/>
                    </a:xfrm>
                    <a:prstGeom prst="rect">
                      <a:avLst/>
                    </a:prstGeom>
                    <a:ln w="12700" cap="flat">
                      <a:noFill/>
                      <a:miter lim="400000"/>
                    </a:ln>
                    <a:effectLst/>
                  </pic:spPr>
                </pic:pic>
              </a:graphicData>
            </a:graphic>
          </wp:inline>
        </w:drawing>
      </w:r>
    </w:p>
    <w:p>
      <w:pPr>
        <w:pStyle w:val="Image Caption"/>
      </w:pPr>
      <w:r>
        <w:rPr>
          <w:rtl w:val="0"/>
        </w:rPr>
        <w:t xml:space="preserve">Figure 4 Between-Groups Permutation </w:t>
      </w:r>
      <w:r>
        <w:rPr>
          <w:rtl w:val="0"/>
          <w:lang w:val="en-US"/>
        </w:rPr>
        <w:t>t</w:t>
      </w:r>
      <w:r>
        <w:rPr>
          <w:rtl w:val="0"/>
        </w:rPr>
        <w:t>-test of Frequency Domain Features: a) Heart Rate Features; b) High Frequency Features; c) Low Frequency Features d) Low Frequency-High Frequency Ratio Features</w:t>
      </w:r>
    </w:p>
    <w:p>
      <w:pPr>
        <w:pStyle w:val="Heading 2"/>
      </w:pPr>
      <w:bookmarkStart w:name="machinelearning" w:id="4"/>
      <w:r>
        <w:rPr>
          <w:rFonts w:cs="Arial Unicode MS" w:eastAsia="Arial Unicode MS"/>
          <w:rtl w:val="0"/>
          <w:lang w:val="en-US"/>
        </w:rPr>
        <w:t>Machine Learning</w:t>
      </w:r>
      <w:bookmarkEnd w:id="4"/>
    </w:p>
    <w:p>
      <w:pPr>
        <w:pStyle w:val="First Paragraph"/>
      </w:pPr>
      <w:r>
        <w:rPr>
          <w:rtl w:val="0"/>
        </w:rPr>
        <w:t>Machine learning models were implemented using time domain and frequency domain features separately. In order to run machine learning prediction of emotional eating episodes, observations with complete data for all features in the time or frequency domain were used, data within each participant were scaled and centered, and observations were randomly upsampled (from episodes) or downsampled (from controls) to balance the number of observations and controls. This resulted in 126 training observations, and 32 test observations in the time domain models, with 95 training observations, and 24 test observations in the frequency domain models. SVM models were fit iteratively using 3/4</w:t>
      </w:r>
      <w:r>
        <w:rPr>
          <w:rtl w:val="0"/>
        </w:rPr>
        <w:t>’</w:t>
      </w:r>
      <w:r>
        <w:rPr>
          <w:rtl w:val="0"/>
        </w:rPr>
        <w:t>s of the data, and evaluated on the remaining 1/4. Figure 5 show the mean accuracy, sensitivity, and specificity of the SVM across these four folds.</w:t>
      </w:r>
    </w:p>
    <w:p>
      <w:pPr>
        <w:pStyle w:val="Captioned Figure"/>
      </w:pPr>
      <w:r>
        <w:drawing>
          <wp:inline distT="0" distB="0" distL="0" distR="0">
            <wp:extent cx="5334000" cy="5334000"/>
            <wp:effectExtent l="0" t="0" r="0" b="0"/>
            <wp:docPr id="1073741829" name="officeArt object" descr="Figure 5 Machine Learning Evaluation Metrics"/>
            <wp:cNvGraphicFramePr/>
            <a:graphic xmlns:a="http://schemas.openxmlformats.org/drawingml/2006/main">
              <a:graphicData uri="http://schemas.openxmlformats.org/drawingml/2006/picture">
                <pic:pic xmlns:pic="http://schemas.openxmlformats.org/drawingml/2006/picture">
                  <pic:nvPicPr>
                    <pic:cNvPr id="1073741829" name="Figure 5 Machine Learning Evaluation Metrics" descr="Figure 5 Machine Learning Evaluation Metrics"/>
                    <pic:cNvPicPr>
                      <a:picLocks noChangeAspect="1"/>
                    </pic:cNvPicPr>
                  </pic:nvPicPr>
                  <pic:blipFill>
                    <a:blip r:embed="rId8">
                      <a:extLst/>
                    </a:blip>
                    <a:stretch>
                      <a:fillRect/>
                    </a:stretch>
                  </pic:blipFill>
                  <pic:spPr>
                    <a:xfrm>
                      <a:off x="0" y="0"/>
                      <a:ext cx="5334000" cy="5334000"/>
                    </a:xfrm>
                    <a:prstGeom prst="rect">
                      <a:avLst/>
                    </a:prstGeom>
                    <a:ln w="12700" cap="flat">
                      <a:noFill/>
                      <a:miter lim="400000"/>
                    </a:ln>
                    <a:effectLst/>
                  </pic:spPr>
                </pic:pic>
              </a:graphicData>
            </a:graphic>
          </wp:inline>
        </w:drawing>
      </w:r>
    </w:p>
    <w:p>
      <w:pPr>
        <w:pStyle w:val="Image Caption"/>
      </w:pPr>
      <w:r>
        <w:rPr>
          <w:rtl w:val="0"/>
        </w:rPr>
        <w:t>Figure 5 Machine Learning Evaluation Metrics</w:t>
      </w:r>
    </w:p>
    <w:p>
      <w:pPr>
        <w:pStyle w:val="Body Text"/>
      </w:pPr>
      <w:r>
        <w:rPr>
          <w:rtl w:val="0"/>
        </w:rPr>
        <w:t>To interpret the feature importance in each of these models, ROC curve analysis was conducted on each feature on the model as recommended by Khun Jed Wing et al. (2018). This approach provides a scale-invariant metric that illustrates the impact of a feature on the prediction based on the Area Under the Curve (AUC) of the ROC of a classifier with only the single feature. Figures 6 and 7 show the results of this analysis.</w:t>
      </w:r>
    </w:p>
    <w:p>
      <w:pPr>
        <w:pStyle w:val="Captioned Figure"/>
      </w:pPr>
      <w:r>
        <w:drawing>
          <wp:inline distT="0" distB="0" distL="0" distR="0">
            <wp:extent cx="5334000" cy="5334000"/>
            <wp:effectExtent l="0" t="0" r="0" b="0"/>
            <wp:docPr id="1073741830" name="officeArt object" descr="Figure 6 Feature Importance of Features in the Time Domain"/>
            <wp:cNvGraphicFramePr/>
            <a:graphic xmlns:a="http://schemas.openxmlformats.org/drawingml/2006/main">
              <a:graphicData uri="http://schemas.openxmlformats.org/drawingml/2006/picture">
                <pic:pic xmlns:pic="http://schemas.openxmlformats.org/drawingml/2006/picture">
                  <pic:nvPicPr>
                    <pic:cNvPr id="1073741830" name="Figure 6 Feature Importance of Features in the Time Domain" descr="Figure 6 Feature Importance of Features in the Time Domain"/>
                    <pic:cNvPicPr>
                      <a:picLocks noChangeAspect="1"/>
                    </pic:cNvPicPr>
                  </pic:nvPicPr>
                  <pic:blipFill>
                    <a:blip r:embed="rId9">
                      <a:extLst/>
                    </a:blip>
                    <a:stretch>
                      <a:fillRect/>
                    </a:stretch>
                  </pic:blipFill>
                  <pic:spPr>
                    <a:xfrm>
                      <a:off x="0" y="0"/>
                      <a:ext cx="5334000" cy="5334000"/>
                    </a:xfrm>
                    <a:prstGeom prst="rect">
                      <a:avLst/>
                    </a:prstGeom>
                    <a:ln w="12700" cap="flat">
                      <a:noFill/>
                      <a:miter lim="400000"/>
                    </a:ln>
                    <a:effectLst/>
                  </pic:spPr>
                </pic:pic>
              </a:graphicData>
            </a:graphic>
          </wp:inline>
        </w:drawing>
      </w:r>
    </w:p>
    <w:p>
      <w:pPr>
        <w:pStyle w:val="Image Caption"/>
      </w:pPr>
      <w:r>
        <w:rPr>
          <w:rtl w:val="0"/>
        </w:rPr>
        <w:t>Figure 6 Feature Importance of Features in the Time Domain</w:t>
      </w:r>
    </w:p>
    <w:p>
      <w:pPr>
        <w:pStyle w:val="Captioned Figure"/>
      </w:pPr>
      <w:r>
        <w:drawing>
          <wp:inline distT="0" distB="0" distL="0" distR="0">
            <wp:extent cx="5334000" cy="5334000"/>
            <wp:effectExtent l="0" t="0" r="0" b="0"/>
            <wp:docPr id="1073741831" name="officeArt object" descr="Figure 7 Feature Importance of Features in the Frequency Domain"/>
            <wp:cNvGraphicFramePr/>
            <a:graphic xmlns:a="http://schemas.openxmlformats.org/drawingml/2006/main">
              <a:graphicData uri="http://schemas.openxmlformats.org/drawingml/2006/picture">
                <pic:pic xmlns:pic="http://schemas.openxmlformats.org/drawingml/2006/picture">
                  <pic:nvPicPr>
                    <pic:cNvPr id="1073741831" name="Figure 7 Feature Importance of Features in the Frequency Domain" descr="Figure 7 Feature Importance of Features in the Frequency Domain"/>
                    <pic:cNvPicPr>
                      <a:picLocks noChangeAspect="1"/>
                    </pic:cNvPicPr>
                  </pic:nvPicPr>
                  <pic:blipFill>
                    <a:blip r:embed="rId10">
                      <a:extLst/>
                    </a:blip>
                    <a:stretch>
                      <a:fillRect/>
                    </a:stretch>
                  </pic:blipFill>
                  <pic:spPr>
                    <a:xfrm>
                      <a:off x="0" y="0"/>
                      <a:ext cx="5334000" cy="5334000"/>
                    </a:xfrm>
                    <a:prstGeom prst="rect">
                      <a:avLst/>
                    </a:prstGeom>
                    <a:ln w="12700" cap="flat">
                      <a:noFill/>
                      <a:miter lim="400000"/>
                    </a:ln>
                    <a:effectLst/>
                  </pic:spPr>
                </pic:pic>
              </a:graphicData>
            </a:graphic>
          </wp:inline>
        </w:drawing>
      </w:r>
    </w:p>
    <w:p>
      <w:pPr>
        <w:pStyle w:val="Image Caption"/>
      </w:pPr>
      <w:r>
        <w:rPr>
          <w:rtl w:val="0"/>
        </w:rPr>
        <w:t>Figure 7 Feature Importance of Features in the Frequency Domain</w:t>
      </w:r>
    </w:p>
    <w:p>
      <w:pPr>
        <w:pStyle w:val="Heading"/>
      </w:pPr>
      <w:bookmarkStart w:name="discussion" w:id="5"/>
      <w:r>
        <w:rPr>
          <w:rFonts w:cs="Arial Unicode MS" w:eastAsia="Arial Unicode MS"/>
          <w:rtl w:val="0"/>
          <w:lang w:val="en-US"/>
        </w:rPr>
        <w:t>Discussion</w:t>
      </w:r>
      <w:bookmarkEnd w:id="5"/>
    </w:p>
    <w:p>
      <w:pPr>
        <w:pStyle w:val="First Paragraph"/>
      </w:pPr>
      <w:r>
        <w:rPr>
          <w:rtl w:val="0"/>
        </w:rPr>
        <w:t xml:space="preserve">A major hurdle to producing interpretable results is the sanity of data obtained from the devices. Despite best efforts, figures 1 and 2 illustrate how sparse the data can be and how this affects its overall usefulness in running analyses.The causes for this data sparsity are unclear, and could include reasons such as improper usage or low signal while recording data. The result of this challenge is that derived features are incalculable; for example, time domain feature calculations are strongly dependent on a sliding window that must have within it at least some number of consecutive heart beats, or completeness and consecutiveness of </w:t>
      </w:r>
      <w:r>
        <w:rPr>
          <w:i w:val="1"/>
          <w:iCs w:val="1"/>
          <w:rtl w:val="0"/>
          <w:lang w:val="en-US"/>
        </w:rPr>
        <w:t>SDNN</w:t>
      </w:r>
      <w:r>
        <w:rPr>
          <w:rtl w:val="0"/>
        </w:rPr>
        <w:t>; frequency domain variables are dependent on Fourier transforms which are sensitive to small and variations in wave frequencies. Nevertheless, by following proper data sanity checks and procedures provided in analyses packages and in the literature, it</w:t>
      </w:r>
      <w:r>
        <w:rPr>
          <w:rtl w:val="0"/>
        </w:rPr>
        <w:t>’</w:t>
      </w:r>
      <w:r>
        <w:rPr>
          <w:rtl w:val="0"/>
        </w:rPr>
        <w:t>s still possible to extract useful information from these data.</w:t>
      </w:r>
    </w:p>
    <w:p>
      <w:pPr>
        <w:pStyle w:val="Body Text"/>
        <w:rPr>
          <w:color w:val="000000"/>
          <w:sz w:val="24"/>
        </w:rPr>
      </w:pPr>
      <w:r>
        <w:rPr>
          <w:rtl w:val="0"/>
        </w:rPr>
        <w:t>Although no features in the time domain were significantly different between episode and control observations when tested, it</w:t>
      </w:r>
      <w:r>
        <w:rPr>
          <w:rtl w:val="0"/>
        </w:rPr>
        <w:t>’</w:t>
      </w:r>
      <w:r>
        <w:rPr>
          <w:rtl w:val="0"/>
        </w:rPr>
        <w:t xml:space="preserve">s worth mentioning that the machine learning model was still able to achieve decent classification accuracy, sensitivity, and specificity using these features. The most impactful features in this model were </w:t>
      </w:r>
      <w:r>
        <w:rPr>
          <w:i w:val="1"/>
          <w:iCs w:val="1"/>
          <w:rtl w:val="0"/>
          <w:lang w:val="en-US"/>
        </w:rPr>
        <w:t>rMSSD</w:t>
      </w:r>
      <w:r>
        <w:rPr>
          <w:rtl w:val="0"/>
        </w:rPr>
        <w:t xml:space="preserve"> (Root Mean Square of Successive Differences); </w:t>
      </w:r>
      <w:r>
        <w:rPr>
          <w:i w:val="1"/>
          <w:iCs w:val="1"/>
          <w:rtl w:val="0"/>
          <w:lang w:val="en-US"/>
        </w:rPr>
        <w:t>SDSD</w:t>
      </w:r>
      <w:r>
        <w:rPr>
          <w:rtl w:val="0"/>
        </w:rPr>
        <w:t xml:space="preserve"> (Standard Deviation of Successive Differences of inter-beat intervals); and </w:t>
      </w:r>
      <w:r>
        <w:rPr>
          <w:i w:val="1"/>
          <w:iCs w:val="1"/>
          <w:rtl w:val="0"/>
          <w:lang w:val="en-US"/>
        </w:rPr>
        <w:t>MADRR</w:t>
      </w:r>
      <w:r>
        <w:rPr>
          <w:rtl w:val="0"/>
        </w:rPr>
        <w:t xml:space="preserve"> (Median of the Absolute values of the successive Differences between the inter-beat intervals). However, the frequency domain achieved superior classification accuracy in comparison to the time domain, with mean accuracy of 88%, sensitivity of 86%, and specificity of 90%. For this model, the greatest variable importance was for </w:t>
      </w:r>
      <m:oMath>
        <m:r>
          <w:rPr xmlns:w="http://schemas.openxmlformats.org/wordprocessingml/2006/main">
            <w:rFonts w:ascii="Cambria Math" w:hAnsi="Cambria Math"/>
            <w:i/>
            <w:color w:val="000000"/>
            <w:sz w:val="24"/>
            <w:szCs w:val="24"/>
          </w:rPr>
          <m:t>H</m:t>
        </m:r>
        <m:sSub>
          <m:e>
            <m:r>
              <w:rPr xmlns:w="http://schemas.openxmlformats.org/wordprocessingml/2006/main">
                <w:rFonts w:ascii="Cambria Math" w:hAnsi="Cambria Math"/>
                <w:i/>
                <w:color w:val="000000"/>
                <w:sz w:val="24"/>
                <w:szCs w:val="24"/>
              </w:rPr>
              <m:t>F</m:t>
            </m:r>
          </m:e>
          <m:sub>
            <m:r>
              <w:rPr xmlns:w="http://schemas.openxmlformats.org/wordprocessingml/2006/main">
                <w:rFonts w:ascii="Cambria Math" w:hAnsi="Cambria Math"/>
                <w:i/>
                <w:color w:val="000000"/>
                <w:sz w:val="24"/>
                <w:szCs w:val="24"/>
              </w:rPr>
              <m:t>1</m:t>
            </m:r>
          </m:sub>
        </m:sSub>
      </m:oMath>
      <w:r>
        <w:rPr>
          <w:rtl w:val="0"/>
        </w:rPr>
        <w:t xml:space="preserve">, </w:t>
      </w:r>
      <m:oMath>
        <m:r>
          <w:rPr xmlns:w="http://schemas.openxmlformats.org/wordprocessingml/2006/main">
            <w:rFonts w:ascii="Cambria Math" w:hAnsi="Cambria Math"/>
            <w:i/>
            <w:color w:val="000000"/>
            <w:sz w:val="24"/>
            <w:szCs w:val="24"/>
          </w:rPr>
          <m:t>L</m:t>
        </m:r>
        <m:sSub>
          <m:e>
            <m:r>
              <w:rPr xmlns:w="http://schemas.openxmlformats.org/wordprocessingml/2006/main">
                <w:rFonts w:ascii="Cambria Math" w:hAnsi="Cambria Math"/>
                <w:i/>
                <w:color w:val="000000"/>
                <w:sz w:val="24"/>
                <w:szCs w:val="24"/>
              </w:rPr>
              <m:t>F</m:t>
            </m:r>
          </m:e>
          <m:sub>
            <m:r>
              <w:rPr xmlns:w="http://schemas.openxmlformats.org/wordprocessingml/2006/main">
                <w:rFonts w:ascii="Cambria Math" w:hAnsi="Cambria Math"/>
                <w:i/>
                <w:color w:val="000000"/>
                <w:sz w:val="24"/>
                <w:szCs w:val="24"/>
              </w:rPr>
              <m:t>5</m:t>
            </m:r>
          </m:sub>
        </m:sSub>
      </m:oMath>
      <w:r>
        <w:rPr>
          <w:rtl w:val="0"/>
        </w:rPr>
        <w:t xml:space="preserve">, </w:t>
      </w:r>
      <m:oMath>
        <m:r>
          <w:rPr xmlns:w="http://schemas.openxmlformats.org/wordprocessingml/2006/main">
            <w:rFonts w:ascii="Cambria Math" w:hAnsi="Cambria Math"/>
            <w:i/>
            <w:color w:val="000000"/>
            <w:sz w:val="24"/>
            <w:szCs w:val="24"/>
          </w:rPr>
          <m:t>L</m:t>
        </m:r>
        <m:sSub>
          <m:e>
            <m:r>
              <w:rPr xmlns:w="http://schemas.openxmlformats.org/wordprocessingml/2006/main">
                <w:rFonts w:ascii="Cambria Math" w:hAnsi="Cambria Math"/>
                <w:i/>
                <w:color w:val="000000"/>
                <w:sz w:val="24"/>
                <w:szCs w:val="24"/>
              </w:rPr>
              <m:t>F</m:t>
            </m:r>
          </m:e>
          <m:sub>
            <m:r>
              <w:rPr xmlns:w="http://schemas.openxmlformats.org/wordprocessingml/2006/main">
                <w:rFonts w:ascii="Cambria Math" w:hAnsi="Cambria Math"/>
                <w:i/>
                <w:color w:val="000000"/>
                <w:sz w:val="24"/>
                <w:szCs w:val="24"/>
              </w:rPr>
              <m:t>6</m:t>
            </m:r>
          </m:sub>
        </m:sSub>
      </m:oMath>
      <w:r>
        <w:rPr>
          <w:rtl w:val="0"/>
        </w:rPr>
        <w:t xml:space="preserve">, </w:t>
      </w:r>
      <m:oMath>
        <m:r>
          <w:rPr xmlns:w="http://schemas.openxmlformats.org/wordprocessingml/2006/main">
            <w:rFonts w:ascii="Cambria Math" w:hAnsi="Cambria Math"/>
            <w:i/>
            <w:color w:val="000000"/>
            <w:sz w:val="24"/>
            <w:szCs w:val="24"/>
          </w:rPr>
          <m:t>L</m:t>
        </m:r>
        <m:sSub>
          <m:e>
            <m:r>
              <w:rPr xmlns:w="http://schemas.openxmlformats.org/wordprocessingml/2006/main">
                <w:rFonts w:ascii="Cambria Math" w:hAnsi="Cambria Math"/>
                <w:i/>
                <w:color w:val="000000"/>
                <w:sz w:val="24"/>
                <w:szCs w:val="24"/>
              </w:rPr>
              <m:t>F</m:t>
            </m:r>
          </m:e>
          <m:sub>
            <m:r>
              <w:rPr xmlns:w="http://schemas.openxmlformats.org/wordprocessingml/2006/main">
                <w:rFonts w:ascii="Cambria Math" w:hAnsi="Cambria Math"/>
                <w:i/>
                <w:color w:val="000000"/>
                <w:sz w:val="24"/>
                <w:szCs w:val="24"/>
              </w:rPr>
              <m:t>1</m:t>
            </m:r>
          </m:sub>
        </m:sSub>
      </m:oMath>
      <w:r>
        <w:rPr>
          <w:rtl w:val="0"/>
        </w:rPr>
        <w:t xml:space="preserve">, and </w:t>
      </w:r>
      <m:oMath>
        <m:r>
          <w:rPr xmlns:w="http://schemas.openxmlformats.org/wordprocessingml/2006/main">
            <w:rFonts w:ascii="Cambria Math" w:hAnsi="Cambria Math"/>
            <w:i/>
            <w:color w:val="000000"/>
            <w:sz w:val="24"/>
            <w:szCs w:val="24"/>
          </w:rPr>
          <m:t>L</m:t>
        </m:r>
        <m:sSub>
          <m:e>
            <m:r>
              <w:rPr xmlns:w="http://schemas.openxmlformats.org/wordprocessingml/2006/main">
                <w:rFonts w:ascii="Cambria Math" w:hAnsi="Cambria Math"/>
                <w:i/>
                <w:color w:val="000000"/>
                <w:sz w:val="24"/>
                <w:szCs w:val="24"/>
              </w:rPr>
              <m:t>F</m:t>
            </m:r>
          </m:e>
          <m:sub>
            <m:r>
              <w:rPr xmlns:w="http://schemas.openxmlformats.org/wordprocessingml/2006/main">
                <w:rFonts w:ascii="Cambria Math" w:hAnsi="Cambria Math"/>
                <w:i/>
                <w:color w:val="000000"/>
                <w:sz w:val="24"/>
                <w:szCs w:val="24"/>
              </w:rPr>
              <m:t>2</m:t>
            </m:r>
          </m:sub>
        </m:sSub>
      </m:oMath>
      <w:r>
        <w:rPr>
          <w:rtl w:val="0"/>
        </w:rPr>
        <w:t>. This may reflect a tendency of heart rate to change most noticeably in the low frequency power band, in the moments leading up to an eating episode.</w:t>
      </w:r>
    </w:p>
    <w:p>
      <w:pPr>
        <w:pStyle w:val="Body"/>
      </w:pPr>
      <w:r>
        <mc:AlternateContent>
          <mc:Choice Requires="wps">
            <w:drawing>
              <wp:inline distT="0" distB="0" distL="0" distR="0">
                <wp:extent cx="5943600" cy="19050"/>
                <wp:effectExtent l="0" t="0" r="0" b="0"/>
                <wp:docPr id="1073741832"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26"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Bibliography"/>
      </w:pPr>
      <w:bookmarkStart w:name="X9d7ba5021a96c5b35ddac34115d17214c3d79c1" w:id="6"/>
      <w:r>
        <w:rPr>
          <w:rFonts w:cs="Arial Unicode MS" w:eastAsia="Arial Unicode MS"/>
          <w:rtl w:val="0"/>
        </w:rPr>
        <w:t>F</w:t>
      </w:r>
      <w:bookmarkEnd w:id="6"/>
      <w:bookmarkStart w:name="refs" w:id="7"/>
      <w:r>
        <w:rPr>
          <w:rFonts w:cs="Arial Unicode MS" w:eastAsia="Arial Unicode MS"/>
          <w:rtl w:val="0"/>
        </w:rPr>
        <w:t xml:space="preserve">riesen, C. A., Z. Lin, J. V. Schurman, L. Andre, and R. W. Mc Callum. 2007. </w:t>
      </w:r>
      <w:r>
        <w:rPr>
          <w:rFonts w:cs="Arial Unicode MS" w:eastAsia="Arial Unicode MS" w:hint="default"/>
          <w:rtl w:val="0"/>
        </w:rPr>
        <w:t>“</w:t>
      </w:r>
      <w:r>
        <w:rPr>
          <w:rFonts w:cs="Arial Unicode MS" w:eastAsia="Arial Unicode MS"/>
          <w:rtl w:val="0"/>
        </w:rPr>
        <w:t>Autonomic Nervous System Response to a Solid Meal and Water Loading in Healthy Children: Its Relation to Gastric Myoelectrical Activity.</w:t>
      </w:r>
      <w:r>
        <w:rPr>
          <w:rFonts w:cs="Arial Unicode MS" w:eastAsia="Arial Unicode MS" w:hint="default"/>
          <w:rtl w:val="0"/>
        </w:rPr>
        <w:t xml:space="preserve">” </w:t>
      </w:r>
      <w:r>
        <w:rPr>
          <w:rFonts w:cs="Arial Unicode MS" w:eastAsia="Arial Unicode MS"/>
          <w:i w:val="1"/>
          <w:iCs w:val="1"/>
          <w:rtl w:val="0"/>
          <w:lang w:val="en-US"/>
        </w:rPr>
        <w:t>Neurogastroenterology &amp; Motility</w:t>
      </w:r>
      <w:r>
        <w:rPr>
          <w:rFonts w:cs="Arial Unicode MS" w:eastAsia="Arial Unicode MS"/>
          <w:rtl w:val="0"/>
        </w:rPr>
        <w:t xml:space="preserve"> 19 (5): 376</w:t>
      </w:r>
      <w:r>
        <w:rPr>
          <w:rFonts w:cs="Arial Unicode MS" w:eastAsia="Arial Unicode MS" w:hint="default"/>
          <w:rtl w:val="0"/>
        </w:rPr>
        <w:t>–</w:t>
      </w:r>
      <w:r>
        <w:rPr>
          <w:rFonts w:cs="Arial Unicode MS" w:eastAsia="Arial Unicode MS"/>
          <w:rtl w:val="0"/>
        </w:rPr>
        <w:t xml:space="preserve">82. </w:t>
      </w:r>
      <w:r>
        <w:rPr>
          <w:rStyle w:val="Hyperlink.0"/>
        </w:rPr>
        <w:fldChar w:fldCharType="begin" w:fldLock="0"/>
      </w:r>
      <w:r>
        <w:rPr>
          <w:rStyle w:val="Hyperlink.0"/>
        </w:rPr>
        <w:instrText xml:space="preserve"> HYPERLINK "https://doi.org/10.1111/j.1365-2982.2007.00906.x"</w:instrText>
      </w:r>
      <w:r>
        <w:rPr>
          <w:rStyle w:val="Hyperlink.0"/>
        </w:rPr>
        <w:fldChar w:fldCharType="separate" w:fldLock="0"/>
      </w:r>
      <w:r>
        <w:rPr>
          <w:rStyle w:val="Hyperlink.0"/>
          <w:rFonts w:cs="Arial Unicode MS" w:eastAsia="Arial Unicode MS"/>
          <w:rtl w:val="0"/>
        </w:rPr>
        <w:t>https://doi.org/10.1111/j.1365-2982.2007.00906.x</w:t>
      </w:r>
      <w:r>
        <w:rPr/>
        <w:fldChar w:fldCharType="end" w:fldLock="0"/>
      </w:r>
      <w:r>
        <w:rPr>
          <w:rFonts w:cs="Arial Unicode MS" w:eastAsia="Arial Unicode MS"/>
          <w:rtl w:val="0"/>
        </w:rPr>
        <w:t>.</w:t>
      </w:r>
      <w:bookmarkEnd w:id="7"/>
    </w:p>
    <w:p>
      <w:pPr>
        <w:pStyle w:val="Bibliography"/>
      </w:pPr>
      <w:bookmarkStart w:name="refgood2013permutation" w:id="8"/>
      <w:r>
        <w:rPr>
          <w:rFonts w:cs="Arial Unicode MS" w:eastAsia="Arial Unicode MS"/>
          <w:rtl w:val="0"/>
        </w:rPr>
        <w:t xml:space="preserve">Good, Phillip. 2013. </w:t>
      </w:r>
      <w:r>
        <w:rPr>
          <w:rFonts w:cs="Arial Unicode MS" w:eastAsia="Arial Unicode MS"/>
          <w:i w:val="1"/>
          <w:iCs w:val="1"/>
          <w:rtl w:val="0"/>
          <w:lang w:val="en-US"/>
        </w:rPr>
        <w:t>Permutation Tests: A Practical Guide to Resampling Methods for Testing Hypotheses</w:t>
      </w:r>
      <w:r>
        <w:rPr>
          <w:rFonts w:cs="Arial Unicode MS" w:eastAsia="Arial Unicode MS"/>
          <w:rtl w:val="0"/>
        </w:rPr>
        <w:t>. Springer Science &amp; Business Media.</w:t>
      </w:r>
      <w:bookmarkEnd w:id="8"/>
    </w:p>
    <w:p>
      <w:pPr>
        <w:pStyle w:val="Bibliography"/>
      </w:pPr>
      <w:bookmarkStart w:name="refharthoorn_dransfield_2007" w:id="9"/>
      <w:r>
        <w:rPr>
          <w:rFonts w:cs="Arial Unicode MS" w:eastAsia="Arial Unicode MS"/>
          <w:rtl w:val="0"/>
        </w:rPr>
        <w:t xml:space="preserve">Harthoorn, Lucien F., and Eric Dransfield. 2007. </w:t>
      </w:r>
      <w:r>
        <w:rPr>
          <w:rFonts w:cs="Arial Unicode MS" w:eastAsia="Arial Unicode MS" w:hint="default"/>
          <w:rtl w:val="0"/>
        </w:rPr>
        <w:t>“</w:t>
      </w:r>
      <w:r>
        <w:rPr>
          <w:rFonts w:cs="Arial Unicode MS" w:eastAsia="Arial Unicode MS"/>
          <w:rtl w:val="0"/>
        </w:rPr>
        <w:t>Periprandial Changes of the Sympathetic</w:t>
      </w:r>
      <w:r>
        <w:rPr>
          <w:rFonts w:cs="Arial Unicode MS" w:eastAsia="Arial Unicode MS" w:hint="default"/>
          <w:rtl w:val="0"/>
        </w:rPr>
        <w:t>–</w:t>
      </w:r>
      <w:r>
        <w:rPr>
          <w:rFonts w:cs="Arial Unicode MS" w:eastAsia="Arial Unicode MS"/>
          <w:rtl w:val="0"/>
        </w:rPr>
        <w:t>Parasympathetic Balance Related to Perceived Satiety in Humans.</w:t>
      </w:r>
      <w:r>
        <w:rPr>
          <w:rFonts w:cs="Arial Unicode MS" w:eastAsia="Arial Unicode MS" w:hint="default"/>
          <w:rtl w:val="0"/>
        </w:rPr>
        <w:t xml:space="preserve">” </w:t>
      </w:r>
      <w:r>
        <w:rPr>
          <w:rFonts w:cs="Arial Unicode MS" w:eastAsia="Arial Unicode MS"/>
          <w:i w:val="1"/>
          <w:iCs w:val="1"/>
          <w:rtl w:val="0"/>
          <w:lang w:val="en-US"/>
        </w:rPr>
        <w:t>European Journal of Applied Physiology</w:t>
      </w:r>
      <w:r>
        <w:rPr>
          <w:rFonts w:cs="Arial Unicode MS" w:eastAsia="Arial Unicode MS"/>
          <w:rtl w:val="0"/>
        </w:rPr>
        <w:t xml:space="preserve"> 102 (5): 601</w:t>
      </w:r>
      <w:r>
        <w:rPr>
          <w:rFonts w:cs="Arial Unicode MS" w:eastAsia="Arial Unicode MS" w:hint="default"/>
          <w:rtl w:val="0"/>
        </w:rPr>
        <w:t>–</w:t>
      </w:r>
      <w:r>
        <w:rPr>
          <w:rFonts w:cs="Arial Unicode MS" w:eastAsia="Arial Unicode MS"/>
          <w:rtl w:val="0"/>
        </w:rPr>
        <w:t xml:space="preserve">8. </w:t>
      </w:r>
      <w:r>
        <w:rPr>
          <w:rStyle w:val="Hyperlink.0"/>
        </w:rPr>
        <w:fldChar w:fldCharType="begin" w:fldLock="0"/>
      </w:r>
      <w:r>
        <w:rPr>
          <w:rStyle w:val="Hyperlink.0"/>
        </w:rPr>
        <w:instrText xml:space="preserve"> HYPERLINK "https://doi.org/10.1007/s00421-007-0622-5"</w:instrText>
      </w:r>
      <w:r>
        <w:rPr>
          <w:rStyle w:val="Hyperlink.0"/>
        </w:rPr>
        <w:fldChar w:fldCharType="separate" w:fldLock="0"/>
      </w:r>
      <w:r>
        <w:rPr>
          <w:rStyle w:val="Hyperlink.0"/>
          <w:rFonts w:cs="Arial Unicode MS" w:eastAsia="Arial Unicode MS"/>
          <w:rtl w:val="0"/>
        </w:rPr>
        <w:t>https://doi.org/10.1007/s00421-007-0622-5</w:t>
      </w:r>
      <w:r>
        <w:rPr/>
        <w:fldChar w:fldCharType="end" w:fldLock="0"/>
      </w:r>
      <w:r>
        <w:rPr>
          <w:rFonts w:cs="Arial Unicode MS" w:eastAsia="Arial Unicode MS"/>
          <w:rtl w:val="0"/>
        </w:rPr>
        <w:t>.</w:t>
      </w:r>
      <w:bookmarkEnd w:id="9"/>
    </w:p>
    <w:p>
      <w:pPr>
        <w:pStyle w:val="Bibliography"/>
      </w:pPr>
      <w:bookmarkStart w:name="refRcaret" w:id="10"/>
      <w:r>
        <w:rPr>
          <w:rFonts w:cs="Arial Unicode MS" w:eastAsia="Arial Unicode MS"/>
          <w:rtl w:val="0"/>
        </w:rPr>
        <w:t xml:space="preserve">Jed Wing, Max Kuhn. Contributions from, Steve Weston, Andre Williams, Chris Keefer, Allan Engelhardt, Tony Cooper, Zachary Mayer, et al. 2018. </w:t>
      </w:r>
      <w:r>
        <w:rPr>
          <w:rFonts w:cs="Arial Unicode MS" w:eastAsia="Arial Unicode MS"/>
          <w:i w:val="1"/>
          <w:iCs w:val="1"/>
          <w:rtl w:val="0"/>
          <w:lang w:val="en-US"/>
        </w:rPr>
        <w:t>Caret: Classification and Regression Training</w:t>
      </w:r>
      <w:r>
        <w:rPr>
          <w:rFonts w:cs="Arial Unicode MS" w:eastAsia="Arial Unicode MS"/>
          <w:rtl w:val="0"/>
        </w:rPr>
        <w:t xml:space="preserve">. </w:t>
      </w:r>
      <w:r>
        <w:rPr>
          <w:rStyle w:val="Hyperlink.0"/>
        </w:rPr>
        <w:fldChar w:fldCharType="begin" w:fldLock="0"/>
      </w:r>
      <w:r>
        <w:rPr>
          <w:rStyle w:val="Hyperlink.0"/>
        </w:rPr>
        <w:instrText xml:space="preserve"> HYPERLINK "https://CRAN.R-project.org/package=caret"</w:instrText>
      </w:r>
      <w:r>
        <w:rPr>
          <w:rStyle w:val="Hyperlink.0"/>
        </w:rPr>
        <w:fldChar w:fldCharType="separate" w:fldLock="0"/>
      </w:r>
      <w:r>
        <w:rPr>
          <w:rStyle w:val="Hyperlink.0"/>
          <w:rFonts w:cs="Arial Unicode MS" w:eastAsia="Arial Unicode MS"/>
          <w:rtl w:val="0"/>
        </w:rPr>
        <w:t>https://CRAN.R-project.org/package=caret</w:t>
      </w:r>
      <w:r>
        <w:rPr/>
        <w:fldChar w:fldCharType="end" w:fldLock="0"/>
      </w:r>
      <w:r>
        <w:rPr>
          <w:rFonts w:cs="Arial Unicode MS" w:eastAsia="Arial Unicode MS"/>
          <w:rtl w:val="0"/>
        </w:rPr>
        <w:t>.</w:t>
      </w:r>
      <w:bookmarkEnd w:id="10"/>
    </w:p>
    <w:p>
      <w:pPr>
        <w:pStyle w:val="Bibliography"/>
      </w:pPr>
      <w:bookmarkStart w:name="refRROSE" w:id="11"/>
      <w:r>
        <w:rPr>
          <w:rFonts w:cs="Arial Unicode MS" w:eastAsia="Arial Unicode MS"/>
          <w:rtl w:val="0"/>
        </w:rPr>
        <w:t xml:space="preserve">Lunardon, Nicola, Giovanna Menardi, and Nicola Torelli. 2014. </w:t>
      </w:r>
      <w:r>
        <w:rPr>
          <w:rFonts w:cs="Arial Unicode MS" w:eastAsia="Arial Unicode MS"/>
          <w:i w:val="1"/>
          <w:iCs w:val="1"/>
          <w:rtl w:val="0"/>
          <w:lang w:val="en-US"/>
        </w:rPr>
        <w:t>ROSE: Random over-Sampling Examples</w:t>
      </w:r>
      <w:r>
        <w:rPr>
          <w:rFonts w:cs="Arial Unicode MS" w:eastAsia="Arial Unicode MS"/>
          <w:rtl w:val="0"/>
        </w:rPr>
        <w:t xml:space="preserve">. </w:t>
      </w:r>
      <w:r>
        <w:rPr>
          <w:rStyle w:val="Hyperlink.0"/>
        </w:rPr>
        <w:fldChar w:fldCharType="begin" w:fldLock="0"/>
      </w:r>
      <w:r>
        <w:rPr>
          <w:rStyle w:val="Hyperlink.0"/>
        </w:rPr>
        <w:instrText xml:space="preserve"> HYPERLINK "https://CRAN.R-project.org/package=ROSE"</w:instrText>
      </w:r>
      <w:r>
        <w:rPr>
          <w:rStyle w:val="Hyperlink.0"/>
        </w:rPr>
        <w:fldChar w:fldCharType="separate" w:fldLock="0"/>
      </w:r>
      <w:r>
        <w:rPr>
          <w:rStyle w:val="Hyperlink.0"/>
          <w:rFonts w:cs="Arial Unicode MS" w:eastAsia="Arial Unicode MS"/>
          <w:rtl w:val="0"/>
        </w:rPr>
        <w:t>https://CRAN.R-project.org/package=ROSE</w:t>
      </w:r>
      <w:r>
        <w:rPr/>
        <w:fldChar w:fldCharType="end" w:fldLock="0"/>
      </w:r>
      <w:r>
        <w:rPr>
          <w:rFonts w:cs="Arial Unicode MS" w:eastAsia="Arial Unicode MS"/>
          <w:rtl w:val="0"/>
        </w:rPr>
        <w:t>.</w:t>
      </w:r>
      <w:bookmarkEnd w:id="11"/>
    </w:p>
    <w:p>
      <w:pPr>
        <w:pStyle w:val="Bibliography"/>
      </w:pPr>
      <w:bookmarkStart w:name="refRDAAG" w:id="12"/>
      <w:r>
        <w:rPr>
          <w:rFonts w:cs="Arial Unicode MS" w:eastAsia="Arial Unicode MS"/>
          <w:rtl w:val="0"/>
        </w:rPr>
        <w:t xml:space="preserve">Maindonald, John H., and W. John Braun. 2015. </w:t>
      </w:r>
      <w:r>
        <w:rPr>
          <w:rFonts w:cs="Arial Unicode MS" w:eastAsia="Arial Unicode MS"/>
          <w:i w:val="1"/>
          <w:iCs w:val="1"/>
          <w:rtl w:val="0"/>
          <w:lang w:val="en-US"/>
        </w:rPr>
        <w:t>DAAG: Data Analysis and Graphics Data and Functions</w:t>
      </w:r>
      <w:r>
        <w:rPr>
          <w:rFonts w:cs="Arial Unicode MS" w:eastAsia="Arial Unicode MS"/>
          <w:rtl w:val="0"/>
        </w:rPr>
        <w:t xml:space="preserve">. </w:t>
      </w:r>
      <w:r>
        <w:rPr>
          <w:rStyle w:val="Hyperlink.0"/>
        </w:rPr>
        <w:fldChar w:fldCharType="begin" w:fldLock="0"/>
      </w:r>
      <w:r>
        <w:rPr>
          <w:rStyle w:val="Hyperlink.0"/>
        </w:rPr>
        <w:instrText xml:space="preserve"> HYPERLINK "https://CRAN.R-project.org/package=DAAG"</w:instrText>
      </w:r>
      <w:r>
        <w:rPr>
          <w:rStyle w:val="Hyperlink.0"/>
        </w:rPr>
        <w:fldChar w:fldCharType="separate" w:fldLock="0"/>
      </w:r>
      <w:r>
        <w:rPr>
          <w:rStyle w:val="Hyperlink.0"/>
          <w:rFonts w:cs="Arial Unicode MS" w:eastAsia="Arial Unicode MS"/>
          <w:rtl w:val="0"/>
        </w:rPr>
        <w:t>https://CRAN.R-project.org/package=DAAG</w:t>
      </w:r>
      <w:r>
        <w:rPr/>
        <w:fldChar w:fldCharType="end" w:fldLock="0"/>
      </w:r>
      <w:r>
        <w:rPr>
          <w:rFonts w:cs="Arial Unicode MS" w:eastAsia="Arial Unicode MS"/>
          <w:rtl w:val="0"/>
        </w:rPr>
        <w:t>.</w:t>
      </w:r>
      <w:bookmarkEnd w:id="12"/>
    </w:p>
    <w:p>
      <w:pPr>
        <w:pStyle w:val="Bibliography"/>
      </w:pPr>
      <w:bookmarkStart w:name="refranzenhofer2016" w:id="13"/>
      <w:r>
        <w:rPr>
          <w:rFonts w:cs="Arial Unicode MS" w:eastAsia="Arial Unicode MS"/>
          <w:rtl w:val="0"/>
        </w:rPr>
        <w:t xml:space="preserve">Ranzenhofer, Lisa M, Scott G Engel, Ross D Crosby, Mark Haigney, Micheline Anderson, Jeanne M McCaffery, and Marian Tanofsky-Kraff. 2016. </w:t>
      </w:r>
      <w:r>
        <w:rPr>
          <w:rFonts w:cs="Arial Unicode MS" w:eastAsia="Arial Unicode MS" w:hint="default"/>
          <w:rtl w:val="0"/>
        </w:rPr>
        <w:t>“</w:t>
      </w:r>
      <w:r>
        <w:rPr>
          <w:rFonts w:cs="Arial Unicode MS" w:eastAsia="Arial Unicode MS"/>
          <w:rtl w:val="0"/>
        </w:rPr>
        <w:t>Real-Time Assessment of Heart Rate Variability and Loss of Control Eating in Adolescent Girls: A Pilot Study.</w:t>
      </w:r>
      <w:r>
        <w:rPr>
          <w:rFonts w:cs="Arial Unicode MS" w:eastAsia="Arial Unicode MS" w:hint="default"/>
          <w:rtl w:val="0"/>
        </w:rPr>
        <w:t xml:space="preserve">” </w:t>
      </w:r>
      <w:r>
        <w:rPr>
          <w:rFonts w:cs="Arial Unicode MS" w:eastAsia="Arial Unicode MS"/>
          <w:i w:val="1"/>
          <w:iCs w:val="1"/>
          <w:rtl w:val="0"/>
          <w:lang w:val="en-US"/>
        </w:rPr>
        <w:t>International Journal of Eating Disorders</w:t>
      </w:r>
      <w:r>
        <w:rPr>
          <w:rFonts w:cs="Arial Unicode MS" w:eastAsia="Arial Unicode MS"/>
          <w:rtl w:val="0"/>
        </w:rPr>
        <w:t xml:space="preserve"> 49 (2): 197</w:t>
      </w:r>
      <w:r>
        <w:rPr>
          <w:rFonts w:cs="Arial Unicode MS" w:eastAsia="Arial Unicode MS" w:hint="default"/>
          <w:rtl w:val="0"/>
        </w:rPr>
        <w:t>–</w:t>
      </w:r>
      <w:r>
        <w:rPr>
          <w:rFonts w:cs="Arial Unicode MS" w:eastAsia="Arial Unicode MS"/>
          <w:rtl w:val="0"/>
        </w:rPr>
        <w:t>201.</w:t>
      </w:r>
      <w:bookmarkEnd w:id="13"/>
    </w:p>
    <w:p>
      <w:pPr>
        <w:pStyle w:val="Bibliography"/>
      </w:pPr>
      <w:bookmarkStart w:name="refRRHRV" w:id="14"/>
      <w:r>
        <w:rPr>
          <w:rFonts w:cs="Arial Unicode MS" w:eastAsia="Arial Unicode MS"/>
          <w:rtl w:val="0"/>
        </w:rPr>
        <w:t xml:space="preserve">Rodriguez-Linares, Leandro, Xose Vila, Maria Jose Lado, Arturo Mendez, Abraham Otero, and Constantino Antonio Garcia. 2017. </w:t>
      </w:r>
      <w:r>
        <w:rPr>
          <w:rFonts w:cs="Arial Unicode MS" w:eastAsia="Arial Unicode MS"/>
          <w:i w:val="1"/>
          <w:iCs w:val="1"/>
          <w:rtl w:val="0"/>
          <w:lang w:val="en-US"/>
        </w:rPr>
        <w:t>RHRV: Heart Rate Variability Analysis of Ecg Data</w:t>
      </w:r>
      <w:r>
        <w:rPr>
          <w:rFonts w:cs="Arial Unicode MS" w:eastAsia="Arial Unicode MS"/>
          <w:rtl w:val="0"/>
        </w:rPr>
        <w:t xml:space="preserve">. </w:t>
      </w:r>
      <w:r>
        <w:rPr>
          <w:rStyle w:val="Hyperlink.0"/>
        </w:rPr>
        <w:fldChar w:fldCharType="begin" w:fldLock="0"/>
      </w:r>
      <w:r>
        <w:rPr>
          <w:rStyle w:val="Hyperlink.0"/>
        </w:rPr>
        <w:instrText xml:space="preserve"> HYPERLINK "https://CRAN.R-project.org/package=RHRV"</w:instrText>
      </w:r>
      <w:r>
        <w:rPr>
          <w:rStyle w:val="Hyperlink.0"/>
        </w:rPr>
        <w:fldChar w:fldCharType="separate" w:fldLock="0"/>
      </w:r>
      <w:r>
        <w:rPr>
          <w:rStyle w:val="Hyperlink.0"/>
          <w:rFonts w:cs="Arial Unicode MS" w:eastAsia="Arial Unicode MS"/>
          <w:rtl w:val="0"/>
        </w:rPr>
        <w:t>https://CRAN.R-project.org/package=RHRV</w:t>
      </w:r>
      <w:r>
        <w:rPr/>
        <w:fldChar w:fldCharType="end" w:fldLock="0"/>
      </w:r>
      <w:r>
        <w:rPr>
          <w:rFonts w:cs="Arial Unicode MS" w:eastAsia="Arial Unicode MS"/>
          <w:rtl w:val="0"/>
        </w:rPr>
        <w:t>.</w:t>
      </w:r>
      <w:bookmarkEnd w:id="14"/>
    </w:p>
    <w:p>
      <w:pPr>
        <w:pStyle w:val="Bibliography"/>
      </w:pPr>
      <w:bookmarkStart w:name="refRubin2016TFC3021319.3021332" w:id="15"/>
      <w:r>
        <w:rPr>
          <w:rFonts w:cs="Arial Unicode MS" w:eastAsia="Arial Unicode MS"/>
          <w:rtl w:val="0"/>
        </w:rPr>
        <w:t xml:space="preserve">Rubin, Jonathan, Rui Abreu, Shane Ahern, Hoda Eldardiry, and Daniel G. Bobrow. 2016. </w:t>
      </w:r>
      <w:r>
        <w:rPr>
          <w:rFonts w:cs="Arial Unicode MS" w:eastAsia="Arial Unicode MS" w:hint="default"/>
          <w:rtl w:val="0"/>
        </w:rPr>
        <w:t>“</w:t>
      </w:r>
      <w:r>
        <w:rPr>
          <w:rFonts w:cs="Arial Unicode MS" w:eastAsia="Arial Unicode MS"/>
          <w:rtl w:val="0"/>
        </w:rPr>
        <w:t>Time, Frequency &amp;#38; Complexity Analysis for Recognizing Panic States from Physiologic Time-Series.</w:t>
      </w:r>
      <w:r>
        <w:rPr>
          <w:rFonts w:cs="Arial Unicode MS" w:eastAsia="Arial Unicode MS" w:hint="default"/>
          <w:rtl w:val="0"/>
        </w:rPr>
        <w:t xml:space="preserve">” </w:t>
      </w:r>
      <w:r>
        <w:rPr>
          <w:rFonts w:cs="Arial Unicode MS" w:eastAsia="Arial Unicode MS"/>
          <w:rtl w:val="0"/>
        </w:rPr>
        <w:t xml:space="preserve">In </w:t>
      </w:r>
      <w:r>
        <w:rPr>
          <w:rFonts w:cs="Arial Unicode MS" w:eastAsia="Arial Unicode MS"/>
          <w:i w:val="1"/>
          <w:iCs w:val="1"/>
          <w:rtl w:val="0"/>
          <w:lang w:val="en-US"/>
        </w:rPr>
        <w:t>Proceedings of the 10th Eai International Conference on Pervasive Computing Technologies for Healthcare</w:t>
      </w:r>
      <w:r>
        <w:rPr>
          <w:rFonts w:cs="Arial Unicode MS" w:eastAsia="Arial Unicode MS"/>
          <w:rtl w:val="0"/>
        </w:rPr>
        <w:t>, 81</w:t>
      </w:r>
      <w:r>
        <w:rPr>
          <w:rFonts w:cs="Arial Unicode MS" w:eastAsia="Arial Unicode MS" w:hint="default"/>
          <w:rtl w:val="0"/>
        </w:rPr>
        <w:t>–</w:t>
      </w:r>
      <w:r>
        <w:rPr>
          <w:rFonts w:cs="Arial Unicode MS" w:eastAsia="Arial Unicode MS"/>
          <w:rtl w:val="0"/>
        </w:rPr>
        <w:t xml:space="preserve">88. PervasiveHealth </w:t>
      </w:r>
      <w:r>
        <w:rPr>
          <w:rFonts w:cs="Arial Unicode MS" w:eastAsia="Arial Unicode MS" w:hint="default"/>
          <w:rtl w:val="0"/>
        </w:rPr>
        <w:t>’</w:t>
      </w:r>
      <w:r>
        <w:rPr>
          <w:rFonts w:cs="Arial Unicode MS" w:eastAsia="Arial Unicode MS"/>
          <w:rtl w:val="0"/>
        </w:rPr>
        <w:t xml:space="preserve">16. ICST, Brussels, Belgium, Belgium: ICST (Institute for Computer Sciences, Social-Informatics; Telecommunications Engineering). </w:t>
      </w:r>
      <w:r>
        <w:rPr>
          <w:rStyle w:val="Hyperlink.0"/>
        </w:rPr>
        <w:fldChar w:fldCharType="begin" w:fldLock="0"/>
      </w:r>
      <w:r>
        <w:rPr>
          <w:rStyle w:val="Hyperlink.0"/>
        </w:rPr>
        <w:instrText xml:space="preserve"> HYPERLINK "http://dl.acm.org/citation.cfm?id=3021319.3021332"</w:instrText>
      </w:r>
      <w:r>
        <w:rPr>
          <w:rStyle w:val="Hyperlink.0"/>
        </w:rPr>
        <w:fldChar w:fldCharType="separate" w:fldLock="0"/>
      </w:r>
      <w:r>
        <w:rPr>
          <w:rStyle w:val="Hyperlink.0"/>
          <w:rFonts w:cs="Arial Unicode MS" w:eastAsia="Arial Unicode MS"/>
          <w:rtl w:val="0"/>
        </w:rPr>
        <w:t>http://dl.acm.org/citation.cfm?id=3021319.3021332</w:t>
      </w:r>
      <w:r>
        <w:rPr/>
        <w:fldChar w:fldCharType="end" w:fldLock="0"/>
      </w:r>
      <w:r>
        <w:rPr>
          <w:rFonts w:cs="Arial Unicode MS" w:eastAsia="Arial Unicode MS"/>
          <w:rtl w:val="0"/>
        </w:rPr>
        <w:t>.</w:t>
      </w:r>
      <w:bookmarkEnd w:id="15"/>
    </w:p>
    <w:p>
      <w:pPr>
        <w:pStyle w:val="Bibliography"/>
      </w:pPr>
      <w:bookmarkStart w:name="refshaffer_ginsberg_2017" w:id="16"/>
      <w:r>
        <w:rPr>
          <w:rFonts w:cs="Arial Unicode MS" w:eastAsia="Arial Unicode MS"/>
          <w:rtl w:val="0"/>
        </w:rPr>
        <w:t xml:space="preserve">Shaffer, Fred, and J. P. Ginsberg. 2017. </w:t>
      </w:r>
      <w:r>
        <w:rPr>
          <w:rFonts w:cs="Arial Unicode MS" w:eastAsia="Arial Unicode MS" w:hint="default"/>
          <w:rtl w:val="0"/>
        </w:rPr>
        <w:t>“</w:t>
      </w:r>
      <w:r>
        <w:rPr>
          <w:rFonts w:cs="Arial Unicode MS" w:eastAsia="Arial Unicode MS"/>
          <w:rtl w:val="0"/>
        </w:rPr>
        <w:t>An Overview of Heart Rate Variability Metrics and Norms.</w:t>
      </w:r>
      <w:r>
        <w:rPr>
          <w:rFonts w:cs="Arial Unicode MS" w:eastAsia="Arial Unicode MS" w:hint="default"/>
          <w:rtl w:val="0"/>
        </w:rPr>
        <w:t xml:space="preserve">” </w:t>
      </w:r>
      <w:r>
        <w:rPr>
          <w:rFonts w:cs="Arial Unicode MS" w:eastAsia="Arial Unicode MS"/>
          <w:i w:val="1"/>
          <w:iCs w:val="1"/>
          <w:rtl w:val="0"/>
          <w:lang w:val="en-US"/>
        </w:rPr>
        <w:t>Frontiers in Public Health</w:t>
      </w:r>
      <w:r>
        <w:rPr>
          <w:rFonts w:cs="Arial Unicode MS" w:eastAsia="Arial Unicode MS"/>
          <w:rtl w:val="0"/>
        </w:rPr>
        <w:t xml:space="preserve"> 5. </w:t>
      </w:r>
      <w:r>
        <w:rPr>
          <w:rStyle w:val="Hyperlink.0"/>
        </w:rPr>
        <w:fldChar w:fldCharType="begin" w:fldLock="0"/>
      </w:r>
      <w:r>
        <w:rPr>
          <w:rStyle w:val="Hyperlink.0"/>
        </w:rPr>
        <w:instrText xml:space="preserve"> HYPERLINK "https://doi.org/10.3389/fpubh.2017.00258"</w:instrText>
      </w:r>
      <w:r>
        <w:rPr>
          <w:rStyle w:val="Hyperlink.0"/>
        </w:rPr>
        <w:fldChar w:fldCharType="separate" w:fldLock="0"/>
      </w:r>
      <w:r>
        <w:rPr>
          <w:rStyle w:val="Hyperlink.0"/>
          <w:rFonts w:cs="Arial Unicode MS" w:eastAsia="Arial Unicode MS"/>
          <w:rtl w:val="0"/>
        </w:rPr>
        <w:t>https://doi.org/10.3389/fpubh.2017.00258</w:t>
      </w:r>
      <w:r>
        <w:rPr/>
        <w:fldChar w:fldCharType="end" w:fldLock="0"/>
      </w:r>
      <w:r>
        <w:rPr>
          <w:rFonts w:cs="Arial Unicode MS" w:eastAsia="Arial Unicode MS"/>
          <w:rtl w:val="0"/>
        </w:rPr>
        <w:t>.</w:t>
      </w:r>
      <w:bookmarkEnd w:id="16"/>
    </w:p>
    <w:sectPr>
      <w:headerReference w:type="default" r:id="rId11"/>
      <w:footerReference w:type="default" r:id="rId12"/>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Text"/>
    <w:pPr>
      <w:keepNext w:val="1"/>
      <w:keepLines w:val="1"/>
      <w:pageBreakBefore w:val="0"/>
      <w:widowControl w:val="1"/>
      <w:shd w:val="clear" w:color="auto" w:fill="auto"/>
      <w:suppressAutoHyphens w:val="0"/>
      <w:bidi w:val="0"/>
      <w:spacing w:before="480" w:after="240" w:line="240" w:lineRule="auto"/>
      <w:ind w:left="0" w:right="0" w:firstLine="0"/>
      <w:jc w:val="center"/>
      <w:outlineLvl w:val="9"/>
    </w:pPr>
    <w:rPr>
      <w:rFonts w:ascii="Calibri" w:cs="Arial Unicode MS" w:hAnsi="Calibri" w:eastAsia="Arial Unicode MS"/>
      <w:b w:val="1"/>
      <w:bCs w:val="1"/>
      <w:i w:val="0"/>
      <w:iCs w:val="0"/>
      <w:caps w:val="0"/>
      <w:smallCaps w:val="0"/>
      <w:strike w:val="0"/>
      <w:dstrike w:val="0"/>
      <w:outline w:val="0"/>
      <w:color w:val="345a8a"/>
      <w:spacing w:val="0"/>
      <w:kern w:val="0"/>
      <w:position w:val="0"/>
      <w:sz w:val="36"/>
      <w:szCs w:val="36"/>
      <w:u w:val="none" w:color="345a8a"/>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345a8a"/>
      <w:spacing w:val="0"/>
      <w:kern w:val="0"/>
      <w:position w:val="0"/>
      <w:sz w:val="32"/>
      <w:szCs w:val="32"/>
      <w:u w:val="none" w:color="345a8a"/>
      <w:vertAlign w:val="baseline"/>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32"/>
      <w:szCs w:val="32"/>
      <w:u w:val="none" w:color="4f81bd"/>
      <w:vertAlign w:val="baseline"/>
    </w:rPr>
  </w:style>
  <w:style w:type="paragraph" w:styleId="Captioned Figure">
    <w:name w:val="Captioned Figure"/>
    <w:next w:val="Captioned Figure"/>
    <w:pPr>
      <w:keepNext w:val="1"/>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Image Caption">
    <w:name w:val="Image Caption"/>
    <w:next w:val="Image Caption"/>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Cambria" w:cs="Arial Unicode MS" w:hAnsi="Cambria" w:eastAsia="Arial Unicode MS"/>
      <w:b w:val="0"/>
      <w:bCs w:val="0"/>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Bibliography">
    <w:name w:val="Bibliography"/>
    <w:next w:val="Bibliograph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4f81bd"/>
      <w:u w:val="single" w:color="4f81bd"/>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