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365D"/>
          <w:sz w:val="44"/>
        </w:rPr>
        <w:t>AHMAD ANWAR ASYRAF</w:t>
        <w:br/>
      </w:r>
      <w:r>
        <w:rPr>
          <w:i/>
          <w:sz w:val="24"/>
        </w:rPr>
        <w:t>Policy Research | Public Policy | AI Governance</w:t>
        <w:br/>
      </w:r>
      <w:r>
        <w:t>Muar, Johor | +60 18-286 4256 | anwar.asyraf@outlook.com</w:t>
      </w:r>
    </w:p>
    <w:p>
      <w:r>
        <w:rPr>
          <w:b/>
          <w:color w:val="19365D"/>
          <w:sz w:val="26"/>
        </w:rPr>
        <w:t>PROFESSIONAL PROFILE</w:t>
      </w:r>
    </w:p>
    <w:p>
      <w:r>
        <w:t>Political Science graduate with extensive experience in policy research, stakeholder engagement, project coordination and strategic analysis. Experienced in preparing policy briefs, legislative research, speeches, reports and evidence-based recommendations. Strong interest in artificial intelligence, digital governance and emerging technology policy. Proficient in AI-assisted research tools.</w:t>
      </w:r>
    </w:p>
    <w:p>
      <w:r>
        <w:rPr>
          <w:b/>
          <w:color w:val="19365D"/>
          <w:sz w:val="26"/>
        </w:rPr>
        <w:t>CORE COMPETENCIES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Policy Research</w:t>
            </w:r>
          </w:p>
        </w:tc>
        <w:tc>
          <w:tcPr>
            <w:tcW w:type="dxa" w:w="5400"/>
          </w:tcPr>
          <w:p>
            <w:r>
              <w:t>Project Coordination</w:t>
            </w:r>
          </w:p>
        </w:tc>
      </w:tr>
      <w:tr>
        <w:tc>
          <w:tcPr>
            <w:tcW w:type="dxa" w:w="5400"/>
          </w:tcPr>
          <w:p>
            <w:r>
              <w:t>Public Policy Analysis</w:t>
            </w:r>
          </w:p>
        </w:tc>
        <w:tc>
          <w:tcPr>
            <w:tcW w:type="dxa" w:w="5400"/>
          </w:tcPr>
          <w:p>
            <w:r>
              <w:t>Stakeholder Engagement</w:t>
            </w:r>
          </w:p>
        </w:tc>
      </w:tr>
      <w:tr>
        <w:tc>
          <w:tcPr>
            <w:tcW w:type="dxa" w:w="5400"/>
          </w:tcPr>
          <w:p>
            <w:r>
              <w:t>Legislative Research</w:t>
            </w:r>
          </w:p>
        </w:tc>
        <w:tc>
          <w:tcPr>
            <w:tcW w:type="dxa" w:w="5400"/>
          </w:tcPr>
          <w:p>
            <w:r>
              <w:t>Meeting Coordination</w:t>
            </w:r>
          </w:p>
        </w:tc>
      </w:tr>
      <w:tr>
        <w:tc>
          <w:tcPr>
            <w:tcW w:type="dxa" w:w="5400"/>
          </w:tcPr>
          <w:p>
            <w:r>
              <w:t>Strategic Planning</w:t>
            </w:r>
          </w:p>
        </w:tc>
        <w:tc>
          <w:tcPr>
            <w:tcW w:type="dxa" w:w="5400"/>
          </w:tcPr>
          <w:p>
            <w:r>
              <w:t>Report Writing</w:t>
            </w:r>
          </w:p>
        </w:tc>
      </w:tr>
      <w:tr>
        <w:tc>
          <w:tcPr>
            <w:tcW w:type="dxa" w:w="5400"/>
          </w:tcPr>
          <w:p>
            <w:r>
              <w:t>Data Analysis</w:t>
            </w:r>
          </w:p>
        </w:tc>
        <w:tc>
          <w:tcPr>
            <w:tcW w:type="dxa" w:w="5400"/>
          </w:tcPr>
          <w:p>
            <w:r>
              <w:t>Presentation Development</w:t>
            </w:r>
          </w:p>
        </w:tc>
      </w:tr>
      <w:tr>
        <w:tc>
          <w:tcPr>
            <w:tcW w:type="dxa" w:w="5400"/>
          </w:tcPr>
          <w:p>
            <w:r>
              <w:t>AI-assisted Research</w:t>
            </w:r>
          </w:p>
        </w:tc>
        <w:tc>
          <w:tcPr>
            <w:tcW w:type="dxa" w:w="5400"/>
          </w:tcPr>
          <w:p>
            <w:r>
              <w:t>Microsoft Office &amp; Google Workspace</w:t>
            </w:r>
          </w:p>
        </w:tc>
      </w:tr>
    </w:tbl>
    <w:p>
      <w:r>
        <w:rPr>
          <w:b/>
          <w:color w:val="19365D"/>
          <w:sz w:val="26"/>
        </w:rPr>
        <w:t>PROFESSIONAL EXPERIENCE</w:t>
      </w:r>
    </w:p>
    <w:p>
      <w:pPr>
        <w:pStyle w:val="Heading3"/>
      </w:pPr>
      <w:r>
        <w:t>Data Analysis &amp; Strategic Research Unit (2020 – Present)</w:t>
      </w:r>
    </w:p>
    <w:p>
      <w:pPr>
        <w:pStyle w:val="ListBullet"/>
      </w:pPr>
      <w:r>
        <w:t>Conduct quantitative and qualitative research to support strategic planning.</w:t>
      </w:r>
    </w:p>
    <w:p>
      <w:pPr>
        <w:pStyle w:val="ListBullet"/>
      </w:pPr>
      <w:r>
        <w:t>Analyse demographic and socio-economic datasets.</w:t>
      </w:r>
    </w:p>
    <w:p>
      <w:pPr>
        <w:pStyle w:val="ListBullet"/>
      </w:pPr>
      <w:r>
        <w:t>Prepare analytical reports, briefing notes and presentations.</w:t>
      </w:r>
    </w:p>
    <w:p>
      <w:pPr>
        <w:pStyle w:val="ListBullet"/>
      </w:pPr>
      <w:r>
        <w:t>Monitor policy developments and legislative changes.</w:t>
      </w:r>
    </w:p>
    <w:p>
      <w:pPr>
        <w:pStyle w:val="ListBullet"/>
      </w:pPr>
      <w:r>
        <w:t>Produce evidence-based recommendations for decision makers.</w:t>
      </w:r>
    </w:p>
    <w:p>
      <w:pPr>
        <w:pStyle w:val="Heading3"/>
      </w:pPr>
      <w:r>
        <w:t>Special Officer – Johor State Tourism, Women, Family &amp; Community Development Committee (2018–2020)</w:t>
      </w:r>
    </w:p>
    <w:p>
      <w:pPr>
        <w:pStyle w:val="ListBullet"/>
      </w:pPr>
      <w:r>
        <w:t>Prepared policy briefing papers and speeches.</w:t>
      </w:r>
    </w:p>
    <w:p>
      <w:pPr>
        <w:pStyle w:val="ListBullet"/>
      </w:pPr>
      <w:r>
        <w:t>Coordinated meetings involving government agencies.</w:t>
      </w:r>
    </w:p>
    <w:p>
      <w:pPr>
        <w:pStyle w:val="ListBullet"/>
      </w:pPr>
      <w:r>
        <w:t>Conducted legislative and policy research.</w:t>
      </w:r>
    </w:p>
    <w:p>
      <w:pPr>
        <w:pStyle w:val="ListBullet"/>
      </w:pPr>
      <w:r>
        <w:t>Supported programme implementation and stakeholder engagement.</w:t>
      </w:r>
    </w:p>
    <w:p>
      <w:pPr>
        <w:pStyle w:val="Heading3"/>
      </w:pPr>
      <w:r>
        <w:t>Special Officer – Member of Parliament &amp; State Assemblyman (2010–2018)</w:t>
      </w:r>
    </w:p>
    <w:p>
      <w:pPr>
        <w:pStyle w:val="ListBullet"/>
      </w:pPr>
      <w:r>
        <w:t>Prepared parliamentary briefing materials and speeches.</w:t>
      </w:r>
    </w:p>
    <w:p>
      <w:pPr>
        <w:pStyle w:val="ListBullet"/>
      </w:pPr>
      <w:r>
        <w:t>Conducted public policy and legislative research.</w:t>
      </w:r>
    </w:p>
    <w:p>
      <w:pPr>
        <w:pStyle w:val="ListBullet"/>
      </w:pPr>
      <w:r>
        <w:t>Managed stakeholder communication and constituency coordination.</w:t>
      </w:r>
    </w:p>
    <w:p>
      <w:r>
        <w:rPr>
          <w:b/>
          <w:color w:val="19365D"/>
          <w:sz w:val="26"/>
        </w:rPr>
        <w:t>EDUCATION</w:t>
      </w:r>
    </w:p>
    <w:p>
      <w:r>
        <w:t>Universiti Sains Malaysia</w:t>
        <w:br/>
        <w:t>Bachelor of Social Science (Honours)</w:t>
        <w:br/>
        <w:t>Major: Political Science | Minor: Geography</w:t>
        <w:br/>
        <w:t>CGPA: 3.54 | Dean's List (2020/2021 &amp; 2023/2024)</w:t>
      </w:r>
    </w:p>
    <w:p>
      <w:r>
        <w:rPr>
          <w:b/>
          <w:color w:val="19365D"/>
          <w:sz w:val="26"/>
        </w:rPr>
        <w:t>DIGITAL SKILLS</w:t>
      </w:r>
    </w:p>
    <w:p>
      <w:r>
        <w:t>Microsoft Office • Google Workspace • ChatGPT • Claude • Google Gemini • Canva</w:t>
      </w:r>
    </w:p>
    <w:p>
      <w:r>
        <w:rPr>
          <w:b/>
          <w:color w:val="19365D"/>
          <w:sz w:val="26"/>
        </w:rPr>
        <w:t>LANGUAGES</w:t>
      </w:r>
    </w:p>
    <w:p>
      <w:r>
        <w:t>Bahasa Melayu (Native)</w:t>
        <w:br/>
        <w:t>English (Professional Working Proficiency)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