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FE1E" w14:textId="558F4F2F" w:rsidR="00060A54" w:rsidRPr="001448B9" w:rsidRDefault="009933E7">
      <w:pPr>
        <w:rPr>
          <w:rFonts w:ascii="Times New Roman" w:hAnsi="Times New Roman" w:cs="Times New Roman"/>
          <w:b/>
          <w:bCs/>
        </w:rPr>
      </w:pPr>
      <w:r w:rsidRPr="001448B9">
        <w:rPr>
          <w:rFonts w:ascii="Times New Roman" w:hAnsi="Times New Roman" w:cs="Times New Roman"/>
          <w:b/>
          <w:bCs/>
        </w:rPr>
        <w:t xml:space="preserve">Table 1 </w:t>
      </w:r>
      <w:r w:rsidR="001448B9">
        <w:rPr>
          <w:rFonts w:ascii="Times New Roman" w:hAnsi="Times New Roman" w:cs="Times New Roman" w:hint="eastAsia"/>
          <w:b/>
          <w:bCs/>
        </w:rPr>
        <w:t>TEA of Key ESS</w:t>
      </w:r>
      <w:r w:rsidR="003B5D5D" w:rsidRPr="001448B9">
        <w:rPr>
          <w:rFonts w:ascii="Times New Roman" w:hAnsi="Times New Roman" w:cs="Times New Roman"/>
          <w:b/>
          <w:bCs/>
        </w:rPr>
        <w:t xml:space="preserve"> </w:t>
      </w:r>
      <w:r w:rsidR="00284C8A">
        <w:rPr>
          <w:rFonts w:ascii="Times New Roman" w:hAnsi="Times New Roman" w:cs="Times New Roman" w:hint="eastAsia"/>
          <w:b/>
          <w:bCs/>
        </w:rPr>
        <w:t>for modelling</w:t>
      </w:r>
      <w:r w:rsidR="00D0363A">
        <w:rPr>
          <w:rFonts w:ascii="Times New Roman" w:hAnsi="Times New Roman" w:cs="Times New Roman" w:hint="eastAsia"/>
          <w:b/>
          <w:bCs/>
        </w:rPr>
        <w:t xml:space="preserve"> in 2035</w:t>
      </w:r>
      <w:r w:rsidR="0007609B">
        <w:rPr>
          <w:rFonts w:ascii="Times New Roman" w:hAnsi="Times New Roman" w:cs="Times New Roman"/>
          <w:b/>
          <w:bCs/>
        </w:rPr>
        <w:t>/2050</w:t>
      </w:r>
    </w:p>
    <w:tbl>
      <w:tblPr>
        <w:tblStyle w:val="GridTable4-Accent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7"/>
        <w:gridCol w:w="1029"/>
        <w:gridCol w:w="1029"/>
        <w:gridCol w:w="1177"/>
        <w:gridCol w:w="856"/>
        <w:gridCol w:w="1264"/>
        <w:gridCol w:w="1119"/>
        <w:gridCol w:w="1292"/>
        <w:gridCol w:w="1135"/>
        <w:gridCol w:w="993"/>
        <w:gridCol w:w="1133"/>
        <w:gridCol w:w="1194"/>
      </w:tblGrid>
      <w:tr w:rsidR="0036581C" w:rsidRPr="000B002C" w14:paraId="63C06BFD" w14:textId="68141256" w:rsidTr="00F87029">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619" w:type="pct"/>
            <w:tcBorders>
              <w:top w:val="single" w:sz="4" w:space="0" w:color="auto"/>
              <w:left w:val="single" w:sz="4" w:space="0" w:color="auto"/>
              <w:bottom w:val="single" w:sz="4" w:space="0" w:color="auto"/>
              <w:right w:val="single" w:sz="4" w:space="0" w:color="auto"/>
            </w:tcBorders>
            <w:shd w:val="clear" w:color="auto" w:fill="FFFFFF" w:themeFill="background1"/>
          </w:tcPr>
          <w:p w14:paraId="71FD114F" w14:textId="77777777" w:rsidR="00A36184" w:rsidRPr="000B002C" w:rsidRDefault="00A36184" w:rsidP="006874A1">
            <w:pPr>
              <w:jc w:val="center"/>
              <w:rPr>
                <w:rFonts w:ascii="Times New Roman" w:hAnsi="Times New Roman" w:cs="Times New Roman"/>
                <w:b w:val="0"/>
                <w:color w:val="000000" w:themeColor="text1"/>
                <w:sz w:val="20"/>
                <w:szCs w:val="20"/>
              </w:rPr>
            </w:pPr>
            <w:r w:rsidRPr="000B002C">
              <w:rPr>
                <w:rFonts w:ascii="Times New Roman" w:hAnsi="Times New Roman" w:cs="Times New Roman"/>
                <w:color w:val="000000" w:themeColor="text1"/>
                <w:sz w:val="20"/>
                <w:szCs w:val="20"/>
              </w:rPr>
              <w:t>Energy Storage Technologies</w:t>
            </w:r>
          </w:p>
        </w:tc>
        <w:tc>
          <w:tcPr>
            <w:tcW w:w="369" w:type="pct"/>
            <w:tcBorders>
              <w:top w:val="single" w:sz="4" w:space="0" w:color="auto"/>
              <w:left w:val="single" w:sz="4" w:space="0" w:color="auto"/>
              <w:bottom w:val="single" w:sz="4" w:space="0" w:color="auto"/>
              <w:right w:val="single" w:sz="4" w:space="0" w:color="auto"/>
            </w:tcBorders>
            <w:shd w:val="clear" w:color="auto" w:fill="FFFFFF" w:themeFill="background1"/>
          </w:tcPr>
          <w:p w14:paraId="148E05ED" w14:textId="15BF71FB"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r w:rsidRPr="000B002C">
              <w:rPr>
                <w:rFonts w:ascii="Times New Roman" w:eastAsia="DengXian" w:hAnsi="Times New Roman" w:cs="Times New Roman"/>
                <w:color w:val="000000" w:themeColor="text1"/>
                <w:sz w:val="20"/>
                <w:szCs w:val="20"/>
              </w:rPr>
              <w:t>Cha efficiency</w:t>
            </w:r>
          </w:p>
          <w:p w14:paraId="27862340" w14:textId="77777777"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r w:rsidRPr="000B002C">
              <w:rPr>
                <w:rFonts w:ascii="Times New Roman" w:eastAsia="DengXian" w:hAnsi="Times New Roman" w:cs="Times New Roman"/>
                <w:color w:val="000000" w:themeColor="text1"/>
                <w:sz w:val="20"/>
                <w:szCs w:val="20"/>
              </w:rPr>
              <w:t>%</w:t>
            </w:r>
          </w:p>
        </w:tc>
        <w:tc>
          <w:tcPr>
            <w:tcW w:w="369" w:type="pct"/>
            <w:tcBorders>
              <w:top w:val="single" w:sz="4" w:space="0" w:color="auto"/>
              <w:left w:val="single" w:sz="4" w:space="0" w:color="auto"/>
              <w:bottom w:val="single" w:sz="4" w:space="0" w:color="auto"/>
              <w:right w:val="single" w:sz="4" w:space="0" w:color="auto"/>
            </w:tcBorders>
            <w:shd w:val="clear" w:color="auto" w:fill="FFFFFF" w:themeFill="background1"/>
          </w:tcPr>
          <w:p w14:paraId="60031308" w14:textId="6C8472F0"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proofErr w:type="spellStart"/>
            <w:r w:rsidRPr="000B002C">
              <w:rPr>
                <w:rFonts w:ascii="Times New Roman" w:eastAsia="DengXian" w:hAnsi="Times New Roman" w:cs="Times New Roman"/>
                <w:color w:val="000000" w:themeColor="text1"/>
                <w:sz w:val="20"/>
                <w:szCs w:val="20"/>
              </w:rPr>
              <w:t>Discha</w:t>
            </w:r>
            <w:proofErr w:type="spellEnd"/>
            <w:r w:rsidRPr="000B002C">
              <w:rPr>
                <w:rFonts w:ascii="Times New Roman" w:eastAsia="DengXian" w:hAnsi="Times New Roman" w:cs="Times New Roman"/>
                <w:color w:val="000000" w:themeColor="text1"/>
                <w:sz w:val="20"/>
                <w:szCs w:val="20"/>
              </w:rPr>
              <w:t xml:space="preserve"> efficiency</w:t>
            </w:r>
          </w:p>
          <w:p w14:paraId="70FE105D" w14:textId="77777777"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r w:rsidRPr="000B002C">
              <w:rPr>
                <w:rFonts w:ascii="Times New Roman" w:eastAsia="DengXian" w:hAnsi="Times New Roman" w:cs="Times New Roman"/>
                <w:color w:val="000000" w:themeColor="text1"/>
                <w:sz w:val="20"/>
                <w:szCs w:val="20"/>
              </w:rPr>
              <w:t>%</w:t>
            </w:r>
          </w:p>
        </w:tc>
        <w:tc>
          <w:tcPr>
            <w:tcW w:w="422" w:type="pct"/>
            <w:tcBorders>
              <w:top w:val="single" w:sz="4" w:space="0" w:color="auto"/>
              <w:left w:val="single" w:sz="4" w:space="0" w:color="auto"/>
              <w:bottom w:val="single" w:sz="4" w:space="0" w:color="auto"/>
              <w:right w:val="single" w:sz="4" w:space="0" w:color="auto"/>
            </w:tcBorders>
            <w:shd w:val="clear" w:color="auto" w:fill="FFFFFF" w:themeFill="background1"/>
          </w:tcPr>
          <w:p w14:paraId="2DBFF313" w14:textId="6081F6CE"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r w:rsidRPr="000B002C">
              <w:rPr>
                <w:rFonts w:ascii="Times New Roman" w:eastAsia="DengXian" w:hAnsi="Times New Roman" w:cs="Times New Roman"/>
                <w:color w:val="000000" w:themeColor="text1"/>
                <w:sz w:val="20"/>
                <w:szCs w:val="20"/>
              </w:rPr>
              <w:t>Self</w:t>
            </w:r>
            <w:r w:rsidR="0036581C">
              <w:rPr>
                <w:rFonts w:ascii="Times New Roman" w:eastAsia="DengXian" w:hAnsi="Times New Roman" w:cs="Times New Roman"/>
                <w:color w:val="000000" w:themeColor="text1"/>
                <w:sz w:val="20"/>
                <w:szCs w:val="20"/>
              </w:rPr>
              <w:t>-loss</w:t>
            </w:r>
            <w:r w:rsidRPr="000B002C">
              <w:rPr>
                <w:rFonts w:ascii="Times New Roman" w:eastAsia="DengXian" w:hAnsi="Times New Roman" w:cs="Times New Roman"/>
                <w:color w:val="000000" w:themeColor="text1"/>
                <w:sz w:val="20"/>
                <w:szCs w:val="20"/>
              </w:rPr>
              <w:t xml:space="preserve"> rate %</w:t>
            </w:r>
            <w:r w:rsidRPr="000B002C">
              <w:rPr>
                <w:rFonts w:ascii="Times New Roman" w:eastAsia="DengXian" w:hAnsi="Times New Roman" w:cs="Times New Roman" w:hint="eastAsia"/>
                <w:color w:val="000000" w:themeColor="text1"/>
                <w:sz w:val="20"/>
                <w:szCs w:val="20"/>
              </w:rPr>
              <w:t>/day</w:t>
            </w:r>
          </w:p>
        </w:tc>
        <w:tc>
          <w:tcPr>
            <w:tcW w:w="307" w:type="pct"/>
            <w:tcBorders>
              <w:top w:val="single" w:sz="4" w:space="0" w:color="auto"/>
              <w:left w:val="single" w:sz="4" w:space="0" w:color="auto"/>
              <w:bottom w:val="single" w:sz="4" w:space="0" w:color="auto"/>
              <w:right w:val="single" w:sz="4" w:space="0" w:color="auto"/>
            </w:tcBorders>
            <w:shd w:val="clear" w:color="auto" w:fill="FFFFFF" w:themeFill="background1"/>
          </w:tcPr>
          <w:p w14:paraId="3DED585B" w14:textId="77777777" w:rsidR="00A36184"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bCs w:val="0"/>
                <w:color w:val="000000" w:themeColor="text1"/>
                <w:sz w:val="20"/>
                <w:szCs w:val="20"/>
              </w:rPr>
            </w:pPr>
            <w:r>
              <w:rPr>
                <w:rFonts w:ascii="Times New Roman" w:eastAsia="DengXian" w:hAnsi="Times New Roman" w:cs="Times New Roman"/>
                <w:color w:val="000000" w:themeColor="text1"/>
                <w:sz w:val="20"/>
                <w:szCs w:val="20"/>
              </w:rPr>
              <w:t>RTE</w:t>
            </w:r>
          </w:p>
          <w:p w14:paraId="301B8597" w14:textId="7297A04B"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r w:rsidRPr="000B002C">
              <w:rPr>
                <w:rFonts w:ascii="Times New Roman" w:eastAsia="DengXian" w:hAnsi="Times New Roman" w:cs="Times New Roman"/>
                <w:color w:val="000000" w:themeColor="text1"/>
                <w:sz w:val="20"/>
                <w:szCs w:val="20"/>
              </w:rPr>
              <w:t>%</w:t>
            </w:r>
          </w:p>
        </w:tc>
        <w:tc>
          <w:tcPr>
            <w:tcW w:w="453" w:type="pct"/>
            <w:tcBorders>
              <w:top w:val="single" w:sz="4" w:space="0" w:color="auto"/>
              <w:left w:val="single" w:sz="4" w:space="0" w:color="auto"/>
              <w:bottom w:val="single" w:sz="4" w:space="0" w:color="auto"/>
              <w:right w:val="single" w:sz="4" w:space="0" w:color="auto"/>
            </w:tcBorders>
            <w:shd w:val="clear" w:color="auto" w:fill="FFFFFF" w:themeFill="background1"/>
          </w:tcPr>
          <w:p w14:paraId="2AE0B717" w14:textId="55635F51"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r w:rsidRPr="000B002C">
              <w:rPr>
                <w:rFonts w:ascii="Times New Roman" w:eastAsia="DengXian" w:hAnsi="Times New Roman" w:cs="Times New Roman"/>
                <w:color w:val="000000" w:themeColor="text1"/>
                <w:sz w:val="20"/>
                <w:szCs w:val="20"/>
              </w:rPr>
              <w:t>Cha power cost</w:t>
            </w:r>
          </w:p>
          <w:p w14:paraId="09DCC0E7" w14:textId="77777777"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r w:rsidRPr="000B002C">
              <w:rPr>
                <w:rFonts w:ascii="Times New Roman" w:eastAsia="DengXian" w:hAnsi="Times New Roman" w:cs="Times New Roman"/>
                <w:color w:val="000000" w:themeColor="text1"/>
                <w:sz w:val="20"/>
                <w:szCs w:val="20"/>
              </w:rPr>
              <w:t>$/kW</w:t>
            </w:r>
          </w:p>
        </w:tc>
        <w:tc>
          <w:tcPr>
            <w:tcW w:w="401" w:type="pct"/>
            <w:tcBorders>
              <w:top w:val="single" w:sz="4" w:space="0" w:color="auto"/>
              <w:left w:val="single" w:sz="4" w:space="0" w:color="auto"/>
              <w:bottom w:val="single" w:sz="4" w:space="0" w:color="auto"/>
              <w:right w:val="single" w:sz="4" w:space="0" w:color="auto"/>
            </w:tcBorders>
            <w:shd w:val="clear" w:color="auto" w:fill="FFFFFF" w:themeFill="background1"/>
          </w:tcPr>
          <w:p w14:paraId="74E125B2" w14:textId="24D7CC07"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r w:rsidRPr="000B002C">
              <w:rPr>
                <w:rFonts w:ascii="Times New Roman" w:eastAsia="DengXian" w:hAnsi="Times New Roman" w:cs="Times New Roman"/>
                <w:color w:val="000000" w:themeColor="text1"/>
                <w:sz w:val="20"/>
                <w:szCs w:val="20"/>
              </w:rPr>
              <w:t>Energy stor</w:t>
            </w:r>
            <w:r w:rsidR="00F87029">
              <w:rPr>
                <w:rFonts w:ascii="Times New Roman" w:eastAsia="DengXian" w:hAnsi="Times New Roman" w:cs="Times New Roman"/>
                <w:color w:val="000000" w:themeColor="text1"/>
                <w:sz w:val="20"/>
                <w:szCs w:val="20"/>
              </w:rPr>
              <w:t>e</w:t>
            </w:r>
            <w:r w:rsidRPr="000B002C">
              <w:rPr>
                <w:rFonts w:ascii="Times New Roman" w:eastAsia="DengXian" w:hAnsi="Times New Roman" w:cs="Times New Roman"/>
                <w:color w:val="000000" w:themeColor="text1"/>
                <w:sz w:val="20"/>
                <w:szCs w:val="20"/>
              </w:rPr>
              <w:t xml:space="preserve"> cost</w:t>
            </w:r>
          </w:p>
          <w:p w14:paraId="7C701E50" w14:textId="77777777"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0"/>
                <w:szCs w:val="20"/>
              </w:rPr>
            </w:pPr>
            <w:r w:rsidRPr="000B002C">
              <w:rPr>
                <w:rFonts w:ascii="Times New Roman" w:eastAsia="DengXian" w:hAnsi="Times New Roman" w:cs="Times New Roman"/>
                <w:color w:val="000000" w:themeColor="text1"/>
                <w:sz w:val="20"/>
                <w:szCs w:val="20"/>
              </w:rPr>
              <w:t>$/kWh</w:t>
            </w:r>
          </w:p>
        </w:tc>
        <w:tc>
          <w:tcPr>
            <w:tcW w:w="463" w:type="pct"/>
            <w:tcBorders>
              <w:top w:val="single" w:sz="4" w:space="0" w:color="auto"/>
              <w:left w:val="single" w:sz="4" w:space="0" w:color="auto"/>
              <w:bottom w:val="single" w:sz="4" w:space="0" w:color="auto"/>
              <w:right w:val="single" w:sz="4" w:space="0" w:color="auto"/>
            </w:tcBorders>
            <w:shd w:val="clear" w:color="auto" w:fill="FFFFFF" w:themeFill="background1"/>
          </w:tcPr>
          <w:p w14:paraId="7447DE9E" w14:textId="5B90D0E1"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proofErr w:type="spellStart"/>
            <w:r w:rsidRPr="000B002C">
              <w:rPr>
                <w:rFonts w:ascii="Times New Roman" w:eastAsia="DengXian" w:hAnsi="Times New Roman" w:cs="Times New Roman"/>
                <w:color w:val="000000" w:themeColor="text1"/>
                <w:sz w:val="20"/>
                <w:szCs w:val="20"/>
              </w:rPr>
              <w:t>Discha</w:t>
            </w:r>
            <w:proofErr w:type="spellEnd"/>
            <w:r w:rsidRPr="000B002C">
              <w:rPr>
                <w:rFonts w:ascii="Times New Roman" w:eastAsia="DengXian" w:hAnsi="Times New Roman" w:cs="Times New Roman"/>
                <w:color w:val="000000" w:themeColor="text1"/>
                <w:sz w:val="20"/>
                <w:szCs w:val="20"/>
              </w:rPr>
              <w:t xml:space="preserve"> power cost</w:t>
            </w:r>
          </w:p>
          <w:p w14:paraId="04344179" w14:textId="77777777"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r w:rsidRPr="000B002C">
              <w:rPr>
                <w:rFonts w:ascii="Times New Roman" w:eastAsia="DengXian" w:hAnsi="Times New Roman" w:cs="Times New Roman"/>
                <w:color w:val="000000" w:themeColor="text1"/>
                <w:sz w:val="20"/>
                <w:szCs w:val="20"/>
              </w:rPr>
              <w:t>$/kW</w:t>
            </w:r>
          </w:p>
        </w:tc>
        <w:tc>
          <w:tcPr>
            <w:tcW w:w="407" w:type="pct"/>
            <w:tcBorders>
              <w:top w:val="single" w:sz="4" w:space="0" w:color="auto"/>
              <w:left w:val="single" w:sz="4" w:space="0" w:color="auto"/>
              <w:bottom w:val="single" w:sz="4" w:space="0" w:color="auto"/>
              <w:right w:val="single" w:sz="4" w:space="0" w:color="auto"/>
            </w:tcBorders>
            <w:shd w:val="clear" w:color="auto" w:fill="FFFFFF" w:themeFill="background1"/>
          </w:tcPr>
          <w:p w14:paraId="1477EF98" w14:textId="1E3E2FC1"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FOM</w:t>
            </w:r>
          </w:p>
          <w:p w14:paraId="4C17EF0B" w14:textId="414DA047"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b w:val="0"/>
                <w:color w:val="000000" w:themeColor="text1"/>
                <w:sz w:val="20"/>
                <w:szCs w:val="20"/>
              </w:rPr>
            </w:pPr>
            <w:r w:rsidRPr="000B002C">
              <w:rPr>
                <w:rFonts w:ascii="Times New Roman" w:eastAsia="Times New Roman" w:hAnsi="Times New Roman" w:cs="Times New Roman"/>
                <w:color w:val="000000" w:themeColor="text1"/>
                <w:kern w:val="0"/>
                <w:sz w:val="20"/>
                <w:szCs w:val="20"/>
                <w14:ligatures w14:val="none"/>
              </w:rPr>
              <w:t>$/</w:t>
            </w:r>
            <w:proofErr w:type="spellStart"/>
            <w:proofErr w:type="gramStart"/>
            <w:r w:rsidRPr="000B002C">
              <w:rPr>
                <w:rFonts w:ascii="Times New Roman" w:eastAsia="Times New Roman" w:hAnsi="Times New Roman" w:cs="Times New Roman"/>
                <w:color w:val="000000" w:themeColor="text1"/>
                <w:kern w:val="0"/>
                <w:sz w:val="20"/>
                <w:szCs w:val="20"/>
                <w14:ligatures w14:val="none"/>
              </w:rPr>
              <w:t>kW.year</w:t>
            </w:r>
            <w:proofErr w:type="spellEnd"/>
            <w:proofErr w:type="gramEnd"/>
          </w:p>
        </w:tc>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tcPr>
          <w:p w14:paraId="13D6F95F" w14:textId="52BAB7D5" w:rsidR="00A36184"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VOM</w:t>
            </w:r>
          </w:p>
          <w:p w14:paraId="326AEFC3" w14:textId="2135996C" w:rsidR="00A36184" w:rsidRPr="005C07C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hAnsi="Times New Roman" w:cs="Times New Roman" w:hint="eastAsia"/>
                <w:color w:val="000000" w:themeColor="text1"/>
                <w:kern w:val="0"/>
                <w:sz w:val="20"/>
                <w:szCs w:val="20"/>
                <w14:ligatures w14:val="none"/>
              </w:rPr>
              <w:t>$</w:t>
            </w:r>
            <w:r w:rsidRPr="000B002C">
              <w:rPr>
                <w:rFonts w:ascii="Times New Roman" w:eastAsia="Times New Roman" w:hAnsi="Times New Roman" w:cs="Times New Roman"/>
                <w:color w:val="000000" w:themeColor="text1"/>
                <w:kern w:val="0"/>
                <w:sz w:val="20"/>
                <w:szCs w:val="20"/>
                <w14:ligatures w14:val="none"/>
              </w:rPr>
              <w:t>/</w:t>
            </w:r>
            <w:r>
              <w:rPr>
                <w:rFonts w:ascii="Times New Roman" w:eastAsia="Times New Roman" w:hAnsi="Times New Roman" w:cs="Times New Roman"/>
                <w:color w:val="000000" w:themeColor="text1"/>
                <w:kern w:val="0"/>
                <w:sz w:val="20"/>
                <w:szCs w:val="20"/>
                <w14:ligatures w14:val="none"/>
              </w:rPr>
              <w:t>M</w:t>
            </w:r>
            <w:r w:rsidRPr="000B002C">
              <w:rPr>
                <w:rFonts w:ascii="Times New Roman" w:eastAsia="Times New Roman" w:hAnsi="Times New Roman" w:cs="Times New Roman"/>
                <w:color w:val="000000" w:themeColor="text1"/>
                <w:kern w:val="0"/>
                <w:sz w:val="20"/>
                <w:szCs w:val="20"/>
                <w14:ligatures w14:val="none"/>
              </w:rPr>
              <w:t>Wh</w:t>
            </w:r>
          </w:p>
          <w:p w14:paraId="45EE4F53" w14:textId="77777777" w:rsidR="00A36184" w:rsidRPr="000B002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0"/>
                <w:szCs w:val="20"/>
                <w14:ligatures w14:val="none"/>
              </w:rPr>
            </w:pPr>
          </w:p>
        </w:tc>
        <w:tc>
          <w:tcPr>
            <w:tcW w:w="406" w:type="pct"/>
            <w:tcBorders>
              <w:top w:val="single" w:sz="4" w:space="0" w:color="auto"/>
              <w:left w:val="single" w:sz="4" w:space="0" w:color="auto"/>
              <w:bottom w:val="single" w:sz="4" w:space="0" w:color="auto"/>
              <w:right w:val="single" w:sz="4" w:space="0" w:color="auto"/>
            </w:tcBorders>
            <w:shd w:val="clear" w:color="auto" w:fill="FFFFFF" w:themeFill="background1"/>
          </w:tcPr>
          <w:p w14:paraId="7DCBFBF6" w14:textId="12CBD50A" w:rsidR="00A36184" w:rsidRPr="0036581C" w:rsidRDefault="00421553"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0"/>
                <w:szCs w:val="20"/>
                <w14:ligatures w14:val="none"/>
              </w:rPr>
            </w:pPr>
            <w:r>
              <w:rPr>
                <w:rFonts w:ascii="Times New Roman" w:hAnsi="Times New Roman" w:cs="Times New Roman" w:hint="eastAsia"/>
                <w:color w:val="000000" w:themeColor="text1"/>
                <w:kern w:val="0"/>
                <w:sz w:val="20"/>
                <w:szCs w:val="20"/>
                <w14:ligatures w14:val="none"/>
              </w:rPr>
              <w:t xml:space="preserve">LCOS </w:t>
            </w:r>
            <w:r w:rsidRPr="00421553">
              <w:rPr>
                <w:rFonts w:ascii="Times New Roman" w:eastAsia="Times New Roman" w:hAnsi="Times New Roman" w:cs="Times New Roman"/>
                <w:color w:val="000000" w:themeColor="text1"/>
                <w:kern w:val="0"/>
                <w:sz w:val="20"/>
                <w:szCs w:val="20"/>
                <w14:ligatures w14:val="none"/>
              </w:rPr>
              <w:t>$/kWh</w:t>
            </w:r>
          </w:p>
        </w:tc>
        <w:tc>
          <w:tcPr>
            <w:tcW w:w="428" w:type="pct"/>
            <w:tcBorders>
              <w:top w:val="single" w:sz="4" w:space="0" w:color="auto"/>
              <w:left w:val="single" w:sz="4" w:space="0" w:color="auto"/>
              <w:bottom w:val="single" w:sz="4" w:space="0" w:color="auto"/>
              <w:right w:val="single" w:sz="4" w:space="0" w:color="auto"/>
            </w:tcBorders>
            <w:shd w:val="clear" w:color="auto" w:fill="FFFFFF" w:themeFill="background1"/>
          </w:tcPr>
          <w:p w14:paraId="05C9E330" w14:textId="57AFD075" w:rsidR="0036581C" w:rsidRDefault="00A36184"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0"/>
                <w:szCs w:val="20"/>
                <w14:ligatures w14:val="none"/>
              </w:rPr>
            </w:pPr>
            <w:r w:rsidRPr="0036581C">
              <w:rPr>
                <w:rFonts w:ascii="Times New Roman" w:eastAsia="Times New Roman" w:hAnsi="Times New Roman" w:cs="Times New Roman"/>
                <w:color w:val="000000" w:themeColor="text1"/>
                <w:kern w:val="0"/>
                <w:sz w:val="20"/>
                <w:szCs w:val="20"/>
                <w14:ligatures w14:val="none"/>
              </w:rPr>
              <w:t>Lifetime</w:t>
            </w:r>
            <w:r w:rsidR="0036581C">
              <w:rPr>
                <w:rFonts w:ascii="Times New Roman" w:eastAsia="Times New Roman" w:hAnsi="Times New Roman" w:cs="Times New Roman"/>
                <w:color w:val="000000" w:themeColor="text1"/>
                <w:kern w:val="0"/>
                <w:sz w:val="20"/>
                <w:szCs w:val="20"/>
                <w14:ligatures w14:val="none"/>
              </w:rPr>
              <w:t>-</w:t>
            </w:r>
            <w:r w:rsidRPr="0036581C">
              <w:rPr>
                <w:rFonts w:ascii="Times New Roman" w:eastAsia="Times New Roman" w:hAnsi="Times New Roman" w:cs="Times New Roman"/>
                <w:color w:val="000000" w:themeColor="text1"/>
                <w:kern w:val="0"/>
                <w:sz w:val="20"/>
                <w:szCs w:val="20"/>
                <w14:ligatures w14:val="none"/>
              </w:rPr>
              <w:t>yea</w:t>
            </w:r>
            <w:r w:rsidR="0036581C">
              <w:rPr>
                <w:rFonts w:ascii="Times New Roman" w:eastAsia="Times New Roman" w:hAnsi="Times New Roman" w:cs="Times New Roman"/>
                <w:color w:val="000000" w:themeColor="text1"/>
                <w:kern w:val="0"/>
                <w:sz w:val="20"/>
                <w:szCs w:val="20"/>
                <w14:ligatures w14:val="none"/>
              </w:rPr>
              <w:t>rs/</w:t>
            </w:r>
          </w:p>
          <w:p w14:paraId="65105D1C" w14:textId="7882F6AC" w:rsidR="00A36184" w:rsidRPr="0036581C" w:rsidRDefault="0036581C" w:rsidP="006447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0"/>
                <w:szCs w:val="20"/>
                <w14:ligatures w14:val="none"/>
              </w:rPr>
            </w:pPr>
            <w:r>
              <w:rPr>
                <w:rFonts w:ascii="Times New Roman" w:eastAsia="Times New Roman" w:hAnsi="Times New Roman" w:cs="Times New Roman"/>
                <w:color w:val="000000" w:themeColor="text1"/>
                <w:kern w:val="0"/>
                <w:sz w:val="20"/>
                <w:szCs w:val="20"/>
                <w14:ligatures w14:val="none"/>
              </w:rPr>
              <w:t>Mul-vector</w:t>
            </w:r>
          </w:p>
        </w:tc>
      </w:tr>
      <w:tr w:rsidR="0036581C" w:rsidRPr="004F051F" w14:paraId="467CDAED" w14:textId="3FD0DC47" w:rsidTr="00365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pct"/>
            <w:tcBorders>
              <w:top w:val="single" w:sz="4" w:space="0" w:color="auto"/>
            </w:tcBorders>
          </w:tcPr>
          <w:p w14:paraId="3F4A8DA4" w14:textId="5D9F6012" w:rsidR="00A36184" w:rsidRPr="000B002C" w:rsidRDefault="00A36184" w:rsidP="00460815">
            <w:pPr>
              <w:jc w:val="center"/>
              <w:rPr>
                <w:rFonts w:ascii="Times New Roman" w:hAnsi="Times New Roman" w:cs="Times New Roman"/>
                <w:b w:val="0"/>
                <w:color w:val="000000" w:themeColor="text1"/>
                <w:sz w:val="20"/>
                <w:szCs w:val="20"/>
              </w:rPr>
            </w:pPr>
            <w:r w:rsidRPr="000B002C">
              <w:rPr>
                <w:rFonts w:ascii="Times New Roman" w:hAnsi="Times New Roman" w:cs="Times New Roman"/>
                <w:color w:val="000000" w:themeColor="text1"/>
                <w:sz w:val="20"/>
                <w:szCs w:val="20"/>
              </w:rPr>
              <w:t xml:space="preserve">Vanadium redox </w:t>
            </w:r>
            <w:r w:rsidRPr="000B002C">
              <w:rPr>
                <w:rFonts w:ascii="Times New Roman" w:eastAsia="DengXian" w:hAnsi="Times New Roman" w:cs="Times New Roman"/>
                <w:color w:val="000000" w:themeColor="text1"/>
                <w:sz w:val="20"/>
                <w:szCs w:val="20"/>
              </w:rPr>
              <w:t xml:space="preserve">flow </w:t>
            </w:r>
            <w:r>
              <w:rPr>
                <w:rFonts w:ascii="Times New Roman" w:eastAsia="DengXian" w:hAnsi="Times New Roman" w:cs="Times New Roman"/>
                <w:color w:val="000000" w:themeColor="text1"/>
                <w:sz w:val="20"/>
                <w:szCs w:val="20"/>
              </w:rPr>
              <w:t xml:space="preserve">Batt </w:t>
            </w:r>
            <w:r>
              <w:rPr>
                <w:rFonts w:ascii="Times New Roman" w:hAnsi="Times New Roman" w:cs="Times New Roman"/>
                <w:color w:val="000000" w:themeColor="text1"/>
                <w:sz w:val="20"/>
                <w:szCs w:val="20"/>
              </w:rPr>
              <w:t>(VRF)</w:t>
            </w:r>
          </w:p>
        </w:tc>
        <w:tc>
          <w:tcPr>
            <w:tcW w:w="369" w:type="pct"/>
            <w:tcBorders>
              <w:top w:val="single" w:sz="4" w:space="0" w:color="auto"/>
            </w:tcBorders>
          </w:tcPr>
          <w:p w14:paraId="2A289D21" w14:textId="4635693C" w:rsidR="00A36184" w:rsidRDefault="00A36184" w:rsidP="00460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sidRPr="004F051F">
              <w:rPr>
                <w:rFonts w:ascii="Times New Roman" w:hAnsi="Times New Roman" w:cs="Times New Roman"/>
                <w:sz w:val="20"/>
                <w:szCs w:val="20"/>
              </w:rPr>
              <w:t>90</w:t>
            </w:r>
          </w:p>
        </w:tc>
        <w:tc>
          <w:tcPr>
            <w:tcW w:w="369" w:type="pct"/>
            <w:tcBorders>
              <w:top w:val="single" w:sz="4" w:space="0" w:color="auto"/>
            </w:tcBorders>
          </w:tcPr>
          <w:p w14:paraId="7320B894" w14:textId="0A12F359" w:rsidR="00A36184" w:rsidRDefault="00A36184" w:rsidP="00460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sidRPr="004F051F">
              <w:rPr>
                <w:rFonts w:ascii="Times New Roman" w:hAnsi="Times New Roman" w:cs="Times New Roman"/>
                <w:sz w:val="20"/>
                <w:szCs w:val="20"/>
              </w:rPr>
              <w:t>90</w:t>
            </w:r>
          </w:p>
        </w:tc>
        <w:tc>
          <w:tcPr>
            <w:tcW w:w="422" w:type="pct"/>
            <w:tcBorders>
              <w:top w:val="single" w:sz="4" w:space="0" w:color="auto"/>
            </w:tcBorders>
          </w:tcPr>
          <w:p w14:paraId="4955EB71" w14:textId="140E5AED" w:rsidR="00A36184" w:rsidRDefault="00A36184" w:rsidP="00460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hint="eastAsia"/>
                <w:sz w:val="20"/>
                <w:szCs w:val="20"/>
              </w:rPr>
              <w:t>0.001</w:t>
            </w:r>
          </w:p>
        </w:tc>
        <w:tc>
          <w:tcPr>
            <w:tcW w:w="307" w:type="pct"/>
            <w:tcBorders>
              <w:top w:val="single" w:sz="4" w:space="0" w:color="auto"/>
            </w:tcBorders>
          </w:tcPr>
          <w:p w14:paraId="00363AA0" w14:textId="50F85DFE" w:rsidR="00A36184" w:rsidRDefault="00A36184" w:rsidP="00460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sidRPr="004F051F">
              <w:rPr>
                <w:rFonts w:ascii="Times New Roman" w:hAnsi="Times New Roman" w:cs="Times New Roman"/>
                <w:sz w:val="20"/>
                <w:szCs w:val="20"/>
              </w:rPr>
              <w:t>80</w:t>
            </w:r>
            <w:r w:rsidRPr="004F051F">
              <w:rPr>
                <w:rFonts w:ascii="Times New Roman" w:hAnsi="Times New Roman" w:cs="Times New Roman"/>
                <w:sz w:val="20"/>
                <w:szCs w:val="20"/>
              </w:rPr>
              <w:fldChar w:fldCharType="begin" w:fldLock="1"/>
            </w:r>
            <w:r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4F051F">
              <w:rPr>
                <w:rFonts w:ascii="Times New Roman" w:hAnsi="Times New Roman" w:cs="Times New Roman"/>
                <w:noProof/>
                <w:sz w:val="20"/>
                <w:szCs w:val="20"/>
                <w:vertAlign w:val="superscript"/>
              </w:rPr>
              <w:t>1</w:t>
            </w:r>
            <w:r w:rsidRPr="004F051F">
              <w:rPr>
                <w:rFonts w:ascii="Times New Roman" w:hAnsi="Times New Roman" w:cs="Times New Roman"/>
                <w:sz w:val="20"/>
                <w:szCs w:val="20"/>
              </w:rPr>
              <w:fldChar w:fldCharType="end"/>
            </w:r>
          </w:p>
        </w:tc>
        <w:tc>
          <w:tcPr>
            <w:tcW w:w="453" w:type="pct"/>
            <w:tcBorders>
              <w:top w:val="single" w:sz="4" w:space="0" w:color="auto"/>
            </w:tcBorders>
          </w:tcPr>
          <w:p w14:paraId="3B73C72B" w14:textId="234DA9A5" w:rsidR="00A36184" w:rsidRDefault="00A36184" w:rsidP="00460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eastAsia="DengXian" w:hAnsi="Times New Roman" w:cs="Times New Roman"/>
                <w:sz w:val="20"/>
                <w:szCs w:val="20"/>
              </w:rPr>
              <w:t>177</w:t>
            </w:r>
            <w:r w:rsidRPr="004F051F">
              <w:rPr>
                <w:rFonts w:ascii="Times New Roman" w:hAnsi="Times New Roman" w:cs="Times New Roman"/>
                <w:sz w:val="20"/>
                <w:szCs w:val="20"/>
              </w:rPr>
              <w:fldChar w:fldCharType="begin" w:fldLock="1"/>
            </w:r>
            <w:r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4F051F">
              <w:rPr>
                <w:rFonts w:ascii="Times New Roman" w:hAnsi="Times New Roman" w:cs="Times New Roman"/>
                <w:noProof/>
                <w:sz w:val="20"/>
                <w:szCs w:val="20"/>
                <w:vertAlign w:val="superscript"/>
              </w:rPr>
              <w:t>1</w:t>
            </w:r>
            <w:r w:rsidRPr="004F051F">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p>
        </w:tc>
        <w:tc>
          <w:tcPr>
            <w:tcW w:w="401" w:type="pct"/>
            <w:tcBorders>
              <w:top w:val="single" w:sz="4" w:space="0" w:color="auto"/>
            </w:tcBorders>
          </w:tcPr>
          <w:p w14:paraId="63AC9B8E" w14:textId="7571D303" w:rsidR="00A36184" w:rsidRDefault="00A36184" w:rsidP="00460815">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386</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p>
        </w:tc>
        <w:tc>
          <w:tcPr>
            <w:tcW w:w="463" w:type="pct"/>
            <w:tcBorders>
              <w:top w:val="single" w:sz="4" w:space="0" w:color="auto"/>
            </w:tcBorders>
          </w:tcPr>
          <w:p w14:paraId="6FD88421" w14:textId="2AB92383" w:rsidR="00A36184" w:rsidRDefault="00A36184" w:rsidP="00460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sz w:val="20"/>
                <w:szCs w:val="20"/>
              </w:rPr>
              <w:t>177</w:t>
            </w:r>
            <w:r w:rsidRPr="004F051F">
              <w:rPr>
                <w:rFonts w:ascii="Times New Roman" w:hAnsi="Times New Roman" w:cs="Times New Roman"/>
                <w:sz w:val="20"/>
                <w:szCs w:val="20"/>
              </w:rPr>
              <w:fldChar w:fldCharType="begin" w:fldLock="1"/>
            </w:r>
            <w:r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4F051F">
              <w:rPr>
                <w:rFonts w:ascii="Times New Roman" w:hAnsi="Times New Roman" w:cs="Times New Roman"/>
                <w:noProof/>
                <w:sz w:val="20"/>
                <w:szCs w:val="20"/>
                <w:vertAlign w:val="superscript"/>
              </w:rPr>
              <w:t>1</w:t>
            </w:r>
            <w:r w:rsidRPr="004F051F">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p>
        </w:tc>
        <w:tc>
          <w:tcPr>
            <w:tcW w:w="407" w:type="pct"/>
            <w:tcBorders>
              <w:top w:val="single" w:sz="4" w:space="0" w:color="auto"/>
            </w:tcBorders>
          </w:tcPr>
          <w:p w14:paraId="1B94112A" w14:textId="77777777" w:rsidR="00A36184" w:rsidRDefault="00A36184" w:rsidP="004608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11.3</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Times New Roman" w:hAnsi="Times New Roman" w:cs="Times New Roman"/>
                <w:color w:val="000000"/>
                <w:kern w:val="0"/>
                <w:sz w:val="20"/>
                <w:szCs w:val="20"/>
                <w:lang w:eastAsia="zh-TW"/>
                <w14:ligatures w14:val="none"/>
              </w:rPr>
              <w:t>,</w:t>
            </w:r>
          </w:p>
          <w:p w14:paraId="6051D541" w14:textId="77777777" w:rsidR="00A36184" w:rsidRDefault="00A36184" w:rsidP="004608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p>
        </w:tc>
        <w:tc>
          <w:tcPr>
            <w:tcW w:w="356" w:type="pct"/>
            <w:tcBorders>
              <w:top w:val="single" w:sz="4" w:space="0" w:color="auto"/>
            </w:tcBorders>
          </w:tcPr>
          <w:p w14:paraId="3E6F14C7" w14:textId="1A63310E" w:rsidR="00A36184" w:rsidRDefault="00A36184" w:rsidP="004608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0.5125</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p>
        </w:tc>
        <w:tc>
          <w:tcPr>
            <w:tcW w:w="406" w:type="pct"/>
            <w:tcBorders>
              <w:top w:val="single" w:sz="4" w:space="0" w:color="auto"/>
            </w:tcBorders>
          </w:tcPr>
          <w:p w14:paraId="04659BB9" w14:textId="1BB2A2BE" w:rsidR="00A36184" w:rsidRPr="00463C96" w:rsidRDefault="004073D5" w:rsidP="00460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color w:val="000000"/>
                <w:kern w:val="0"/>
                <w:sz w:val="20"/>
                <w:szCs w:val="20"/>
                <w14:ligatures w14:val="none"/>
              </w:rPr>
              <w:t>319</w:t>
            </w:r>
          </w:p>
        </w:tc>
        <w:tc>
          <w:tcPr>
            <w:tcW w:w="428" w:type="pct"/>
            <w:tcBorders>
              <w:top w:val="single" w:sz="4" w:space="0" w:color="auto"/>
            </w:tcBorders>
          </w:tcPr>
          <w:p w14:paraId="6B46A585" w14:textId="77777777" w:rsidR="00A36184" w:rsidRDefault="00590B1D" w:rsidP="00460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hint="eastAsia"/>
                <w:color w:val="000000"/>
                <w:kern w:val="0"/>
                <w:sz w:val="20"/>
                <w:szCs w:val="20"/>
                <w14:ligatures w14:val="none"/>
              </w:rPr>
              <w:t>15,</w:t>
            </w:r>
          </w:p>
          <w:p w14:paraId="4A9F7937" w14:textId="1048DF39" w:rsidR="00590B1D" w:rsidRPr="00590B1D" w:rsidRDefault="00590B1D" w:rsidP="00460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hint="eastAsia"/>
                <w:color w:val="000000"/>
                <w:kern w:val="0"/>
                <w:sz w:val="20"/>
                <w:szCs w:val="20"/>
                <w14:ligatures w14:val="none"/>
              </w:rPr>
              <w:t>E</w:t>
            </w:r>
          </w:p>
        </w:tc>
      </w:tr>
      <w:tr w:rsidR="0036581C" w:rsidRPr="004F051F" w14:paraId="61F9F441" w14:textId="62FA229F" w:rsidTr="0036581C">
        <w:tc>
          <w:tcPr>
            <w:cnfStyle w:val="001000000000" w:firstRow="0" w:lastRow="0" w:firstColumn="1" w:lastColumn="0" w:oddVBand="0" w:evenVBand="0" w:oddHBand="0" w:evenHBand="0" w:firstRowFirstColumn="0" w:firstRowLastColumn="0" w:lastRowFirstColumn="0" w:lastRowLastColumn="0"/>
            <w:tcW w:w="619" w:type="pct"/>
          </w:tcPr>
          <w:p w14:paraId="23625720" w14:textId="608C707B" w:rsidR="00A36184" w:rsidRPr="000B002C" w:rsidRDefault="00A36184" w:rsidP="00086CA5">
            <w:pPr>
              <w:jc w:val="center"/>
              <w:rPr>
                <w:rFonts w:ascii="Times New Roman" w:hAnsi="Times New Roman" w:cs="Times New Roman"/>
                <w:b w:val="0"/>
                <w:color w:val="000000" w:themeColor="text1"/>
                <w:sz w:val="20"/>
                <w:szCs w:val="20"/>
              </w:rPr>
            </w:pPr>
            <w:r w:rsidRPr="000B002C">
              <w:rPr>
                <w:rFonts w:ascii="Times New Roman" w:hAnsi="Times New Roman" w:cs="Times New Roman"/>
                <w:color w:val="000000" w:themeColor="text1"/>
                <w:sz w:val="20"/>
                <w:szCs w:val="20"/>
              </w:rPr>
              <w:t xml:space="preserve">Compressed air </w:t>
            </w:r>
            <w:r>
              <w:rPr>
                <w:rFonts w:ascii="Times New Roman" w:hAnsi="Times New Roman" w:cs="Times New Roman"/>
                <w:color w:val="000000" w:themeColor="text1"/>
                <w:sz w:val="20"/>
                <w:szCs w:val="20"/>
              </w:rPr>
              <w:t>ESS (CAES)</w:t>
            </w:r>
            <w:r w:rsidRPr="006A216F">
              <w:rPr>
                <w:rFonts w:ascii="Times New Roman" w:hAnsi="Times New Roman" w:cs="Times New Roman"/>
                <w:b w:val="0"/>
                <w:bCs w:val="0"/>
                <w:color w:val="000000" w:themeColor="text1"/>
                <w:sz w:val="20"/>
                <w:szCs w:val="20"/>
                <w:vertAlign w:val="superscript"/>
              </w:rPr>
              <w:t>a</w:t>
            </w:r>
          </w:p>
        </w:tc>
        <w:tc>
          <w:tcPr>
            <w:tcW w:w="369" w:type="pct"/>
          </w:tcPr>
          <w:p w14:paraId="0EB51FA6" w14:textId="381F9842"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hint="eastAsia"/>
                <w:sz w:val="20"/>
                <w:szCs w:val="20"/>
              </w:rPr>
              <w:t>8</w:t>
            </w:r>
            <w:r>
              <w:rPr>
                <w:rFonts w:ascii="Times New Roman" w:hAnsi="Times New Roman" w:cs="Times New Roman"/>
                <w:sz w:val="20"/>
                <w:szCs w:val="20"/>
              </w:rPr>
              <w:t>5</w:t>
            </w:r>
          </w:p>
        </w:tc>
        <w:tc>
          <w:tcPr>
            <w:tcW w:w="369" w:type="pct"/>
          </w:tcPr>
          <w:p w14:paraId="558BDF8C" w14:textId="4280A4D7"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0.90</w:t>
            </w:r>
          </w:p>
        </w:tc>
        <w:tc>
          <w:tcPr>
            <w:tcW w:w="422" w:type="pct"/>
          </w:tcPr>
          <w:p w14:paraId="720BD932" w14:textId="575FAD52" w:rsidR="00A36184" w:rsidRPr="00813BC8"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hint="eastAsia"/>
                <w:sz w:val="20"/>
                <w:szCs w:val="20"/>
              </w:rPr>
              <w:t>0</w:t>
            </w:r>
          </w:p>
        </w:tc>
        <w:tc>
          <w:tcPr>
            <w:tcW w:w="307" w:type="pct"/>
          </w:tcPr>
          <w:p w14:paraId="4B983D1D" w14:textId="2218C5C8"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hint="eastAsia"/>
                <w:sz w:val="20"/>
                <w:szCs w:val="20"/>
              </w:rPr>
              <w:t>65</w:t>
            </w:r>
            <w:r w:rsidRPr="004F051F">
              <w:rPr>
                <w:rFonts w:ascii="Times New Roman" w:hAnsi="Times New Roman" w:cs="Times New Roman"/>
                <w:sz w:val="20"/>
                <w:szCs w:val="20"/>
              </w:rPr>
              <w:fldChar w:fldCharType="begin" w:fldLock="1"/>
            </w:r>
            <w:r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4F051F">
              <w:rPr>
                <w:rFonts w:ascii="Times New Roman" w:hAnsi="Times New Roman" w:cs="Times New Roman"/>
                <w:noProof/>
                <w:sz w:val="20"/>
                <w:szCs w:val="20"/>
                <w:vertAlign w:val="superscript"/>
              </w:rPr>
              <w:t>1</w:t>
            </w:r>
            <w:r w:rsidRPr="004F051F">
              <w:rPr>
                <w:rFonts w:ascii="Times New Roman" w:hAnsi="Times New Roman" w:cs="Times New Roman"/>
                <w:sz w:val="20"/>
                <w:szCs w:val="20"/>
              </w:rPr>
              <w:fldChar w:fldCharType="end"/>
            </w:r>
          </w:p>
        </w:tc>
        <w:tc>
          <w:tcPr>
            <w:tcW w:w="453" w:type="pct"/>
          </w:tcPr>
          <w:p w14:paraId="2A6D5562" w14:textId="368051E4" w:rsidR="00A36184" w:rsidRPr="00813BC8"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themeColor="text1"/>
                <w:sz w:val="20"/>
                <w:szCs w:val="20"/>
              </w:rPr>
              <w:t>545</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hAnsi="Times New Roman" w:cs="Times New Roman"/>
                <w:color w:val="000000" w:themeColor="text1"/>
                <w:sz w:val="20"/>
                <w:szCs w:val="20"/>
              </w:rPr>
              <w:t>,</w:t>
            </w:r>
          </w:p>
        </w:tc>
        <w:tc>
          <w:tcPr>
            <w:tcW w:w="401" w:type="pct"/>
          </w:tcPr>
          <w:p w14:paraId="3F714DE5" w14:textId="2809D9E3"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3.4</w:t>
            </w:r>
            <w:r w:rsidRPr="004F051F">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{"citationItems":[{"id":"ITEM-1","itemData":{"ISBN":"9781782526667","abstract":"The UK Government has a stated ambition to decarbonise the electricity system by 2035 and is committed to reaching net zero by 2050. As Great Britain’s electricity supply is decarbonised, an increasing fraction will be provided by wind and solar energy because they are the cheapest form of low-carbon generation. Wind and solar supply vary on time scales ranging from seconds to decades. However high the average level of supply might be, there will be times when wind and solar generation is close to zero and periods when there is enough to meet part of but not all demand, as well as times when it exceeds demand. To ensure that demand is always met, the volatile wind and solar generated electricity that is fed directly into the grid must be complemented by other flexible low-carbon sources, and / or using excess wind and solar energy that has been stored. The excess could be stored in a variety of ways, for example electrochemically in batteries, gravitationally by pumping water into dams, mechanically by compressing air, chemically by making hydrogen, or as heat. This report considers the use of large-scale electricity storage when power is supplied predominantly by wind and solar. It draws on studies from around the world but is focussed on the need for large-scale electrical energy storage in Great Britaina (GB) and how, and at what cost, storage needs might best be met. Major conclusions • In 2050 Great Britain’s demand for electricity could be met by wind and solar energy supported by large-scale storage. • The cost of complementing direct wind and solar supply with storage compares very favourably with the cost of low-carbon alternatives. Further, storage has the potential to provide greater energy security. • Wind supply can vary over time scales of decades and tens of TWhs of very long- duration storage will be needed. The scale is over 1000 times that currently provided by pumped hydro in the UK, and far more than could conceivably be provided by conventional batteries. Meeting the need for long-duration storage will require very low cost per unit energy stored. In GB, the leading candidate is storage of hydrogen in solution-mined salt caverns, for which GB has a more than adequate potential, albeit not widely distributed. The fall-back option, which would be significantly more expensive, is ammonia. • The demand for electricity in GB in 2050 is assumed to be 570 TWh/year in most of this report. In principle it could all be met by wind and solar s…","author":[{"dropping-particle":"","family":"The Royal Society","given":"","non-dropping-particle":"","parse-names":false,"suffix":""}],"id":"ITEM-1","issued":{"date-parts":[["2023"]]},"title":"Large-scale electricity storage","type":"book"},"uris":["http://www.mendeley.com/documents/?uuid=d5232023-3ec9-42cb-80b1-b461589ac9f0"]}],"mendeley":{"formattedCitation":"&lt;sup&gt;3&lt;/sup&gt;","plainTextFormattedCitation":"3","previouslyFormattedCitation":"&lt;sup&gt;3&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3</w:t>
            </w:r>
            <w:r w:rsidRPr="004F051F">
              <w:rPr>
                <w:rFonts w:ascii="Times New Roman" w:hAnsi="Times New Roman" w:cs="Times New Roman"/>
                <w:sz w:val="20"/>
                <w:szCs w:val="20"/>
              </w:rPr>
              <w:fldChar w:fldCharType="end"/>
            </w:r>
          </w:p>
        </w:tc>
        <w:tc>
          <w:tcPr>
            <w:tcW w:w="463" w:type="pct"/>
          </w:tcPr>
          <w:p w14:paraId="78C613FE" w14:textId="79589780" w:rsidR="00A36184" w:rsidRPr="0084553C"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672</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p>
        </w:tc>
        <w:tc>
          <w:tcPr>
            <w:tcW w:w="407" w:type="pct"/>
          </w:tcPr>
          <w:p w14:paraId="4FFEDF22" w14:textId="5601298E" w:rsidR="00A36184" w:rsidRPr="0084553C"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eastAsia="Times New Roman" w:hAnsi="Times New Roman" w:cs="Times New Roman"/>
                <w:color w:val="000000"/>
                <w:kern w:val="0"/>
                <w:sz w:val="20"/>
                <w:szCs w:val="20"/>
                <w:lang w:eastAsia="zh-TW"/>
                <w14:ligatures w14:val="none"/>
              </w:rPr>
              <w:t>12.9</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p>
        </w:tc>
        <w:tc>
          <w:tcPr>
            <w:tcW w:w="356" w:type="pct"/>
          </w:tcPr>
          <w:p w14:paraId="005C2EC8" w14:textId="40BD28B1" w:rsidR="00A36184" w:rsidRPr="00C12F6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lang w:eastAsia="zh-TW"/>
                <w14:ligatures w14:val="none"/>
              </w:rPr>
              <w:t>1.7</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p>
        </w:tc>
        <w:tc>
          <w:tcPr>
            <w:tcW w:w="406" w:type="pct"/>
          </w:tcPr>
          <w:p w14:paraId="1492A012" w14:textId="2EAB7B24" w:rsidR="00A36184" w:rsidRDefault="004073D5"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106</w:t>
            </w:r>
          </w:p>
        </w:tc>
        <w:tc>
          <w:tcPr>
            <w:tcW w:w="428" w:type="pct"/>
          </w:tcPr>
          <w:p w14:paraId="0B665AE1" w14:textId="2D90CDD1" w:rsidR="00A36184" w:rsidRDefault="00590B1D"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hint="eastAsia"/>
                <w:color w:val="000000"/>
                <w:kern w:val="0"/>
                <w:sz w:val="20"/>
                <w:szCs w:val="20"/>
                <w14:ligatures w14:val="none"/>
              </w:rPr>
              <w:t>25,</w:t>
            </w:r>
          </w:p>
          <w:p w14:paraId="310F2054" w14:textId="6250A4E0" w:rsidR="00590B1D" w:rsidRPr="00590B1D" w:rsidRDefault="00590B1D"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hint="eastAsia"/>
                <w:color w:val="000000"/>
                <w:kern w:val="0"/>
                <w:sz w:val="20"/>
                <w:szCs w:val="20"/>
                <w14:ligatures w14:val="none"/>
              </w:rPr>
              <w:t>E/H</w:t>
            </w:r>
          </w:p>
        </w:tc>
      </w:tr>
      <w:tr w:rsidR="0036581C" w:rsidRPr="004F051F" w14:paraId="6442EDB2" w14:textId="2C5805F1" w:rsidTr="00365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pct"/>
          </w:tcPr>
          <w:p w14:paraId="6DDEE4F1" w14:textId="35CAC106" w:rsidR="00A36184" w:rsidRPr="000B002C" w:rsidRDefault="00A36184" w:rsidP="00086CA5">
            <w:pPr>
              <w:jc w:val="center"/>
              <w:rPr>
                <w:rFonts w:ascii="Times New Roman" w:hAnsi="Times New Roman" w:cs="Times New Roman"/>
                <w:b w:val="0"/>
                <w:color w:val="000000" w:themeColor="text1"/>
                <w:sz w:val="20"/>
                <w:szCs w:val="20"/>
              </w:rPr>
            </w:pPr>
            <w:r w:rsidRPr="000B002C">
              <w:rPr>
                <w:rFonts w:ascii="Times New Roman" w:hAnsi="Times New Roman" w:cs="Times New Roman"/>
                <w:color w:val="000000" w:themeColor="text1"/>
                <w:sz w:val="20"/>
                <w:szCs w:val="20"/>
              </w:rPr>
              <w:t>Liquid air</w:t>
            </w:r>
            <w:r>
              <w:rPr>
                <w:rFonts w:ascii="Times New Roman" w:hAnsi="Times New Roman" w:cs="Times New Roman"/>
                <w:color w:val="000000" w:themeColor="text1"/>
                <w:sz w:val="20"/>
                <w:szCs w:val="20"/>
              </w:rPr>
              <w:t xml:space="preserve"> ESS (LAES)</w:t>
            </w:r>
            <w:r w:rsidRPr="006A216F">
              <w:rPr>
                <w:rFonts w:ascii="Times New Roman" w:hAnsi="Times New Roman" w:cs="Times New Roman"/>
                <w:b w:val="0"/>
                <w:bCs w:val="0"/>
                <w:color w:val="000000" w:themeColor="text1"/>
                <w:sz w:val="20"/>
                <w:szCs w:val="20"/>
                <w:vertAlign w:val="superscript"/>
              </w:rPr>
              <w:t>b</w:t>
            </w:r>
          </w:p>
        </w:tc>
        <w:tc>
          <w:tcPr>
            <w:tcW w:w="369" w:type="pct"/>
          </w:tcPr>
          <w:p w14:paraId="1B01EB9D" w14:textId="68999CCE" w:rsidR="00A36184" w:rsidRPr="004F051F" w:rsidRDefault="00A36184"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0.6</w:t>
            </w:r>
            <w:r w:rsidRPr="004F051F">
              <w:rPr>
                <w:rFonts w:ascii="Times New Roman" w:hAnsi="Times New Roman" w:cs="Times New Roman"/>
                <w:sz w:val="20"/>
                <w:szCs w:val="20"/>
              </w:rPr>
              <w:t>0</w:t>
            </w:r>
          </w:p>
        </w:tc>
        <w:tc>
          <w:tcPr>
            <w:tcW w:w="369" w:type="pct"/>
          </w:tcPr>
          <w:p w14:paraId="33B89577" w14:textId="07E45787" w:rsidR="00A36184" w:rsidRPr="004F051F" w:rsidRDefault="00A36184"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sidRPr="004F051F">
              <w:rPr>
                <w:rFonts w:ascii="Times New Roman" w:hAnsi="Times New Roman" w:cs="Times New Roman"/>
                <w:sz w:val="20"/>
                <w:szCs w:val="20"/>
              </w:rPr>
              <w:t>90</w:t>
            </w:r>
            <w:r w:rsidRPr="004F051F">
              <w:rPr>
                <w:rFonts w:ascii="Times New Roman" w:hAnsi="Times New Roman" w:cs="Times New Roman"/>
                <w:sz w:val="20"/>
                <w:szCs w:val="20"/>
              </w:rPr>
              <w:fldChar w:fldCharType="begin" w:fldLock="1"/>
            </w:r>
            <w:r>
              <w:rPr>
                <w:rFonts w:ascii="Times New Roman" w:hAnsi="Times New Roman" w:cs="Times New Roman"/>
                <w:sz w:val="20"/>
                <w:szCs w:val="20"/>
              </w:rPr>
              <w:instrText xml:space="preserve">ADDIN CSL_CITATION {"citationItems":[{"id":"ITEM-1","itemData":{"DOI":"10.1016/j.enconman.2025.119524","ISSN":"01968904","abstract":"Different storage technologies can offer promising solutions for integrating large amounts of intermittent and variable renewables, in which the liquid air energy storage (LAES) has key advantages, including its high scalability, no geographical constraints, and multi-vector services. This work aims to assess the cost-effective net-zero energy transition pathways for the UK by 2050. A new multi-zone mixed-integer-linear-programming-based energy expansion framework, which can highlight the crucial roles of LAES and other energy storage, was developed to perform the optimal design and operation of energy systems. The scenario and sensitivity analyses revealed the techno-economic performances of different pathways and four key results. First, it showed that a net-zero-carbon power-heat-coupled energy system is feasible in the UK by 2050, with a levelized cost of electricity at 65 </w:instrText>
            </w:r>
            <w:r>
              <w:rPr>
                <w:rFonts w:ascii="Cambria Math" w:hAnsi="Cambria Math" w:cs="Cambria Math"/>
                <w:sz w:val="20"/>
                <w:szCs w:val="20"/>
              </w:rPr>
              <w:instrText>∼</w:instrText>
            </w:r>
            <w:r>
              <w:rPr>
                <w:rFonts w:ascii="Times New Roman" w:hAnsi="Times New Roman" w:cs="Times New Roman"/>
                <w:sz w:val="20"/>
                <w:szCs w:val="20"/>
              </w:rPr>
              <w:instrText xml:space="preserve"> 80 £/MWh, and a levelized cost of heat energy at 45 </w:instrText>
            </w:r>
            <w:r>
              <w:rPr>
                <w:rFonts w:ascii="Cambria Math" w:hAnsi="Cambria Math" w:cs="Cambria Math"/>
                <w:sz w:val="20"/>
                <w:szCs w:val="20"/>
              </w:rPr>
              <w:instrText>∼</w:instrText>
            </w:r>
            <w:r>
              <w:rPr>
                <w:rFonts w:ascii="Times New Roman" w:hAnsi="Times New Roman" w:cs="Times New Roman"/>
                <w:sz w:val="20"/>
                <w:szCs w:val="20"/>
              </w:rPr>
              <w:instrText xml:space="preserve"> 63 £/MWh. The major generators’ expansions are onshore wind power (94.5 GW) and LAES (384 GWh) in the power sector, and the air-source heat pump (</w:instrText>
            </w:r>
            <w:r>
              <w:rPr>
                <w:rFonts w:ascii="Cambria Math" w:hAnsi="Cambria Math" w:cs="Cambria Math"/>
                <w:sz w:val="20"/>
                <w:szCs w:val="20"/>
              </w:rPr>
              <w:instrText>∼</w:instrText>
            </w:r>
            <w:r>
              <w:rPr>
                <w:rFonts w:ascii="Times New Roman" w:hAnsi="Times New Roman" w:cs="Times New Roman"/>
                <w:sz w:val="20"/>
                <w:szCs w:val="20"/>
              </w:rPr>
              <w:instrText xml:space="preserve">80 </w:instrText>
            </w:r>
            <w:r>
              <w:rPr>
                <w:rFonts w:ascii="Cambria Math" w:hAnsi="Cambria Math" w:cs="Cambria Math"/>
                <w:sz w:val="20"/>
                <w:szCs w:val="20"/>
              </w:rPr>
              <w:instrText>∼</w:instrText>
            </w:r>
            <w:r>
              <w:rPr>
                <w:rFonts w:ascii="Times New Roman" w:hAnsi="Times New Roman" w:cs="Times New Roman"/>
                <w:sz w:val="20"/>
                <w:szCs w:val="20"/>
              </w:rPr>
              <w:instrText xml:space="preserve"> 90 GW) and short-term heat storage (330 GWh) in the heat sector. Importantly, it demonstrated the crucial roles of LAES and other energy storage in the UK energy transition from a techno-economic view. Specifically, only </w:instrText>
            </w:r>
            <w:r>
              <w:rPr>
                <w:rFonts w:ascii="Cambria Math" w:hAnsi="Cambria Math" w:cs="Cambria Math"/>
                <w:sz w:val="20"/>
                <w:szCs w:val="20"/>
              </w:rPr>
              <w:instrText>∼</w:instrText>
            </w:r>
            <w:r>
              <w:rPr>
                <w:rFonts w:ascii="Times New Roman" w:hAnsi="Times New Roman" w:cs="Times New Roman"/>
                <w:sz w:val="20"/>
                <w:szCs w:val="20"/>
              </w:rPr>
              <w:instrText xml:space="preserve"> 10–12 % of storage investment can reduce the annual renewable curtailments by more than 80 % and the system annual costs by </w:instrText>
            </w:r>
            <w:r>
              <w:rPr>
                <w:rFonts w:ascii="Cambria Math" w:hAnsi="Cambria Math" w:cs="Cambria Math"/>
                <w:sz w:val="20"/>
                <w:szCs w:val="20"/>
              </w:rPr>
              <w:instrText>∼</w:instrText>
            </w:r>
            <w:r>
              <w:rPr>
                <w:rFonts w:ascii="Times New Roman" w:hAnsi="Times New Roman" w:cs="Times New Roman"/>
                <w:sz w:val="20"/>
                <w:szCs w:val="20"/>
              </w:rPr>
              <w:instrText xml:space="preserve"> 15.1 % − 28 % depending on different scenarios. The optimal capacity ratios of LAES and renewables are </w:instrText>
            </w:r>
            <w:r>
              <w:rPr>
                <w:rFonts w:ascii="Cambria Math" w:hAnsi="Cambria Math" w:cs="Cambria Math"/>
                <w:sz w:val="20"/>
                <w:szCs w:val="20"/>
              </w:rPr>
              <w:instrText>∼</w:instrText>
            </w:r>
            <w:r>
              <w:rPr>
                <w:rFonts w:ascii="Times New Roman" w:hAnsi="Times New Roman" w:cs="Times New Roman"/>
                <w:sz w:val="20"/>
                <w:szCs w:val="20"/>
              </w:rPr>
              <w:instrText xml:space="preserve"> 16 % − 25 % in different zones. The last notable observation suggested that the LAESs with charge durations at 8 </w:instrText>
            </w:r>
            <w:r>
              <w:rPr>
                <w:rFonts w:ascii="Cambria Math" w:hAnsi="Cambria Math" w:cs="Cambria Math"/>
                <w:sz w:val="20"/>
                <w:szCs w:val="20"/>
              </w:rPr>
              <w:instrText>∼</w:instrText>
            </w:r>
            <w:r>
              <w:rPr>
                <w:rFonts w:ascii="Times New Roman" w:hAnsi="Times New Roman" w:cs="Times New Roman"/>
                <w:sz w:val="20"/>
                <w:szCs w:val="20"/>
              </w:rPr>
              <w:instrText xml:space="preserve"> 10 h and discharge durations at 12 </w:instrText>
            </w:r>
            <w:r>
              <w:rPr>
                <w:rFonts w:ascii="Cambria Math" w:hAnsi="Cambria Math" w:cs="Cambria Math"/>
                <w:sz w:val="20"/>
                <w:szCs w:val="20"/>
              </w:rPr>
              <w:instrText>∼</w:instrText>
            </w:r>
            <w:r>
              <w:rPr>
                <w:rFonts w:ascii="Times New Roman" w:hAnsi="Times New Roman" w:cs="Times New Roman"/>
                <w:sz w:val="20"/>
                <w:szCs w:val="20"/>
              </w:rPr>
              <w:instrText xml:space="preserve"> 15 h are more suitable for the wind-dominated case (like the UK) than short-duration batteries (</w:instrText>
            </w:r>
            <w:r>
              <w:rPr>
                <w:rFonts w:ascii="Cambria Math" w:hAnsi="Cambria Math" w:cs="Cambria Math"/>
                <w:sz w:val="20"/>
                <w:szCs w:val="20"/>
              </w:rPr>
              <w:instrText>∼</w:instrText>
            </w:r>
            <w:r>
              <w:rPr>
                <w:rFonts w:ascii="Times New Roman" w:hAnsi="Times New Roman" w:cs="Times New Roman"/>
                <w:sz w:val="20"/>
                <w:szCs w:val="20"/>
              </w:rPr>
              <w:instrText>4/5h). Overall, the developed energy expansion framework can facilitate the planning of conventional energy and storage technologies to absorb renewable energies, and the meaningful results can provide policymakers with enlightening views about developing policies relating to achieving carbon mitigation ambitions.","author":[{"dropping-particle":"","family":"Liang","given":"Ting","non-dropping-particle":"","parse-names":false,"suffix":""},{"dropping-particle":"","family":"Li","given":"Yongliang","non-dropping-particle":"","parse-names":false,"suffix":""},{"dropping-particle":"","family":"Nie","given":"Binjian","non-dropping-particle":"","parse-names":false,"suffix":""},{"dropping-particle":"","family":"Ahmad","given":"Abdalqader","non-dropping-particle":"","parse-names":false,"suffix":""},{"dropping-particle":"","family":"Ding","given":"Yulong","non-dropping-particle":"","parse-names":false,"suffix":""}],"container-title":"Energy Conversion and Management","id":"ITEM-1","issue":"January","issued":{"date-parts":[["2025"]]},"page":"119524","publisher":"Elsevier Ltd","title":"Achieving a net-zero-carbon energy system in the UK by 2050 with liquid air energy storage","type":"article-journal","volume":"327"},"uris":["http://www.mendeley.com/documents/?uuid=4ac0f14e-72fa-4444-9b47-b47ff2da9ebb"]}],"mendeley":{"formattedCitation":"&lt;sup&gt;4&lt;/sup&gt;","plainTextFormattedCitation":"4","previouslyFormattedCitation":"&lt;sup&gt;4&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4</w:t>
            </w:r>
            <w:r w:rsidRPr="004F051F">
              <w:rPr>
                <w:rFonts w:ascii="Times New Roman" w:hAnsi="Times New Roman" w:cs="Times New Roman"/>
                <w:sz w:val="20"/>
                <w:szCs w:val="20"/>
              </w:rPr>
              <w:fldChar w:fldCharType="end"/>
            </w:r>
          </w:p>
        </w:tc>
        <w:tc>
          <w:tcPr>
            <w:tcW w:w="422" w:type="pct"/>
          </w:tcPr>
          <w:p w14:paraId="4B4ACF3F" w14:textId="6857DC1B" w:rsidR="00A36184" w:rsidRPr="004F051F" w:rsidRDefault="00142CB1"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r w:rsidR="00A36184" w:rsidRPr="004F051F">
              <w:rPr>
                <w:rFonts w:ascii="Times New Roman" w:hAnsi="Times New Roman" w:cs="Times New Roman"/>
                <w:sz w:val="20"/>
                <w:szCs w:val="20"/>
              </w:rPr>
              <w:t>,</w:t>
            </w:r>
          </w:p>
        </w:tc>
        <w:tc>
          <w:tcPr>
            <w:tcW w:w="307" w:type="pct"/>
          </w:tcPr>
          <w:p w14:paraId="0FFD75A3" w14:textId="6640D94F" w:rsidR="00A36184" w:rsidRPr="004F051F" w:rsidRDefault="00A36184"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sidRPr="004F051F">
              <w:rPr>
                <w:rFonts w:ascii="Times New Roman" w:hAnsi="Times New Roman" w:cs="Times New Roman"/>
                <w:sz w:val="20"/>
                <w:szCs w:val="20"/>
              </w:rPr>
              <w:t>55</w:t>
            </w:r>
            <w:r w:rsidRPr="004F051F">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{"citationItems":[{"id":"ITEM-1","itemData":{"ISBN":"9781782526667","abstract":"The UK Government has a stated ambition to decarbonise the electricity system by 2035 and is committed to reaching net zero by 2050. As Great Britain’s electricity supply is decarbonised, an increasing fraction will be provided by wind and solar energy because they are the cheapest form of low-carbon generation. Wind and solar supply vary on time scales ranging from seconds to decades. However high the average level of supply might be, there will be times when wind and solar generation is close to zero and periods when there is enough to meet part of but not all demand, as well as times when it exceeds demand. To ensure that demand is always met, the volatile wind and solar generated electricity that is fed directly into the grid must be complemented by other flexible low-carbon sources, and / or using excess wind and solar energy that has been stored. The excess could be stored in a variety of ways, for example electrochemically in batteries, gravitationally by pumping water into dams, mechanically by compressing air, chemically by making hydrogen, or as heat. This report considers the use of large-scale electricity storage when power is supplied predominantly by wind and solar. It draws on studies from around the world but is focussed on the need for large-scale electrical energy storage in Great Britaina (GB) and how, and at what cost, storage needs might best be met. Major conclusions • In 2050 Great Britain’s demand for electricity could be met by wind and solar energy supported by large-scale storage. • The cost of complementing direct wind and solar supply with storage compares very favourably with the cost of low-carbon alternatives. Further, storage has the potential to provide greater energy security. • Wind supply can vary over time scales of decades and tens of TWhs of very long- duration storage will be needed. The scale is over 1000 times that currently provided by pumped hydro in the UK, and far more than could conceivably be provided by conventional batteries. Meeting the need for long-duration storage will require very low cost per unit energy stored. In GB, the leading candidate is storage of hydrogen in solution-mined salt caverns, for which GB has a more than adequate potential, albeit not widely distributed. The fall-back option, which would be significantly more expensive, is ammonia. • The demand for electricity in GB in 2050 is assumed to be 570 TWh/year in most of this report. In principle it could all be met by wind and solar s…","author":[{"dropping-particle":"","family":"The Royal Society","given":"","non-dropping-particle":"","parse-names":false,"suffix":""}],"id":"ITEM-1","issued":{"date-parts":[["2023"]]},"title":"Large-scale electricity storage","type":"book"},"uris":["http://www.mendeley.com/documents/?uuid=d5232023-3ec9-42cb-80b1-b461589ac9f0"]}],"mendeley":{"formattedCitation":"&lt;sup&gt;3&lt;/sup&gt;","plainTextFormattedCitation":"3","previouslyFormattedCitation":"&lt;sup&gt;3&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3</w:t>
            </w:r>
            <w:r w:rsidRPr="004F051F">
              <w:rPr>
                <w:rFonts w:ascii="Times New Roman" w:hAnsi="Times New Roman" w:cs="Times New Roman"/>
                <w:sz w:val="20"/>
                <w:szCs w:val="20"/>
              </w:rPr>
              <w:fldChar w:fldCharType="end"/>
            </w:r>
          </w:p>
        </w:tc>
        <w:tc>
          <w:tcPr>
            <w:tcW w:w="453" w:type="pct"/>
          </w:tcPr>
          <w:p w14:paraId="0996A837" w14:textId="4238D345" w:rsidR="00A36184" w:rsidRPr="004F051F" w:rsidRDefault="00A36184"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F051F">
              <w:rPr>
                <w:rFonts w:ascii="Times New Roman" w:hAnsi="Times New Roman" w:cs="Times New Roman"/>
                <w:sz w:val="20"/>
                <w:szCs w:val="20"/>
              </w:rPr>
              <w:t>7</w:t>
            </w:r>
            <w:r>
              <w:rPr>
                <w:rFonts w:ascii="Times New Roman" w:hAnsi="Times New Roman" w:cs="Times New Roman"/>
                <w:sz w:val="20"/>
                <w:szCs w:val="20"/>
              </w:rPr>
              <w:t>2</w:t>
            </w:r>
            <w:r w:rsidRPr="004F051F">
              <w:rPr>
                <w:rFonts w:ascii="Times New Roman" w:hAnsi="Times New Roman" w:cs="Times New Roman"/>
                <w:sz w:val="20"/>
                <w:szCs w:val="20"/>
              </w:rPr>
              <w:t>4</w:t>
            </w:r>
            <w:r w:rsidRPr="004F051F">
              <w:rPr>
                <w:rFonts w:ascii="Times New Roman" w:hAnsi="Times New Roman" w:cs="Times New Roman"/>
                <w:sz w:val="20"/>
                <w:szCs w:val="20"/>
              </w:rPr>
              <w:fldChar w:fldCharType="begin" w:fldLock="1"/>
            </w:r>
            <w:r>
              <w:rPr>
                <w:rFonts w:ascii="Times New Roman" w:hAnsi="Times New Roman" w:cs="Times New Roman"/>
                <w:sz w:val="20"/>
                <w:szCs w:val="20"/>
              </w:rPr>
              <w:instrText xml:space="preserve">ADDIN CSL_CITATION {"citationItems":[{"id":"ITEM-1","itemData":{"DOI":"10.1016/j.enconman.2025.119524","ISSN":"01968904","abstract":"Different storage technologies can offer promising solutions for integrating large amounts of intermittent and variable renewables, in which the liquid air energy storage (LAES) has key advantages, including its high scalability, no geographical constraints, and multi-vector services. This work aims to assess the cost-effective net-zero energy transition pathways for the UK by 2050. A new multi-zone mixed-integer-linear-programming-based energy expansion framework, which can highlight the crucial roles of LAES and other energy storage, was developed to perform the optimal design and operation of energy systems. The scenario and sensitivity analyses revealed the techno-economic performances of different pathways and four key results. First, it showed that a net-zero-carbon power-heat-coupled energy system is feasible in the UK by 2050, with a levelized cost of electricity at 65 </w:instrText>
            </w:r>
            <w:r>
              <w:rPr>
                <w:rFonts w:ascii="Cambria Math" w:hAnsi="Cambria Math" w:cs="Cambria Math"/>
                <w:sz w:val="20"/>
                <w:szCs w:val="20"/>
              </w:rPr>
              <w:instrText>∼</w:instrText>
            </w:r>
            <w:r>
              <w:rPr>
                <w:rFonts w:ascii="Times New Roman" w:hAnsi="Times New Roman" w:cs="Times New Roman"/>
                <w:sz w:val="20"/>
                <w:szCs w:val="20"/>
              </w:rPr>
              <w:instrText xml:space="preserve"> 80 £/MWh, and a levelized cost of heat energy at 45 </w:instrText>
            </w:r>
            <w:r>
              <w:rPr>
                <w:rFonts w:ascii="Cambria Math" w:hAnsi="Cambria Math" w:cs="Cambria Math"/>
                <w:sz w:val="20"/>
                <w:szCs w:val="20"/>
              </w:rPr>
              <w:instrText>∼</w:instrText>
            </w:r>
            <w:r>
              <w:rPr>
                <w:rFonts w:ascii="Times New Roman" w:hAnsi="Times New Roman" w:cs="Times New Roman"/>
                <w:sz w:val="20"/>
                <w:szCs w:val="20"/>
              </w:rPr>
              <w:instrText xml:space="preserve"> 63 £/MWh. The major generators’ expansions are onshore wind power (94.5 GW) and LAES (384 GWh) in the power sector, and the air-source heat pump (</w:instrText>
            </w:r>
            <w:r>
              <w:rPr>
                <w:rFonts w:ascii="Cambria Math" w:hAnsi="Cambria Math" w:cs="Cambria Math"/>
                <w:sz w:val="20"/>
                <w:szCs w:val="20"/>
              </w:rPr>
              <w:instrText>∼</w:instrText>
            </w:r>
            <w:r>
              <w:rPr>
                <w:rFonts w:ascii="Times New Roman" w:hAnsi="Times New Roman" w:cs="Times New Roman"/>
                <w:sz w:val="20"/>
                <w:szCs w:val="20"/>
              </w:rPr>
              <w:instrText xml:space="preserve">80 </w:instrText>
            </w:r>
            <w:r>
              <w:rPr>
                <w:rFonts w:ascii="Cambria Math" w:hAnsi="Cambria Math" w:cs="Cambria Math"/>
                <w:sz w:val="20"/>
                <w:szCs w:val="20"/>
              </w:rPr>
              <w:instrText>∼</w:instrText>
            </w:r>
            <w:r>
              <w:rPr>
                <w:rFonts w:ascii="Times New Roman" w:hAnsi="Times New Roman" w:cs="Times New Roman"/>
                <w:sz w:val="20"/>
                <w:szCs w:val="20"/>
              </w:rPr>
              <w:instrText xml:space="preserve"> 90 GW) and short-term heat storage (330 GWh) in the heat sector. Importantly, it demonstrated the crucial roles of LAES and other energy storage in the UK energy transition from a techno-economic view. Specifically, only </w:instrText>
            </w:r>
            <w:r>
              <w:rPr>
                <w:rFonts w:ascii="Cambria Math" w:hAnsi="Cambria Math" w:cs="Cambria Math"/>
                <w:sz w:val="20"/>
                <w:szCs w:val="20"/>
              </w:rPr>
              <w:instrText>∼</w:instrText>
            </w:r>
            <w:r>
              <w:rPr>
                <w:rFonts w:ascii="Times New Roman" w:hAnsi="Times New Roman" w:cs="Times New Roman"/>
                <w:sz w:val="20"/>
                <w:szCs w:val="20"/>
              </w:rPr>
              <w:instrText xml:space="preserve"> 10–12 % of storage investment can reduce the annual renewable curtailments by more than 80 % and the system annual costs by </w:instrText>
            </w:r>
            <w:r>
              <w:rPr>
                <w:rFonts w:ascii="Cambria Math" w:hAnsi="Cambria Math" w:cs="Cambria Math"/>
                <w:sz w:val="20"/>
                <w:szCs w:val="20"/>
              </w:rPr>
              <w:instrText>∼</w:instrText>
            </w:r>
            <w:r>
              <w:rPr>
                <w:rFonts w:ascii="Times New Roman" w:hAnsi="Times New Roman" w:cs="Times New Roman"/>
                <w:sz w:val="20"/>
                <w:szCs w:val="20"/>
              </w:rPr>
              <w:instrText xml:space="preserve"> 15.1 % − 28 % depending on different scenarios. The optimal capacity ratios of LAES and renewables are </w:instrText>
            </w:r>
            <w:r>
              <w:rPr>
                <w:rFonts w:ascii="Cambria Math" w:hAnsi="Cambria Math" w:cs="Cambria Math"/>
                <w:sz w:val="20"/>
                <w:szCs w:val="20"/>
              </w:rPr>
              <w:instrText>∼</w:instrText>
            </w:r>
            <w:r>
              <w:rPr>
                <w:rFonts w:ascii="Times New Roman" w:hAnsi="Times New Roman" w:cs="Times New Roman"/>
                <w:sz w:val="20"/>
                <w:szCs w:val="20"/>
              </w:rPr>
              <w:instrText xml:space="preserve"> 16 % − 25 % in different zones. The last notable observation suggested that the LAESs with charge durations at 8 </w:instrText>
            </w:r>
            <w:r>
              <w:rPr>
                <w:rFonts w:ascii="Cambria Math" w:hAnsi="Cambria Math" w:cs="Cambria Math"/>
                <w:sz w:val="20"/>
                <w:szCs w:val="20"/>
              </w:rPr>
              <w:instrText>∼</w:instrText>
            </w:r>
            <w:r>
              <w:rPr>
                <w:rFonts w:ascii="Times New Roman" w:hAnsi="Times New Roman" w:cs="Times New Roman"/>
                <w:sz w:val="20"/>
                <w:szCs w:val="20"/>
              </w:rPr>
              <w:instrText xml:space="preserve"> 10 h and discharge durations at 12 </w:instrText>
            </w:r>
            <w:r>
              <w:rPr>
                <w:rFonts w:ascii="Cambria Math" w:hAnsi="Cambria Math" w:cs="Cambria Math"/>
                <w:sz w:val="20"/>
                <w:szCs w:val="20"/>
              </w:rPr>
              <w:instrText>∼</w:instrText>
            </w:r>
            <w:r>
              <w:rPr>
                <w:rFonts w:ascii="Times New Roman" w:hAnsi="Times New Roman" w:cs="Times New Roman"/>
                <w:sz w:val="20"/>
                <w:szCs w:val="20"/>
              </w:rPr>
              <w:instrText xml:space="preserve"> 15 h are more suitable for the wind-dominated case (like the UK) than short-duration batteries (</w:instrText>
            </w:r>
            <w:r>
              <w:rPr>
                <w:rFonts w:ascii="Cambria Math" w:hAnsi="Cambria Math" w:cs="Cambria Math"/>
                <w:sz w:val="20"/>
                <w:szCs w:val="20"/>
              </w:rPr>
              <w:instrText>∼</w:instrText>
            </w:r>
            <w:r>
              <w:rPr>
                <w:rFonts w:ascii="Times New Roman" w:hAnsi="Times New Roman" w:cs="Times New Roman"/>
                <w:sz w:val="20"/>
                <w:szCs w:val="20"/>
              </w:rPr>
              <w:instrText>4/5h). Overall, the developed energy expansion framework can facilitate the planning of conventional energy and storage technologies to absorb renewable energies, and the meaningful results can provide policymakers with enlightening views about developing policies relating to achieving carbon mitigation ambitions.","author":[{"dropping-particle":"","family":"Liang","given":"Ting","non-dropping-particle":"","parse-names":false,"suffix":""},{"dropping-particle":"","family":"Li","given":"Yongliang","non-dropping-particle":"","parse-names":false,"suffix":""},{"dropping-particle":"","family":"Nie","given":"Binjian","non-dropping-particle":"","parse-names":false,"suffix":""},{"dropping-particle":"","family":"Ahmad","given":"Abdalqader","non-dropping-particle":"","parse-names":false,"suffix":""},{"dropping-particle":"","family":"Ding","given":"Yulong","non-dropping-particle":"","parse-names":false,"suffix":""}],"container-title":"Energy Conversion and Management","id":"ITEM-1","issue":"January","issued":{"date-parts":[["2025"]]},"page":"119524","publisher":"Elsevier Ltd","title":"Achieving a net-zero-carbon energy system in the UK by 2050 with liquid air energy storage","type":"article-journal","volume":"327"},"uris":["http://www.mendeley.com/documents/?uuid=4ac0f14e-72fa-4444-9b47-b47ff2da9ebb"]}],"mendeley":{"formattedCitation":"&lt;sup&gt;4&lt;/sup&gt;","plainTextFormattedCitation":"4","previouslyFormattedCitation":"&lt;sup&gt;4&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4</w:t>
            </w:r>
            <w:r w:rsidRPr="004F051F">
              <w:rPr>
                <w:rFonts w:ascii="Times New Roman" w:hAnsi="Times New Roman" w:cs="Times New Roman"/>
                <w:sz w:val="20"/>
                <w:szCs w:val="20"/>
              </w:rPr>
              <w:fldChar w:fldCharType="end"/>
            </w:r>
          </w:p>
        </w:tc>
        <w:tc>
          <w:tcPr>
            <w:tcW w:w="401" w:type="pct"/>
          </w:tcPr>
          <w:p w14:paraId="73BFE9B8" w14:textId="105A6460" w:rsidR="00A36184" w:rsidRPr="004F051F" w:rsidRDefault="00DF5563"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68.8</w:t>
            </w:r>
            <w:r w:rsidR="00A36184">
              <w:rPr>
                <w:rFonts w:ascii="Times New Roman" w:hAnsi="Times New Roman" w:cs="Times New Roman"/>
                <w:sz w:val="20"/>
                <w:szCs w:val="20"/>
              </w:rPr>
              <w:fldChar w:fldCharType="begin" w:fldLock="1"/>
            </w:r>
            <w:r w:rsidR="00A36184">
              <w:rPr>
                <w:rFonts w:ascii="Times New Roman" w:hAnsi="Times New Roman" w:cs="Times New Roman"/>
                <w:sz w:val="20"/>
                <w:szCs w:val="20"/>
              </w:rPr>
              <w:instrText>ADDIN CSL_CITATION {"citationItems":[{"id":"ITEM-1","itemData":{"DOI":"10.1016/j.apenergy.2022.120628","ISSN":"0306-2619","author":[{"dropping-particle":"","family":"Vecchi","given":"Andrea","non-dropping-particle":"","parse-names":false,"suffix":""},{"dropping-particle":"","family":"Sciacovelli","given":"Adriano","non-dropping-particle":"","parse-names":false,"suffix":""}],"container-title":"Applied Energy","id":"ITEM-1","issue":"December 2022","issued":{"date-parts":[["2023"]]},"page":"120628","publisher":"Elsevier Ltd","title":"Long-duration thermo-mechanical energy storage – Present and future techno-economic competitiveness","type":"article-journal","volume":"334"},"uris":["http://www.mendeley.com/documents/?uuid=0ab63541-9e17-4369-9a78-bbabe4fc9395"]}],"mendeley":{"formattedCitation":"&lt;sup&gt;5&lt;/sup&gt;","plainTextFormattedCitation":"5","previouslyFormattedCitation":"&lt;sup&gt;5&lt;/sup&gt;"},"properties":{"noteIndex":0},"schema":"https://github.com/citation-style-language/schema/raw/master/csl-citation.json"}</w:instrText>
            </w:r>
            <w:r w:rsidR="00A36184">
              <w:rPr>
                <w:rFonts w:ascii="Times New Roman" w:hAnsi="Times New Roman" w:cs="Times New Roman"/>
                <w:sz w:val="20"/>
                <w:szCs w:val="20"/>
              </w:rPr>
              <w:fldChar w:fldCharType="separate"/>
            </w:r>
            <w:r w:rsidR="00A36184" w:rsidRPr="00243124">
              <w:rPr>
                <w:rFonts w:ascii="Times New Roman" w:hAnsi="Times New Roman" w:cs="Times New Roman"/>
                <w:noProof/>
                <w:sz w:val="20"/>
                <w:szCs w:val="20"/>
                <w:vertAlign w:val="superscript"/>
              </w:rPr>
              <w:t>5</w:t>
            </w:r>
            <w:r w:rsidR="00A36184">
              <w:rPr>
                <w:rFonts w:ascii="Times New Roman" w:hAnsi="Times New Roman" w:cs="Times New Roman"/>
                <w:sz w:val="20"/>
                <w:szCs w:val="20"/>
              </w:rPr>
              <w:fldChar w:fldCharType="end"/>
            </w:r>
          </w:p>
        </w:tc>
        <w:tc>
          <w:tcPr>
            <w:tcW w:w="463" w:type="pct"/>
          </w:tcPr>
          <w:p w14:paraId="24762A56" w14:textId="3C7E4E04" w:rsidR="00A36184" w:rsidRPr="004F051F" w:rsidRDefault="00A36184"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806</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DengXian" w:hAnsi="Times New Roman" w:cs="Times New Roman"/>
                <w:sz w:val="20"/>
                <w:szCs w:val="20"/>
              </w:rPr>
              <w:t>,</w:t>
            </w: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10.1016/j.apenergy.2022.120628","ISSN":"0306-2619","author":[{"dropping-particle":"","family":"Vecchi","given":"Andrea","non-dropping-particle":"","parse-names":false,"suffix":""},{"dropping-particle":"","family":"Sciacovelli","given":"Adriano","non-dropping-particle":"","parse-names":false,"suffix":""}],"container-title":"Applied Energy","id":"ITEM-1","issue":"December 2022","issued":{"date-parts":[["2023"]]},"page":"120628","publisher":"Elsevier Ltd","title":"Long-duration thermo-mechanical energy storage – Present and future techno-economic competitiveness","type":"article-journal","volume":"334"},"uris":["http://www.mendeley.com/documents/?uuid=0ab63541-9e17-4369-9a78-bbabe4fc9395"]}],"mendeley":{"formattedCitation":"&lt;sup&gt;5&lt;/sup&gt;","plainTextFormattedCitation":"5","previouslyFormattedCitation":"&lt;sup&gt;5&lt;/sup&gt;"},"properties":{"noteIndex":0},"schema":"https://github.com/citation-style-language/schema/raw/master/csl-citation.json"}</w:instrText>
            </w:r>
            <w:r>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5</w:t>
            </w:r>
            <w:r>
              <w:rPr>
                <w:rFonts w:ascii="Times New Roman" w:hAnsi="Times New Roman" w:cs="Times New Roman"/>
                <w:sz w:val="20"/>
                <w:szCs w:val="20"/>
              </w:rPr>
              <w:fldChar w:fldCharType="end"/>
            </w:r>
          </w:p>
        </w:tc>
        <w:tc>
          <w:tcPr>
            <w:tcW w:w="407" w:type="pct"/>
          </w:tcPr>
          <w:p w14:paraId="15ECDEE3" w14:textId="198342A5" w:rsidR="00A36184" w:rsidRPr="004F051F" w:rsidRDefault="00A36184"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15.5</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DengXian" w:hAnsi="Times New Roman" w:cs="Times New Roman"/>
                <w:sz w:val="20"/>
                <w:szCs w:val="20"/>
              </w:rPr>
              <w:t>,</w:t>
            </w: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10.1016/j.apenergy.2022.120628","ISSN":"0306-2619","author":[{"dropping-particle":"","family":"Vecchi","given":"Andrea","non-dropping-particle":"","parse-names":false,"suffix":""},{"dropping-particle":"","family":"Sciacovelli","given":"Adriano","non-dropping-particle":"","parse-names":false,"suffix":""}],"container-title":"Applied Energy","id":"ITEM-1","issue":"December 2022","issued":{"date-parts":[["2023"]]},"page":"120628","publisher":"Elsevier Ltd","title":"Long-duration thermo-mechanical energy storage – Present and future techno-economic competitiveness","type":"article-journal","volume":"334"},"uris":["http://www.mendeley.com/documents/?uuid=0ab63541-9e17-4369-9a78-bbabe4fc9395"]}],"mendeley":{"formattedCitation":"&lt;sup&gt;5&lt;/sup&gt;","plainTextFormattedCitation":"5","previouslyFormattedCitation":"&lt;sup&gt;5&lt;/sup&gt;"},"properties":{"noteIndex":0},"schema":"https://github.com/citation-style-language/schema/raw/master/csl-citation.json"}</w:instrText>
            </w:r>
            <w:r>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5</w:t>
            </w:r>
            <w:r>
              <w:rPr>
                <w:rFonts w:ascii="Times New Roman" w:hAnsi="Times New Roman" w:cs="Times New Roman"/>
                <w:sz w:val="20"/>
                <w:szCs w:val="20"/>
              </w:rPr>
              <w:fldChar w:fldCharType="end"/>
            </w:r>
          </w:p>
        </w:tc>
        <w:tc>
          <w:tcPr>
            <w:tcW w:w="356" w:type="pct"/>
          </w:tcPr>
          <w:p w14:paraId="78A577B8" w14:textId="7BF1B3B1" w:rsidR="00A36184" w:rsidRPr="004F051F" w:rsidRDefault="00A36184"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1.85</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DengXian" w:hAnsi="Times New Roman" w:cs="Times New Roman"/>
                <w:sz w:val="20"/>
                <w:szCs w:val="20"/>
              </w:rPr>
              <w:t>,</w:t>
            </w: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10.1016/j.apenergy.2022.120628","ISSN":"0306-2619","author":[{"dropping-particle":"","family":"Vecchi","given":"Andrea","non-dropping-particle":"","parse-names":false,"suffix":""},{"dropping-particle":"","family":"Sciacovelli","given":"Adriano","non-dropping-particle":"","parse-names":false,"suffix":""}],"container-title":"Applied Energy","id":"ITEM-1","issue":"December 2022","issued":{"date-parts":[["2023"]]},"page":"120628","publisher":"Elsevier Ltd","title":"Long-duration thermo-mechanical energy storage – Present and future techno-economic competitiveness","type":"article-journal","volume":"334"},"uris":["http://www.mendeley.com/documents/?uuid=0ab63541-9e17-4369-9a78-bbabe4fc9395"]}],"mendeley":{"formattedCitation":"&lt;sup&gt;5&lt;/sup&gt;","plainTextFormattedCitation":"5","previouslyFormattedCitation":"&lt;sup&gt;5&lt;/sup&gt;"},"properties":{"noteIndex":0},"schema":"https://github.com/citation-style-language/schema/raw/master/csl-citation.json"}</w:instrText>
            </w:r>
            <w:r>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5</w:t>
            </w:r>
            <w:r>
              <w:rPr>
                <w:rFonts w:ascii="Times New Roman" w:hAnsi="Times New Roman" w:cs="Times New Roman"/>
                <w:sz w:val="20"/>
                <w:szCs w:val="20"/>
              </w:rPr>
              <w:fldChar w:fldCharType="end"/>
            </w:r>
          </w:p>
        </w:tc>
        <w:tc>
          <w:tcPr>
            <w:tcW w:w="406" w:type="pct"/>
          </w:tcPr>
          <w:p w14:paraId="7F0384E4" w14:textId="7D81D540" w:rsidR="00A36184" w:rsidRDefault="00D9258B"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300</w:t>
            </w:r>
          </w:p>
        </w:tc>
        <w:tc>
          <w:tcPr>
            <w:tcW w:w="428" w:type="pct"/>
          </w:tcPr>
          <w:p w14:paraId="306823E1" w14:textId="77777777" w:rsidR="00A36184" w:rsidRDefault="00590B1D"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hint="eastAsia"/>
                <w:sz w:val="20"/>
                <w:szCs w:val="20"/>
              </w:rPr>
              <w:t>25,</w:t>
            </w:r>
          </w:p>
          <w:p w14:paraId="47E8B6B5" w14:textId="390F2592" w:rsidR="00590B1D" w:rsidRDefault="00590B1D"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hint="eastAsia"/>
                <w:sz w:val="20"/>
                <w:szCs w:val="20"/>
              </w:rPr>
              <w:t>E/H</w:t>
            </w:r>
          </w:p>
        </w:tc>
      </w:tr>
      <w:tr w:rsidR="0036581C" w:rsidRPr="004F051F" w14:paraId="03DC9008" w14:textId="45B61485" w:rsidTr="0036581C">
        <w:tc>
          <w:tcPr>
            <w:cnfStyle w:val="001000000000" w:firstRow="0" w:lastRow="0" w:firstColumn="1" w:lastColumn="0" w:oddVBand="0" w:evenVBand="0" w:oddHBand="0" w:evenHBand="0" w:firstRowFirstColumn="0" w:firstRowLastColumn="0" w:lastRowFirstColumn="0" w:lastRowLastColumn="0"/>
            <w:tcW w:w="619" w:type="pct"/>
          </w:tcPr>
          <w:p w14:paraId="503DDD06" w14:textId="53B6B2BE" w:rsidR="00A36184" w:rsidRPr="000B002C" w:rsidRDefault="00DF5563" w:rsidP="00086CA5">
            <w:pPr>
              <w:jc w:val="center"/>
              <w:rPr>
                <w:rFonts w:ascii="Times New Roman" w:hAnsi="Times New Roman" w:cs="Times New Roman"/>
                <w:b w:val="0"/>
                <w:color w:val="000000" w:themeColor="text1"/>
                <w:sz w:val="20"/>
                <w:szCs w:val="20"/>
              </w:rPr>
            </w:pPr>
            <w:r>
              <w:rPr>
                <w:rFonts w:ascii="Times New Roman" w:hAnsi="Times New Roman" w:cs="Times New Roman"/>
                <w:color w:val="000000" w:themeColor="text1"/>
                <w:sz w:val="20"/>
                <w:szCs w:val="20"/>
              </w:rPr>
              <w:t>Rankine-PTES</w:t>
            </w:r>
            <w:r w:rsidR="00A3618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CO2</w:t>
            </w:r>
            <w:r>
              <w:rPr>
                <w:rFonts w:ascii="Times New Roman" w:hAnsi="Times New Roman" w:cs="Times New Roman"/>
                <w:color w:val="000000" w:themeColor="text1"/>
                <w:sz w:val="20"/>
                <w:szCs w:val="20"/>
              </w:rPr>
              <w:t xml:space="preserve"> </w:t>
            </w:r>
            <w:r w:rsidR="00A36184">
              <w:rPr>
                <w:rFonts w:ascii="Times New Roman" w:hAnsi="Times New Roman" w:cs="Times New Roman"/>
                <w:color w:val="000000" w:themeColor="text1"/>
                <w:sz w:val="20"/>
                <w:szCs w:val="20"/>
              </w:rPr>
              <w:t>(LCES)</w:t>
            </w:r>
            <w:r w:rsidR="00A36184" w:rsidRPr="006A216F">
              <w:rPr>
                <w:rFonts w:ascii="Times New Roman" w:hAnsi="Times New Roman" w:cs="Times New Roman"/>
                <w:b w:val="0"/>
                <w:bCs w:val="0"/>
                <w:color w:val="000000" w:themeColor="text1"/>
                <w:sz w:val="20"/>
                <w:szCs w:val="20"/>
                <w:vertAlign w:val="superscript"/>
              </w:rPr>
              <w:t>c</w:t>
            </w:r>
          </w:p>
        </w:tc>
        <w:tc>
          <w:tcPr>
            <w:tcW w:w="369" w:type="pct"/>
          </w:tcPr>
          <w:p w14:paraId="70550472" w14:textId="013C3DF3"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0.85</w:t>
            </w:r>
          </w:p>
        </w:tc>
        <w:tc>
          <w:tcPr>
            <w:tcW w:w="369" w:type="pct"/>
          </w:tcPr>
          <w:p w14:paraId="08987E61" w14:textId="35539BCC"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sz w:val="20"/>
                <w:szCs w:val="20"/>
              </w:rPr>
              <w:t>0.</w:t>
            </w:r>
            <w:r>
              <w:rPr>
                <w:rFonts w:ascii="Times New Roman" w:eastAsia="DengXian" w:hAnsi="Times New Roman" w:cs="Times New Roman"/>
                <w:sz w:val="20"/>
                <w:szCs w:val="20"/>
              </w:rPr>
              <w:t>88</w:t>
            </w:r>
          </w:p>
        </w:tc>
        <w:tc>
          <w:tcPr>
            <w:tcW w:w="422" w:type="pct"/>
          </w:tcPr>
          <w:p w14:paraId="5D35178B" w14:textId="4681F3EF"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sidR="00142CB1">
              <w:rPr>
                <w:rFonts w:ascii="Times New Roman" w:hAnsi="Times New Roman" w:cs="Times New Roman"/>
                <w:sz w:val="20"/>
                <w:szCs w:val="20"/>
              </w:rPr>
              <w:t>5</w:t>
            </w:r>
            <w:r w:rsidR="00226444">
              <w:rPr>
                <w:rFonts w:ascii="Times New Roman" w:hAnsi="Times New Roman" w:cs="Times New Roman"/>
                <w:sz w:val="20"/>
                <w:szCs w:val="20"/>
              </w:rPr>
              <w:fldChar w:fldCharType="begin" w:fldLock="1"/>
            </w:r>
            <w:r w:rsidR="00404868">
              <w:rPr>
                <w:rFonts w:ascii="Times New Roman" w:hAnsi="Times New Roman" w:cs="Times New Roman"/>
                <w:sz w:val="20"/>
                <w:szCs w:val="20"/>
              </w:rPr>
              <w:instrText>ADDIN CSL_CITATION {"citationItems":[{"id":"ITEM-1","itemData":{"DOI":"10.1016/j.rset.2023.100059","ISSN":"2667095X","abstract":"Modeling tools and technologies that will allow reaching decarbonization goals in the most cost-effective way are imperative for the transition to a climate-friendly energy system. This includes models which are able to optimize the design of energy systems with a large number of spatially distributed energy generation sources coupled with adequate short, medium, and long duration storage technologies. Solar photovoltaic and wind energy are likely to become the backbone in a future greenhouse gas neutral energy system and will require low-cost, geographically independent storage technologies in order to balance their intermittent availability. As an alternative to lithium-ion batteries and hydrogen systems, thermal energy storage coupled with a power block (e.g., Carnot batteries, pumped thermal storage, etc.) could be a promising option. Therefore, the current study aims to investigate the influence of renewable generation profiles coupled with alternate storage options (i.e., Li-ion and hydrogen cavern) on the installed capacity of electric-to-thermal-to-electric systems using a 100% renewable electricity system in Germany as a case study. The analyses reveal that Carnot batteries complement established and near-future storage technologies, as they could fill the gap between daily storage such as batteries and seasonal storage such as hydrogen salt caverns. Furthermore, Carnot Batteries could offer multiple options for heat integration further increasing their potential.","author":[{"dropping-particle":"","family":"Jacob","given":"Rhys","non-dropping-particle":"","parse-names":false,"suffix":""},{"dropping-particle":"","family":"Hoffmann","given":"Maximilian","non-dropping-particle":"","parse-names":false,"suffix":""},{"dropping-particle":"","family":"Weinand","given":"Jann Michael","non-dropping-particle":"","parse-names":false,"suffix":""},{"dropping-particle":"","family":"Linßen","given":"Jochen","non-dropping-particle":"","parse-names":false,"suffix":""},{"dropping-particle":"","family":"Stolten","given":"Detlef","non-dropping-particle":"","parse-names":false,"suffix":""},{"dropping-particle":"","family":"Müller","given":"Michael","non-dropping-particle":"","parse-names":false,"suffix":""}],"container-title":"Renewable and Sustainable Energy Transition","id":"ITEM-1","issue":"July","issued":{"date-parts":[["2023"]]},"title":"The future role of thermal energy storage in 100% renewable electricity systems","type":"article-journal","volume":"4"},"uris":["http://www.mendeley.com/documents/?uuid=627fcafb-84e8-49e9-8cfb-0d829280f656"]}],"mendeley":{"formattedCitation":"&lt;sup&gt;6&lt;/sup&gt;","plainTextFormattedCitation":"6","previouslyFormattedCitation":"&lt;sup&gt;6&lt;/sup&gt;"},"properties":{"noteIndex":0},"schema":"https://github.com/citation-style-language/schema/raw/master/csl-citation.json"}</w:instrText>
            </w:r>
            <w:r w:rsidR="00226444">
              <w:rPr>
                <w:rFonts w:ascii="Times New Roman" w:hAnsi="Times New Roman" w:cs="Times New Roman"/>
                <w:sz w:val="20"/>
                <w:szCs w:val="20"/>
              </w:rPr>
              <w:fldChar w:fldCharType="separate"/>
            </w:r>
            <w:r w:rsidR="00226444" w:rsidRPr="00226444">
              <w:rPr>
                <w:rFonts w:ascii="Times New Roman" w:hAnsi="Times New Roman" w:cs="Times New Roman"/>
                <w:noProof/>
                <w:sz w:val="20"/>
                <w:szCs w:val="20"/>
                <w:vertAlign w:val="superscript"/>
              </w:rPr>
              <w:t>6</w:t>
            </w:r>
            <w:r w:rsidR="00226444">
              <w:rPr>
                <w:rFonts w:ascii="Times New Roman" w:hAnsi="Times New Roman" w:cs="Times New Roman"/>
                <w:sz w:val="20"/>
                <w:szCs w:val="20"/>
              </w:rPr>
              <w:fldChar w:fldCharType="end"/>
            </w:r>
          </w:p>
        </w:tc>
        <w:tc>
          <w:tcPr>
            <w:tcW w:w="307" w:type="pct"/>
          </w:tcPr>
          <w:p w14:paraId="58D51433" w14:textId="1D122926"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r w:rsidR="004F60E8">
              <w:rPr>
                <w:rFonts w:ascii="Times New Roman" w:hAnsi="Times New Roman" w:cs="Times New Roman"/>
                <w:sz w:val="20"/>
                <w:szCs w:val="20"/>
              </w:rPr>
              <w:t>57</w:t>
            </w:r>
            <w:r>
              <w:rPr>
                <w:rFonts w:ascii="Times New Roman" w:hAnsi="Times New Roman" w:cs="Times New Roman"/>
                <w:sz w:val="20"/>
                <w:szCs w:val="20"/>
              </w:rPr>
              <w:fldChar w:fldCharType="begin" w:fldLock="1"/>
            </w:r>
            <w:r w:rsidR="00404868">
              <w:rPr>
                <w:rFonts w:ascii="Times New Roman" w:hAnsi="Times New Roman" w:cs="Times New Roman"/>
                <w:sz w:val="20"/>
                <w:szCs w:val="20"/>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hAnsi="Times New Roman" w:cs="Times New Roman"/>
                <w:sz w:val="20"/>
                <w:szCs w:val="20"/>
              </w:rPr>
              <w:fldChar w:fldCharType="separate"/>
            </w:r>
            <w:r w:rsidR="00226444" w:rsidRPr="00226444">
              <w:rPr>
                <w:rFonts w:ascii="Times New Roman" w:hAnsi="Times New Roman" w:cs="Times New Roman"/>
                <w:noProof/>
                <w:sz w:val="20"/>
                <w:szCs w:val="20"/>
                <w:vertAlign w:val="superscript"/>
              </w:rPr>
              <w:t>7</w:t>
            </w:r>
            <w:r>
              <w:rPr>
                <w:rFonts w:ascii="Times New Roman" w:hAnsi="Times New Roman" w:cs="Times New Roman"/>
                <w:sz w:val="20"/>
                <w:szCs w:val="20"/>
              </w:rPr>
              <w:fldChar w:fldCharType="end"/>
            </w:r>
          </w:p>
        </w:tc>
        <w:tc>
          <w:tcPr>
            <w:tcW w:w="453" w:type="pct"/>
          </w:tcPr>
          <w:p w14:paraId="0174C72A" w14:textId="27070A5C"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642</w:t>
            </w:r>
            <w:r>
              <w:rPr>
                <w:rFonts w:ascii="Times New Roman" w:hAnsi="Times New Roman" w:cs="Times New Roman"/>
                <w:sz w:val="20"/>
                <w:szCs w:val="20"/>
              </w:rPr>
              <w:fldChar w:fldCharType="begin" w:fldLock="1"/>
            </w:r>
            <w:r w:rsidR="00404868">
              <w:rPr>
                <w:rFonts w:ascii="Times New Roman" w:hAnsi="Times New Roman" w:cs="Times New Roman"/>
                <w:sz w:val="20"/>
                <w:szCs w:val="20"/>
              </w:rPr>
              <w:instrText>ADDIN CSL_CITATION {"citationItems":[{"id":"ITEM-1","itemData":{"author":[{"dropping-particle":"","family":"Mctigue","given":"Josh","non-dropping-particle":"","parse-names":false,"suffix":""},{"dropping-particle":"","family":"Farres-Antunez","given":"Pau","non-dropping-particle":"","parse-names":false,"suffix":""},{"dropping-particle":"","family":"White","given":"Alex","non-dropping-particle":"","parse-names":false,"suffix":""}],"id":"ITEM-1","issued":{"date-parts":[["2019"]]},"title":"Crescent Dunes Solar Energy Facility, USA Pumped thermal energy storage: thermodynamics and economics","type":"article-journal"},"uris":["http://www.mendeley.com/documents/?uuid=316a86f5-e69d-499f-b103-35427be9e9fa"]}],"mendeley":{"formattedCitation":"&lt;sup&gt;8&lt;/sup&gt;","plainTextFormattedCitation":"8","previouslyFormattedCitation":"&lt;sup&gt;8&lt;/sup&gt;"},"properties":{"noteIndex":0},"schema":"https://github.com/citation-style-language/schema/raw/master/csl-citation.json"}</w:instrText>
            </w:r>
            <w:r>
              <w:rPr>
                <w:rFonts w:ascii="Times New Roman" w:hAnsi="Times New Roman" w:cs="Times New Roman"/>
                <w:sz w:val="20"/>
                <w:szCs w:val="20"/>
              </w:rPr>
              <w:fldChar w:fldCharType="separate"/>
            </w:r>
            <w:r w:rsidR="00226444" w:rsidRPr="00226444">
              <w:rPr>
                <w:rFonts w:ascii="Times New Roman" w:hAnsi="Times New Roman" w:cs="Times New Roman"/>
                <w:noProof/>
                <w:sz w:val="20"/>
                <w:szCs w:val="20"/>
                <w:vertAlign w:val="superscript"/>
              </w:rPr>
              <w:t>8</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fldLock="1"/>
            </w:r>
            <w:r w:rsidR="00404868">
              <w:rPr>
                <w:rFonts w:ascii="Times New Roman" w:hAnsi="Times New Roman" w:cs="Times New Roman"/>
                <w:sz w:val="20"/>
                <w:szCs w:val="20"/>
              </w:rPr>
              <w:instrText>ADDIN CSL_CITATION {"citationItems":[{"id":"ITEM-1","itemData":{"DOI":"10.1016/j.energy.2022.124648","ISSN":"03605442","abstract":"Nowadays, large-scale energy storage systems (EES) are a crucial mechanism to realize large-scale grid-connected power generation from renewable energy. And the development of co-generation systems coupled with EES has encouraging economic potential. In this paper, two compressed and liquid carbon dioxide energy storage systems without extra heat/cold sources are proposed (denoted as LCES-E and LCES-EC). The system's principles are presented; the thermodynamic and exergoeconomic analyses models are developed; the effects of five primary parameters are obtained by parametric analysis; meanwhile, the potential of the systems is revealed by multi-objective optimization. The results show that both systems can provide stable electricity and cold simultaneously. The better cooling capacity makes LCES-EC superior, with the RTE, EVR and cptot reaching 78.66%, 12.69 kWh/m3 and 41.23 $/GJ. The compressor and turbine exergy destruction and cost exceed 55% of all components, and appropriately high levels of ηC and ηT are preferred for both efficiency and economy. The LCES-EC system guarantees both electrical efficiency and cold capacity, showing preferable features over previously reported systems.","author":[{"dropping-particle":"","family":"Sun","given":"Lei","non-dropping-particle":"","parse-names":false,"suffix":""},{"dropping-particle":"","family":"Tang","given":"Bo","non-dropping-particle":"","parse-names":false,"suffix":""},{"dropping-particle":"","family":"Xie","given":"Yonghui","non-dropping-particle":"","parse-names":false,"suffix":""}],"container-title":"Energy","id":"ITEM-1","issued":{"date-parts":[["2022"]]},"page":"124648","publisher":"Elsevier Ltd","title":"Performance assessment of two compressed and liquid carbon dioxide energy storage systems: Thermodynamic, exergoeconomic analysis and multi-objective optimization","type":"article-journal","volume":"256"},"uris":["http://www.mendeley.com/documents/?uuid=91cbe878-94c0-4419-a4de-ae6b3319cd00"]}],"mendeley":{"formattedCitation":"&lt;sup&gt;9&lt;/sup&gt;","plainTextFormattedCitation":"9","previouslyFormattedCitation":"&lt;sup&gt;9&lt;/sup&gt;"},"properties":{"noteIndex":0},"schema":"https://github.com/citation-style-language/schema/raw/master/csl-citation.json"}</w:instrText>
            </w:r>
            <w:r>
              <w:rPr>
                <w:rFonts w:ascii="Times New Roman" w:hAnsi="Times New Roman" w:cs="Times New Roman"/>
                <w:sz w:val="20"/>
                <w:szCs w:val="20"/>
              </w:rPr>
              <w:fldChar w:fldCharType="separate"/>
            </w:r>
            <w:r w:rsidR="00226444" w:rsidRPr="00226444">
              <w:rPr>
                <w:rFonts w:ascii="Times New Roman" w:hAnsi="Times New Roman" w:cs="Times New Roman"/>
                <w:noProof/>
                <w:sz w:val="20"/>
                <w:szCs w:val="20"/>
                <w:vertAlign w:val="superscript"/>
              </w:rPr>
              <w:t>9</w:t>
            </w:r>
            <w:r>
              <w:rPr>
                <w:rFonts w:ascii="Times New Roman" w:hAnsi="Times New Roman" w:cs="Times New Roman"/>
                <w:sz w:val="20"/>
                <w:szCs w:val="20"/>
              </w:rPr>
              <w:fldChar w:fldCharType="end"/>
            </w:r>
          </w:p>
        </w:tc>
        <w:tc>
          <w:tcPr>
            <w:tcW w:w="401" w:type="pct"/>
          </w:tcPr>
          <w:p w14:paraId="7809598A" w14:textId="5A68ECAB"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98.5</w:t>
            </w:r>
            <w:r w:rsidRPr="004F051F">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{"citationItems":[{"id":"ITEM-1","itemData":{"ISBN":"9781782526667","abstract":"The UK Government has a stated ambition to decarbonise the electricity system by 2035 and is committed to reaching net zero by 2050. As Great Britain’s electricity supply is decarbonised, an increasing fraction will be provided by wind and solar energy because they are the cheapest form of low-carbon generation. Wind and solar supply vary on time scales ranging from seconds to decades. However high the average level of supply might be, there will be times when wind and solar generation is close to zero and periods when there is enough to meet part of but not all demand, as well as times when it exceeds demand. To ensure that demand is always met, the volatile wind and solar generated electricity that is fed directly into the grid must be complemented by other flexible low-carbon sources, and / or using excess wind and solar energy that has been stored. The excess could be stored in a variety of ways, for example electrochemically in batteries, gravitationally by pumping water into dams, mechanically by compressing air, chemically by making hydrogen, or as heat. This report considers the use of large-scale electricity storage when power is supplied predominantly by wind and solar. It draws on studies from around the world but is focussed on the need for large-scale electrical energy storage in Great Britaina (GB) and how, and at what cost, storage needs might best be met. Major conclusions • In 2050 Great Britain’s demand for electricity could be met by wind and solar energy supported by large-scale storage. • The cost of complementing direct wind and solar supply with storage compares very favourably with the cost of low-carbon alternatives. Further, storage has the potential to provide greater energy security. • Wind supply can vary over time scales of decades and tens of TWhs of very long- duration storage will be needed. The scale is over 1000 times that currently provided by pumped hydro in the UK, and far more than could conceivably be provided by conventional batteries. Meeting the need for long-duration storage will require very low cost per unit energy stored. In GB, the leading candidate is storage of hydrogen in solution-mined salt caverns, for which GB has a more than adequate potential, albeit not widely distributed. The fall-back option, which would be significantly more expensive, is ammonia. • The demand for electricity in GB in 2050 is assumed to be 570 TWh/year in most of this report. In principle it could all be met by wind and solar s…","author":[{"dropping-particle":"","family":"The Royal Society","given":"","non-dropping-particle":"","parse-names":false,"suffix":""}],"id":"ITEM-1","issued":{"date-parts":[["2023"]]},"title":"Large-scale electricity storage","type":"book"},"uris":["http://www.mendeley.com/documents/?uuid=d5232023-3ec9-42cb-80b1-b461589ac9f0"]}],"mendeley":{"formattedCitation":"&lt;sup&gt;3&lt;/sup&gt;","plainTextFormattedCitation":"3","previouslyFormattedCitation":"&lt;sup&gt;3&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3</w:t>
            </w:r>
            <w:r w:rsidRPr="004F051F">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fldLock="1"/>
            </w:r>
            <w:r w:rsidR="00404868">
              <w:rPr>
                <w:rFonts w:ascii="Times New Roman" w:hAnsi="Times New Roman" w:cs="Times New Roman"/>
                <w:sz w:val="20"/>
                <w:szCs w:val="20"/>
              </w:rPr>
              <w:instrText>ADDIN CSL_CITATION {"citationItems":[{"id":"ITEM-1","itemData":{"DOI":"10.1016/j.energy.2022.124648","ISSN":"03605442","abstract":"Nowadays, large-scale energy storage systems (EES) are a crucial mechanism to realize large-scale grid-connected power generation from renewable energy. And the development of co-generation systems coupled with EES has encouraging economic potential. In this paper, two compressed and liquid carbon dioxide energy storage systems without extra heat/cold sources are proposed (denoted as LCES-E and LCES-EC). The system's principles are presented; the thermodynamic and exergoeconomic analyses models are developed; the effects of five primary parameters are obtained by parametric analysis; meanwhile, the potential of the systems is revealed by multi-objective optimization. The results show that both systems can provide stable electricity and cold simultaneously. The better cooling capacity makes LCES-EC superior, with the RTE, EVR and cptot reaching 78.66%, 12.69 kWh/m3 and 41.23 $/GJ. The compressor and turbine exergy destruction and cost exceed 55% of all components, and appropriately high levels of ηC and ηT are preferred for both efficiency and economy. The LCES-EC system guarantees both electrical efficiency and cold capacity, showing preferable features over previously reported systems.","author":[{"dropping-particle":"","family":"Sun","given":"Lei","non-dropping-particle":"","parse-names":false,"suffix":""},{"dropping-particle":"","family":"Tang","given":"Bo","non-dropping-particle":"","parse-names":false,"suffix":""},{"dropping-particle":"","family":"Xie","given":"Yonghui","non-dropping-particle":"","parse-names":false,"suffix":""}],"container-title":"Energy","id":"ITEM-1","issued":{"date-parts":[["2022"]]},"page":"124648","publisher":"Elsevier Ltd","title":"Performance assessment of two compressed and liquid carbon dioxide energy storage systems: Thermodynamic, exergoeconomic analysis and multi-objective optimization","type":"article-journal","volume":"256"},"uris":["http://www.mendeley.com/documents/?uuid=91cbe878-94c0-4419-a4de-ae6b3319cd00"]}],"mendeley":{"formattedCitation":"&lt;sup&gt;9&lt;/sup&gt;","plainTextFormattedCitation":"9","previouslyFormattedCitation":"&lt;sup&gt;9&lt;/sup&gt;"},"properties":{"noteIndex":0},"schema":"https://github.com/citation-style-language/schema/raw/master/csl-citation.json"}</w:instrText>
            </w:r>
            <w:r>
              <w:rPr>
                <w:rFonts w:ascii="Times New Roman" w:hAnsi="Times New Roman" w:cs="Times New Roman"/>
                <w:sz w:val="20"/>
                <w:szCs w:val="20"/>
              </w:rPr>
              <w:fldChar w:fldCharType="separate"/>
            </w:r>
            <w:r w:rsidR="00226444" w:rsidRPr="00226444">
              <w:rPr>
                <w:rFonts w:ascii="Times New Roman" w:hAnsi="Times New Roman" w:cs="Times New Roman"/>
                <w:noProof/>
                <w:sz w:val="20"/>
                <w:szCs w:val="20"/>
                <w:vertAlign w:val="superscript"/>
              </w:rPr>
              <w:t>9</w:t>
            </w:r>
            <w:r>
              <w:rPr>
                <w:rFonts w:ascii="Times New Roman" w:hAnsi="Times New Roman" w:cs="Times New Roman"/>
                <w:sz w:val="20"/>
                <w:szCs w:val="20"/>
              </w:rPr>
              <w:fldChar w:fldCharType="end"/>
            </w:r>
            <w:r w:rsidRPr="004F051F">
              <w:rPr>
                <w:rFonts w:ascii="Times New Roman" w:eastAsia="DengXian" w:hAnsi="Times New Roman" w:cs="Times New Roman"/>
                <w:sz w:val="20"/>
                <w:szCs w:val="20"/>
              </w:rPr>
              <w:t xml:space="preserve"> </w:t>
            </w:r>
          </w:p>
        </w:tc>
        <w:tc>
          <w:tcPr>
            <w:tcW w:w="463" w:type="pct"/>
          </w:tcPr>
          <w:p w14:paraId="19BD07AF" w14:textId="7C053A15"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751</w:t>
            </w:r>
            <w:r w:rsidRPr="004F051F">
              <w:rPr>
                <w:rFonts w:ascii="Times New Roman" w:hAnsi="Times New Roman" w:cs="Times New Roman"/>
                <w:sz w:val="20"/>
                <w:szCs w:val="20"/>
              </w:rPr>
              <w:fldChar w:fldCharType="begin" w:fldLock="1"/>
            </w:r>
            <w:r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4F051F">
              <w:rPr>
                <w:rFonts w:ascii="Times New Roman" w:hAnsi="Times New Roman" w:cs="Times New Roman"/>
                <w:noProof/>
                <w:sz w:val="20"/>
                <w:szCs w:val="20"/>
                <w:vertAlign w:val="superscript"/>
              </w:rPr>
              <w:t>1</w:t>
            </w:r>
            <w:r w:rsidRPr="004F051F">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fldLock="1"/>
            </w:r>
            <w:r w:rsidR="00404868">
              <w:rPr>
                <w:rFonts w:ascii="Times New Roman" w:hAnsi="Times New Roman" w:cs="Times New Roman"/>
                <w:sz w:val="20"/>
                <w:szCs w:val="20"/>
              </w:rPr>
              <w:instrText>ADDIN CSL_CITATION {"citationItems":[{"id":"ITEM-1","itemData":{"DOI":"10.1016/j.energy.2022.124648","ISSN":"03605442","abstract":"Nowadays, large-scale energy storage systems (EES) are a crucial mechanism to realize large-scale grid-connected power generation from renewable energy. And the development of co-generation systems coupled with EES has encouraging economic potential. In this paper, two compressed and liquid carbon dioxide energy storage systems without extra heat/cold sources are proposed (denoted as LCES-E and LCES-EC). The system's principles are presented; the thermodynamic and exergoeconomic analyses models are developed; the effects of five primary parameters are obtained by parametric analysis; meanwhile, the potential of the systems is revealed by multi-objective optimization. The results show that both systems can provide stable electricity and cold simultaneously. The better cooling capacity makes LCES-EC superior, with the RTE, EVR and cptot reaching 78.66%, 12.69 kWh/m3 and 41.23 $/GJ. The compressor and turbine exergy destruction and cost exceed 55% of all components, and appropriately high levels of ηC and ηT are preferred for both efficiency and economy. The LCES-EC system guarantees both electrical efficiency and cold capacity, showing preferable features over previously reported systems.","author":[{"dropping-particle":"","family":"Sun","given":"Lei","non-dropping-particle":"","parse-names":false,"suffix":""},{"dropping-particle":"","family":"Tang","given":"Bo","non-dropping-particle":"","parse-names":false,"suffix":""},{"dropping-particle":"","family":"Xie","given":"Yonghui","non-dropping-particle":"","parse-names":false,"suffix":""}],"container-title":"Energy","id":"ITEM-1","issued":{"date-parts":[["2022"]]},"page":"124648","publisher":"Elsevier Ltd","title":"Performance assessment of two compressed and liquid carbon dioxide energy storage systems: Thermodynamic, exergoeconomic analysis and multi-objective optimization","type":"article-journal","volume":"256"},"uris":["http://www.mendeley.com/documents/?uuid=91cbe878-94c0-4419-a4de-ae6b3319cd00"]}],"mendeley":{"formattedCitation":"&lt;sup&gt;9&lt;/sup&gt;","plainTextFormattedCitation":"9","previouslyFormattedCitation":"&lt;sup&gt;9&lt;/sup&gt;"},"properties":{"noteIndex":0},"schema":"https://github.com/citation-style-language/schema/raw/master/csl-citation.json"}</w:instrText>
            </w:r>
            <w:r>
              <w:rPr>
                <w:rFonts w:ascii="Times New Roman" w:hAnsi="Times New Roman" w:cs="Times New Roman"/>
                <w:sz w:val="20"/>
                <w:szCs w:val="20"/>
              </w:rPr>
              <w:fldChar w:fldCharType="separate"/>
            </w:r>
            <w:r w:rsidR="00226444" w:rsidRPr="00226444">
              <w:rPr>
                <w:rFonts w:ascii="Times New Roman" w:hAnsi="Times New Roman" w:cs="Times New Roman"/>
                <w:noProof/>
                <w:sz w:val="20"/>
                <w:szCs w:val="20"/>
                <w:vertAlign w:val="superscript"/>
              </w:rPr>
              <w:t>9</w:t>
            </w:r>
            <w:r>
              <w:rPr>
                <w:rFonts w:ascii="Times New Roman" w:hAnsi="Times New Roman" w:cs="Times New Roman"/>
                <w:sz w:val="20"/>
                <w:szCs w:val="20"/>
              </w:rPr>
              <w:fldChar w:fldCharType="end"/>
            </w:r>
          </w:p>
        </w:tc>
        <w:tc>
          <w:tcPr>
            <w:tcW w:w="407" w:type="pct"/>
          </w:tcPr>
          <w:p w14:paraId="267B1276" w14:textId="422D5D55" w:rsidR="00A36184" w:rsidRPr="0007609B" w:rsidRDefault="00A36184" w:rsidP="000760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0"/>
                <w:szCs w:val="20"/>
                <w14:ligatures w14:val="none"/>
              </w:rPr>
            </w:pPr>
            <w:r w:rsidRPr="005D38A7">
              <w:rPr>
                <w:rFonts w:ascii="Times New Roman" w:eastAsia="Times New Roman" w:hAnsi="Times New Roman" w:cs="Times New Roman"/>
                <w:color w:val="000000" w:themeColor="text1"/>
                <w:kern w:val="0"/>
                <w:sz w:val="20"/>
                <w:szCs w:val="20"/>
                <w14:ligatures w14:val="none"/>
              </w:rPr>
              <w:t>3</w:t>
            </w:r>
            <w:r>
              <w:rPr>
                <w:rFonts w:ascii="Times New Roman" w:eastAsia="Times New Roman" w:hAnsi="Times New Roman" w:cs="Times New Roman"/>
                <w:color w:val="000000" w:themeColor="text1"/>
                <w:kern w:val="0"/>
                <w:sz w:val="20"/>
                <w:szCs w:val="20"/>
                <w14:ligatures w14:val="none"/>
              </w:rPr>
              <w:t>9.</w:t>
            </w:r>
            <w:r w:rsidRPr="005D38A7">
              <w:rPr>
                <w:rFonts w:ascii="Times New Roman" w:eastAsia="Times New Roman" w:hAnsi="Times New Roman" w:cs="Times New Roman"/>
                <w:color w:val="000000" w:themeColor="text1"/>
                <w:kern w:val="0"/>
                <w:sz w:val="20"/>
                <w:szCs w:val="20"/>
                <w14:ligatures w14:val="none"/>
              </w:rPr>
              <w:t>4</w:t>
            </w:r>
            <w:r w:rsidRPr="005D38A7">
              <w:rPr>
                <w:rFonts w:ascii="Times New Roman" w:eastAsia="DengXian" w:hAnsi="Times New Roman" w:cs="Times New Roman"/>
                <w:color w:val="000000" w:themeColor="text1"/>
                <w:sz w:val="20"/>
                <w:szCs w:val="20"/>
              </w:rPr>
              <w:fldChar w:fldCharType="begin" w:fldLock="1"/>
            </w:r>
            <w:r w:rsidR="00404868">
              <w:rPr>
                <w:rFonts w:ascii="Times New Roman" w:eastAsia="DengXian" w:hAnsi="Times New Roman" w:cs="Times New Roman"/>
                <w:color w:val="000000" w:themeColor="text1"/>
                <w:sz w:val="20"/>
                <w:szCs w:val="20"/>
              </w:rPr>
              <w:instrText>ADDIN CSL_CITATION {"citationItems":[{"id":"ITEM-1","itemData":{"DOI":"10.1016/j.energy.2024.133500","ISSN":"18736785","abstract":"To enable the widespread exploitation of intermittent, low-cost, and non-dispatchable renewable energy technologies, energy storage plays a key role in providing the required flexibility. This study introduces maps of optimal combination of Thermal Energy Storage (TES) and power cycles, supporting decision-making in power-to-heat-to-power applications. These maps span a wide temperature range from 200 to 1200 °C and are proposed for different charging costs, installed capacities, and storage durations. For thermal-to-electricity reconversion, this study explores power blocks including steam Rankine cycle, supercritical CO2 (sCO2) Brayton cycle, Organic Rankine Cycle (ORC), and combined gas turbine with Rankine and sCO2. Results highlight that, in a grid-based plant with a 50 EUR/MWh charging cost, the most cost-effective pairing involves sCO2 cycles with recompression and intercooling, with particle TES at 600–800 °C. Air packed-bed suits scenarios where TES contributes significantly to capital costs or involves low charging costs. Molten salt TES is the optimal choice when the design temperatures align with salt temperature limitations. Particle TES proves cost-effective across a broad temperature range and scales (10–200 MW). For solar-based systems, the integration of molten salt TES with simple sCO2 recuperated cycles demonstrates market potential for southern European locations.","author":[{"dropping-particle":"","family":"Guccione","given":"Salvatore","non-dropping-particle":"","parse-names":false,"suffix":""},{"dropping-particle":"","family":"Guedez","given":"Rafael","non-dropping-particle":"","parse-names":false,"suffix":""}],"container-title":"Energy","id":"ITEM-1","issue":"February","issued":{"date-parts":[["2024"]]},"page":"133500","publisher":"Elsevier Ltd","title":"Techno-economic analysis of power-to-heat-to-power plants: Mapping optimal combinations of thermal energy storage and power cycles","type":"article-journal","volume":"312"},"uris":["http://www.mendeley.com/documents/?uuid=c8e553cb-1bab-4cd6-b400-4eb816db584c"]}],"mendeley":{"formattedCitation":"&lt;sup&gt;10&lt;/sup&gt;","plainTextFormattedCitation":"10","previouslyFormattedCitation":"&lt;sup&gt;10&lt;/sup&gt;"},"properties":{"noteIndex":0},"schema":"https://github.com/citation-style-language/schema/raw/master/csl-citation.json"}</w:instrText>
            </w:r>
            <w:r w:rsidRPr="005D38A7">
              <w:rPr>
                <w:rFonts w:ascii="Times New Roman" w:eastAsia="DengXian" w:hAnsi="Times New Roman" w:cs="Times New Roman"/>
                <w:color w:val="000000" w:themeColor="text1"/>
                <w:sz w:val="20"/>
                <w:szCs w:val="20"/>
              </w:rPr>
              <w:fldChar w:fldCharType="separate"/>
            </w:r>
            <w:r w:rsidR="00226444" w:rsidRPr="00226444">
              <w:rPr>
                <w:rFonts w:ascii="Times New Roman" w:eastAsia="DengXian" w:hAnsi="Times New Roman" w:cs="Times New Roman"/>
                <w:noProof/>
                <w:color w:val="000000" w:themeColor="text1"/>
                <w:sz w:val="20"/>
                <w:szCs w:val="20"/>
                <w:vertAlign w:val="superscript"/>
              </w:rPr>
              <w:t>10</w:t>
            </w:r>
            <w:r w:rsidRPr="005D38A7">
              <w:rPr>
                <w:rFonts w:ascii="Times New Roman" w:eastAsia="DengXian" w:hAnsi="Times New Roman" w:cs="Times New Roman"/>
                <w:color w:val="000000" w:themeColor="text1"/>
                <w:sz w:val="20"/>
                <w:szCs w:val="20"/>
              </w:rPr>
              <w:fldChar w:fldCharType="end"/>
            </w:r>
          </w:p>
        </w:tc>
        <w:tc>
          <w:tcPr>
            <w:tcW w:w="356" w:type="pct"/>
          </w:tcPr>
          <w:p w14:paraId="26F0FBBC" w14:textId="06682560" w:rsidR="00A36184" w:rsidRPr="005D38A7"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0"/>
                <w:szCs w:val="20"/>
                <w14:ligatures w14:val="none"/>
              </w:rPr>
            </w:pPr>
            <w:r>
              <w:rPr>
                <w:rFonts w:ascii="Times New Roman" w:eastAsia="Times New Roman" w:hAnsi="Times New Roman" w:cs="Times New Roman"/>
                <w:color w:val="000000" w:themeColor="text1"/>
                <w:kern w:val="0"/>
                <w:sz w:val="20"/>
                <w:szCs w:val="20"/>
                <w14:ligatures w14:val="none"/>
              </w:rPr>
              <w:t>3.5</w:t>
            </w:r>
          </w:p>
        </w:tc>
        <w:tc>
          <w:tcPr>
            <w:tcW w:w="406" w:type="pct"/>
          </w:tcPr>
          <w:p w14:paraId="486D7760" w14:textId="2A87CCF6" w:rsidR="00A36184" w:rsidRDefault="00F71918"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0"/>
                <w:szCs w:val="20"/>
                <w14:ligatures w14:val="none"/>
              </w:rPr>
            </w:pPr>
            <w:r>
              <w:rPr>
                <w:rFonts w:ascii="Times New Roman" w:eastAsia="Times New Roman" w:hAnsi="Times New Roman" w:cs="Times New Roman"/>
                <w:color w:val="000000" w:themeColor="text1"/>
                <w:kern w:val="0"/>
                <w:sz w:val="20"/>
                <w:szCs w:val="20"/>
                <w14:ligatures w14:val="none"/>
              </w:rPr>
              <w:t>270</w:t>
            </w:r>
          </w:p>
        </w:tc>
        <w:tc>
          <w:tcPr>
            <w:tcW w:w="428" w:type="pct"/>
          </w:tcPr>
          <w:p w14:paraId="3DFD7ED9" w14:textId="77777777" w:rsidR="00A36184" w:rsidRDefault="00590B1D"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20"/>
                <w:szCs w:val="20"/>
                <w14:ligatures w14:val="none"/>
              </w:rPr>
            </w:pPr>
            <w:r>
              <w:rPr>
                <w:rFonts w:ascii="Times New Roman" w:hAnsi="Times New Roman" w:cs="Times New Roman" w:hint="eastAsia"/>
                <w:color w:val="000000" w:themeColor="text1"/>
                <w:kern w:val="0"/>
                <w:sz w:val="20"/>
                <w:szCs w:val="20"/>
                <w14:ligatures w14:val="none"/>
              </w:rPr>
              <w:t>25,</w:t>
            </w:r>
          </w:p>
          <w:p w14:paraId="753E1931" w14:textId="36A0FA5E" w:rsidR="00590B1D" w:rsidRPr="00590B1D" w:rsidRDefault="00590B1D"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20"/>
                <w:szCs w:val="20"/>
                <w14:ligatures w14:val="none"/>
              </w:rPr>
            </w:pPr>
            <w:r>
              <w:rPr>
                <w:rFonts w:ascii="Times New Roman" w:hAnsi="Times New Roman" w:cs="Times New Roman" w:hint="eastAsia"/>
                <w:color w:val="000000" w:themeColor="text1"/>
                <w:kern w:val="0"/>
                <w:sz w:val="20"/>
                <w:szCs w:val="20"/>
                <w14:ligatures w14:val="none"/>
              </w:rPr>
              <w:t>E/H</w:t>
            </w:r>
          </w:p>
        </w:tc>
      </w:tr>
      <w:tr w:rsidR="0036581C" w:rsidRPr="004F051F" w14:paraId="621B4327" w14:textId="6A5955B3" w:rsidTr="00365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pct"/>
          </w:tcPr>
          <w:p w14:paraId="3F8E3303" w14:textId="105FE9C1" w:rsidR="00A36184" w:rsidRPr="000B002C" w:rsidRDefault="00A36184" w:rsidP="00086CA5">
            <w:pPr>
              <w:jc w:val="center"/>
              <w:rPr>
                <w:rFonts w:ascii="Times New Roman" w:hAnsi="Times New Roman" w:cs="Times New Roman"/>
                <w:b w:val="0"/>
                <w:color w:val="000000" w:themeColor="text1"/>
                <w:sz w:val="20"/>
                <w:szCs w:val="20"/>
              </w:rPr>
            </w:pPr>
            <w:r>
              <w:rPr>
                <w:rFonts w:ascii="Times New Roman" w:eastAsia="DengXian" w:hAnsi="Times New Roman" w:cs="Times New Roman"/>
                <w:color w:val="000000" w:themeColor="text1"/>
                <w:sz w:val="20"/>
                <w:szCs w:val="20"/>
              </w:rPr>
              <w:t>Brayton-PTES</w:t>
            </w:r>
            <w:r>
              <w:rPr>
                <w:rFonts w:ascii="Times New Roman" w:hAnsi="Times New Roman" w:cs="Times New Roman"/>
                <w:color w:val="000000" w:themeColor="text1"/>
                <w:sz w:val="20"/>
                <w:szCs w:val="20"/>
              </w:rPr>
              <w:t xml:space="preserve"> </w:t>
            </w:r>
            <w:r w:rsidR="00DF5563">
              <w:rPr>
                <w:rFonts w:ascii="Times New Roman" w:hAnsi="Times New Roman" w:cs="Times New Roman"/>
                <w:color w:val="000000" w:themeColor="text1"/>
                <w:sz w:val="20"/>
                <w:szCs w:val="20"/>
              </w:rPr>
              <w:t xml:space="preserve">air </w:t>
            </w:r>
            <w:r>
              <w:rPr>
                <w:rFonts w:ascii="Times New Roman" w:hAnsi="Times New Roman" w:cs="Times New Roman"/>
                <w:color w:val="000000" w:themeColor="text1"/>
                <w:sz w:val="20"/>
                <w:szCs w:val="20"/>
              </w:rPr>
              <w:t>(BPTES)</w:t>
            </w:r>
            <w:r w:rsidRPr="006A216F">
              <w:rPr>
                <w:rFonts w:ascii="Times New Roman" w:hAnsi="Times New Roman" w:cs="Times New Roman"/>
                <w:b w:val="0"/>
                <w:bCs w:val="0"/>
                <w:color w:val="000000" w:themeColor="text1"/>
                <w:sz w:val="20"/>
                <w:szCs w:val="20"/>
                <w:vertAlign w:val="superscript"/>
              </w:rPr>
              <w:t>d</w:t>
            </w:r>
          </w:p>
        </w:tc>
        <w:tc>
          <w:tcPr>
            <w:tcW w:w="369" w:type="pct"/>
          </w:tcPr>
          <w:p w14:paraId="4D47C518" w14:textId="15B70FFB" w:rsidR="00A36184" w:rsidRPr="004F051F" w:rsidRDefault="00A36184" w:rsidP="006447A3">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0.85</w:t>
            </w:r>
            <w:r w:rsidRPr="004F051F">
              <w:rPr>
                <w:rFonts w:ascii="Times New Roman" w:hAnsi="Times New Roman" w:cs="Times New Roman"/>
                <w:sz w:val="20"/>
                <w:szCs w:val="20"/>
              </w:rPr>
              <w:fldChar w:fldCharType="begin" w:fldLock="1"/>
            </w:r>
            <w:r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4F051F">
              <w:rPr>
                <w:rFonts w:ascii="Times New Roman" w:hAnsi="Times New Roman" w:cs="Times New Roman"/>
                <w:noProof/>
                <w:sz w:val="20"/>
                <w:szCs w:val="20"/>
                <w:vertAlign w:val="superscript"/>
              </w:rPr>
              <w:t>1</w:t>
            </w:r>
            <w:r w:rsidRPr="004F051F">
              <w:rPr>
                <w:rFonts w:ascii="Times New Roman" w:hAnsi="Times New Roman" w:cs="Times New Roman"/>
                <w:sz w:val="20"/>
                <w:szCs w:val="20"/>
              </w:rPr>
              <w:fldChar w:fldCharType="end"/>
            </w:r>
          </w:p>
        </w:tc>
        <w:tc>
          <w:tcPr>
            <w:tcW w:w="369" w:type="pct"/>
          </w:tcPr>
          <w:p w14:paraId="5560FCBD" w14:textId="15CA7E1F" w:rsidR="00A36184" w:rsidRPr="004F051F" w:rsidRDefault="00F17753" w:rsidP="006447A3">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lang w:val="en-US"/>
              </w:rPr>
            </w:pPr>
            <w:r>
              <w:rPr>
                <w:rFonts w:ascii="Times New Roman" w:hAnsi="Times New Roman" w:cs="Times New Roman" w:hint="eastAsia"/>
                <w:sz w:val="20"/>
                <w:szCs w:val="20"/>
              </w:rPr>
              <w:t>0.90</w:t>
            </w:r>
            <w:r w:rsidR="00A36184" w:rsidRPr="004F051F">
              <w:rPr>
                <w:rFonts w:ascii="Times New Roman" w:hAnsi="Times New Roman" w:cs="Times New Roman"/>
                <w:sz w:val="20"/>
                <w:szCs w:val="20"/>
              </w:rPr>
              <w:fldChar w:fldCharType="begin" w:fldLock="1"/>
            </w:r>
            <w:r w:rsidR="00A36184"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00A36184" w:rsidRPr="004F051F">
              <w:rPr>
                <w:rFonts w:ascii="Times New Roman" w:hAnsi="Times New Roman" w:cs="Times New Roman"/>
                <w:sz w:val="20"/>
                <w:szCs w:val="20"/>
              </w:rPr>
              <w:fldChar w:fldCharType="separate"/>
            </w:r>
            <w:r w:rsidR="00A36184" w:rsidRPr="004F051F">
              <w:rPr>
                <w:rFonts w:ascii="Times New Roman" w:hAnsi="Times New Roman" w:cs="Times New Roman"/>
                <w:noProof/>
                <w:sz w:val="20"/>
                <w:szCs w:val="20"/>
                <w:vertAlign w:val="superscript"/>
              </w:rPr>
              <w:t>1</w:t>
            </w:r>
            <w:r w:rsidR="00A36184" w:rsidRPr="004F051F">
              <w:rPr>
                <w:rFonts w:ascii="Times New Roman" w:hAnsi="Times New Roman" w:cs="Times New Roman"/>
                <w:sz w:val="20"/>
                <w:szCs w:val="20"/>
              </w:rPr>
              <w:fldChar w:fldCharType="end"/>
            </w:r>
          </w:p>
        </w:tc>
        <w:tc>
          <w:tcPr>
            <w:tcW w:w="422" w:type="pct"/>
          </w:tcPr>
          <w:p w14:paraId="04CCC265" w14:textId="4CF6EEC8" w:rsidR="00A36184" w:rsidRPr="004F051F" w:rsidRDefault="00226444" w:rsidP="006447A3">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1</w:t>
            </w:r>
            <w:r>
              <w:rPr>
                <w:rFonts w:ascii="Times New Roman" w:hAnsi="Times New Roman" w:cs="Times New Roman"/>
                <w:sz w:val="20"/>
                <w:szCs w:val="20"/>
              </w:rPr>
              <w:fldChar w:fldCharType="begin" w:fldLock="1"/>
            </w:r>
            <w:r w:rsidR="00404868">
              <w:rPr>
                <w:rFonts w:ascii="Times New Roman" w:hAnsi="Times New Roman" w:cs="Times New Roman"/>
                <w:sz w:val="20"/>
                <w:szCs w:val="20"/>
              </w:rPr>
              <w:instrText>ADDIN CSL_CITATION {"citationItems":[{"id":"ITEM-1","itemData":{"DOI":"10.1016/j.rset.2023.100059","ISSN":"2667095X","abstract":"Modeling tools and technologies that will allow reaching decarbonization goals in the most cost-effective way are imperative for the transition to a climate-friendly energy system. This includes models which are able to optimize the design of energy systems with a large number of spatially distributed energy generation sources coupled with adequate short, medium, and long duration storage technologies. Solar photovoltaic and wind energy are likely to become the backbone in a future greenhouse gas neutral energy system and will require low-cost, geographically independent storage technologies in order to balance their intermittent availability. As an alternative to lithium-ion batteries and hydrogen systems, thermal energy storage coupled with a power block (e.g., Carnot batteries, pumped thermal storage, etc.) could be a promising option. Therefore, the current study aims to investigate the influence of renewable generation profiles coupled with alternate storage options (i.e., Li-ion and hydrogen cavern) on the installed capacity of electric-to-thermal-to-electric systems using a 100% renewable electricity system in Germany as a case study. The analyses reveal that Carnot batteries complement established and near-future storage technologies, as they could fill the gap between daily storage such as batteries and seasonal storage such as hydrogen salt caverns. Furthermore, Carnot Batteries could offer multiple options for heat integration further increasing their potential.","author":[{"dropping-particle":"","family":"Jacob","given":"Rhys","non-dropping-particle":"","parse-names":false,"suffix":""},{"dropping-particle":"","family":"Hoffmann","given":"Maximilian","non-dropping-particle":"","parse-names":false,"suffix":""},{"dropping-particle":"","family":"Weinand","given":"Jann Michael","non-dropping-particle":"","parse-names":false,"suffix":""},{"dropping-particle":"","family":"Linßen","given":"Jochen","non-dropping-particle":"","parse-names":false,"suffix":""},{"dropping-particle":"","family":"Stolten","given":"Detlef","non-dropping-particle":"","parse-names":false,"suffix":""},{"dropping-particle":"","family":"Müller","given":"Michael","non-dropping-particle":"","parse-names":false,"suffix":""}],"container-title":"Renewable and Sustainable Energy Transition","id":"ITEM-1","issue":"July","issued":{"date-parts":[["2023"]]},"title":"The future role of thermal energy storage in 100% renewable electricity systems","type":"article-journal","volume":"4"},"uris":["http://www.mendeley.com/documents/?uuid=627fcafb-84e8-49e9-8cfb-0d829280f656"]}],"mendeley":{"formattedCitation":"&lt;sup&gt;6&lt;/sup&gt;","plainTextFormattedCitation":"6","previouslyFormattedCitation":"&lt;sup&gt;6&lt;/sup&gt;"},"properties":{"noteIndex":0},"schema":"https://github.com/citation-style-language/schema/raw/master/csl-citation.json"}</w:instrText>
            </w:r>
            <w:r>
              <w:rPr>
                <w:rFonts w:ascii="Times New Roman" w:hAnsi="Times New Roman" w:cs="Times New Roman"/>
                <w:sz w:val="20"/>
                <w:szCs w:val="20"/>
              </w:rPr>
              <w:fldChar w:fldCharType="separate"/>
            </w:r>
            <w:r w:rsidRPr="00226444">
              <w:rPr>
                <w:rFonts w:ascii="Times New Roman" w:hAnsi="Times New Roman" w:cs="Times New Roman"/>
                <w:noProof/>
                <w:sz w:val="20"/>
                <w:szCs w:val="20"/>
                <w:vertAlign w:val="superscript"/>
              </w:rPr>
              <w:t>6</w:t>
            </w:r>
            <w:r>
              <w:rPr>
                <w:rFonts w:ascii="Times New Roman" w:hAnsi="Times New Roman" w:cs="Times New Roman"/>
                <w:sz w:val="20"/>
                <w:szCs w:val="20"/>
              </w:rPr>
              <w:fldChar w:fldCharType="end"/>
            </w:r>
          </w:p>
        </w:tc>
        <w:tc>
          <w:tcPr>
            <w:tcW w:w="307" w:type="pct"/>
          </w:tcPr>
          <w:p w14:paraId="3E4A471A" w14:textId="7061FF09" w:rsidR="00A36184" w:rsidRPr="004F051F" w:rsidRDefault="00F17753"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hint="eastAsia"/>
                <w:sz w:val="20"/>
                <w:szCs w:val="20"/>
              </w:rPr>
              <w:t>0.6</w:t>
            </w:r>
            <w:r w:rsidR="00A36184" w:rsidRPr="004F051F">
              <w:rPr>
                <w:rFonts w:ascii="Times New Roman" w:hAnsi="Times New Roman" w:cs="Times New Roman"/>
                <w:sz w:val="20"/>
                <w:szCs w:val="20"/>
              </w:rPr>
              <w:fldChar w:fldCharType="begin" w:fldLock="1"/>
            </w:r>
            <w:r w:rsidR="00A36184"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00A36184" w:rsidRPr="004F051F">
              <w:rPr>
                <w:rFonts w:ascii="Times New Roman" w:hAnsi="Times New Roman" w:cs="Times New Roman"/>
                <w:sz w:val="20"/>
                <w:szCs w:val="20"/>
              </w:rPr>
              <w:fldChar w:fldCharType="separate"/>
            </w:r>
            <w:r w:rsidR="00A36184" w:rsidRPr="004F051F">
              <w:rPr>
                <w:rFonts w:ascii="Times New Roman" w:hAnsi="Times New Roman" w:cs="Times New Roman"/>
                <w:noProof/>
                <w:sz w:val="20"/>
                <w:szCs w:val="20"/>
                <w:vertAlign w:val="superscript"/>
              </w:rPr>
              <w:t>1</w:t>
            </w:r>
            <w:r w:rsidR="00A36184" w:rsidRPr="004F051F">
              <w:rPr>
                <w:rFonts w:ascii="Times New Roman" w:hAnsi="Times New Roman" w:cs="Times New Roman"/>
                <w:sz w:val="20"/>
                <w:szCs w:val="20"/>
              </w:rPr>
              <w:fldChar w:fldCharType="end"/>
            </w:r>
          </w:p>
        </w:tc>
        <w:tc>
          <w:tcPr>
            <w:tcW w:w="453" w:type="pct"/>
          </w:tcPr>
          <w:p w14:paraId="429682F1" w14:textId="7416C441" w:rsidR="00A36184" w:rsidRPr="004F051F" w:rsidRDefault="00FC7134" w:rsidP="006447A3">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sz w:val="20"/>
                <w:szCs w:val="20"/>
              </w:rPr>
              <w:t>634</w:t>
            </w:r>
            <w:r w:rsidR="00A36184" w:rsidRPr="004F051F">
              <w:rPr>
                <w:rFonts w:ascii="Times New Roman" w:hAnsi="Times New Roman" w:cs="Times New Roman"/>
                <w:sz w:val="20"/>
                <w:szCs w:val="20"/>
              </w:rPr>
              <w:fldChar w:fldCharType="begin" w:fldLock="1"/>
            </w:r>
            <w:r w:rsidR="00A36184"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00A36184" w:rsidRPr="004F051F">
              <w:rPr>
                <w:rFonts w:ascii="Times New Roman" w:hAnsi="Times New Roman" w:cs="Times New Roman"/>
                <w:sz w:val="20"/>
                <w:szCs w:val="20"/>
              </w:rPr>
              <w:fldChar w:fldCharType="separate"/>
            </w:r>
            <w:r w:rsidR="00A36184" w:rsidRPr="004F051F">
              <w:rPr>
                <w:rFonts w:ascii="Times New Roman" w:hAnsi="Times New Roman" w:cs="Times New Roman"/>
                <w:noProof/>
                <w:sz w:val="20"/>
                <w:szCs w:val="20"/>
                <w:vertAlign w:val="superscript"/>
              </w:rPr>
              <w:t>1</w:t>
            </w:r>
            <w:r w:rsidR="00A36184" w:rsidRPr="004F051F">
              <w:rPr>
                <w:rFonts w:ascii="Times New Roman" w:hAnsi="Times New Roman" w:cs="Times New Roman"/>
                <w:sz w:val="20"/>
                <w:szCs w:val="20"/>
              </w:rPr>
              <w:fldChar w:fldCharType="end"/>
            </w:r>
            <w:r w:rsidR="00A36184">
              <w:rPr>
                <w:rFonts w:ascii="Times New Roman" w:eastAsia="DengXian" w:hAnsi="Times New Roman" w:cs="Times New Roman"/>
                <w:sz w:val="20"/>
                <w:szCs w:val="20"/>
              </w:rPr>
              <w:t>,</w:t>
            </w:r>
            <w:r w:rsidR="00A36184">
              <w:rPr>
                <w:rFonts w:ascii="Times New Roman" w:eastAsia="DengXian" w:hAnsi="Times New Roman" w:cs="Times New Roman"/>
                <w:sz w:val="20"/>
                <w:szCs w:val="20"/>
              </w:rPr>
              <w:fldChar w:fldCharType="begin" w:fldLock="1"/>
            </w:r>
            <w:r w:rsidR="00404868">
              <w:rPr>
                <w:rFonts w:ascii="Times New Roman" w:eastAsia="DengXian" w:hAnsi="Times New Roman" w:cs="Times New Roman"/>
                <w:sz w:val="20"/>
                <w:szCs w:val="20"/>
              </w:rPr>
              <w:instrText>ADDIN CSL_CITATION {"citationItems":[{"id":"ITEM-1","itemData":{"DOI":"10.1016/j.energy.2024.133500","ISSN":"18736785","abstract":"To enable the widespread exploitation of intermittent, low-cost, and non-dispatchable renewable energy technologies, energy storage plays a key role in providing the required flexibility. This study introduces maps of optimal combination of Thermal Energy Storage (TES) and power cycles, supporting decision-making in power-to-heat-to-power applications. These maps span a wide temperature range from 200 to 1200 °C and are proposed for different charging costs, installed capacities, and storage durations. For thermal-to-electricity reconversion, this study explores power blocks including steam Rankine cycle, supercritical CO2 (sCO2) Brayton cycle, Organic Rankine Cycle (ORC), and combined gas turbine with Rankine and sCO2. Results highlight that, in a grid-based plant with a 50 EUR/MWh charging cost, the most cost-effective pairing involves sCO2 cycles with recompression and intercooling, with particle TES at 600–800 °C. Air packed-bed suits scenarios where TES contributes significantly to capital costs or involves low charging costs. Molten salt TES is the optimal choice when the design temperatures align with salt temperature limitations. Particle TES proves cost-effective across a broad temperature range and scales (10–200 MW). For solar-based systems, the integration of molten salt TES with simple sCO2 recuperated cycles demonstrates market potential for southern European locations.","author":[{"dropping-particle":"","family":"Guccione","given":"Salvatore","non-dropping-particle":"","parse-names":false,"suffix":""},{"dropping-particle":"","family":"Guedez","given":"Rafael","non-dropping-particle":"","parse-names":false,"suffix":""}],"container-title":"Energy","id":"ITEM-1","issue":"February","issued":{"date-parts":[["2024"]]},"page":"133500","publisher":"Elsevier Ltd","title":"Techno-economic analysis of power-to-heat-to-power plants: Mapping optimal combinations of thermal energy storage and power cycles","type":"article-journal","volume":"312"},"uris":["http://www.mendeley.com/documents/?uuid=c8e553cb-1bab-4cd6-b400-4eb816db584c"]}],"mendeley":{"formattedCitation":"&lt;sup&gt;10&lt;/sup&gt;","plainTextFormattedCitation":"10","previouslyFormattedCitation":"&lt;sup&gt;10&lt;/sup&gt;"},"properties":{"noteIndex":0},"schema":"https://github.com/citation-style-language/schema/raw/master/csl-citation.json"}</w:instrText>
            </w:r>
            <w:r w:rsidR="00A36184">
              <w:rPr>
                <w:rFonts w:ascii="Times New Roman" w:eastAsia="DengXian" w:hAnsi="Times New Roman" w:cs="Times New Roman"/>
                <w:sz w:val="20"/>
                <w:szCs w:val="20"/>
              </w:rPr>
              <w:fldChar w:fldCharType="separate"/>
            </w:r>
            <w:r w:rsidR="00226444" w:rsidRPr="00226444">
              <w:rPr>
                <w:rFonts w:ascii="Times New Roman" w:eastAsia="DengXian" w:hAnsi="Times New Roman" w:cs="Times New Roman"/>
                <w:noProof/>
                <w:sz w:val="20"/>
                <w:szCs w:val="20"/>
                <w:vertAlign w:val="superscript"/>
              </w:rPr>
              <w:t>10</w:t>
            </w:r>
            <w:r w:rsidR="00A36184">
              <w:rPr>
                <w:rFonts w:ascii="Times New Roman" w:eastAsia="DengXian" w:hAnsi="Times New Roman" w:cs="Times New Roman"/>
                <w:sz w:val="20"/>
                <w:szCs w:val="20"/>
              </w:rPr>
              <w:fldChar w:fldCharType="end"/>
            </w:r>
            <w:r w:rsidR="004073D5" w:rsidRPr="004F051F">
              <w:rPr>
                <w:rFonts w:ascii="Times New Roman" w:eastAsia="DengXian" w:hAnsi="Times New Roman" w:cs="Times New Roman"/>
                <w:sz w:val="20"/>
                <w:szCs w:val="20"/>
              </w:rPr>
              <w:t>,</w:t>
            </w:r>
            <w:r w:rsidR="004073D5">
              <w:rPr>
                <w:rFonts w:ascii="Times New Roman" w:eastAsia="DengXian" w:hAnsi="Times New Roman" w:cs="Times New Roman"/>
                <w:sz w:val="20"/>
                <w:szCs w:val="20"/>
              </w:rPr>
              <w:fldChar w:fldCharType="begin" w:fldLock="1"/>
            </w:r>
            <w:r w:rsidR="004073D5">
              <w:rPr>
                <w:rFonts w:ascii="Times New Roman" w:eastAsia="DengXian" w:hAnsi="Times New Roman" w:cs="Times New Roman"/>
                <w:sz w:val="20"/>
                <w:szCs w:val="20"/>
              </w:rPr>
              <w:instrText>ADDIN CSL_CITATION {"citationItems":[{"id":"ITEM-1","itemData":{"DOI":"10.1016/j.apenergy.2022.120628","ISSN":"0306-2619","author":[{"dropping-particle":"","family":"Vecchi","given":"Andrea","non-dropping-particle":"","parse-names":false,"suffix":""},{"dropping-particle":"","family":"Sciacovelli","given":"Adriano","non-dropping-particle":"","parse-names":false,"suffix":""}],"container-title":"Applied Energy","id":"ITEM-1","issue":"December 2022","issued":{"date-parts":[["2023"]]},"page":"120628","publisher":"Elsevier Ltd","title":"Long-duration thermo-mechanical energy storage – Present and future techno-economic competitiveness","type":"article-journal","volume":"334"},"uris":["http://www.mendeley.com/documents/?uuid=0ab63541-9e17-4369-9a78-bbabe4fc9395"]}],"mendeley":{"formattedCitation":"&lt;sup&gt;5&lt;/sup&gt;","plainTextFormattedCitation":"5","previouslyFormattedCitation":"&lt;sup&gt;5&lt;/sup&gt;"},"properties":{"noteIndex":0},"schema":"https://github.com/citation-style-language/schema/raw/master/csl-citation.json"}</w:instrText>
            </w:r>
            <w:r w:rsidR="004073D5">
              <w:rPr>
                <w:rFonts w:ascii="Times New Roman" w:eastAsia="DengXian" w:hAnsi="Times New Roman" w:cs="Times New Roman"/>
                <w:sz w:val="20"/>
                <w:szCs w:val="20"/>
              </w:rPr>
              <w:fldChar w:fldCharType="separate"/>
            </w:r>
            <w:r w:rsidR="004073D5" w:rsidRPr="004073D5">
              <w:rPr>
                <w:rFonts w:ascii="Times New Roman" w:eastAsia="DengXian" w:hAnsi="Times New Roman" w:cs="Times New Roman"/>
                <w:noProof/>
                <w:sz w:val="20"/>
                <w:szCs w:val="20"/>
                <w:vertAlign w:val="superscript"/>
              </w:rPr>
              <w:t>5</w:t>
            </w:r>
            <w:r w:rsidR="004073D5">
              <w:rPr>
                <w:rFonts w:ascii="Times New Roman" w:eastAsia="DengXian" w:hAnsi="Times New Roman" w:cs="Times New Roman"/>
                <w:sz w:val="20"/>
                <w:szCs w:val="20"/>
              </w:rPr>
              <w:fldChar w:fldCharType="end"/>
            </w:r>
            <w:r w:rsidR="004073D5">
              <w:rPr>
                <w:rFonts w:ascii="Times New Roman" w:eastAsia="DengXian" w:hAnsi="Times New Roman" w:cs="Times New Roman"/>
                <w:sz w:val="20"/>
                <w:szCs w:val="20"/>
              </w:rPr>
              <w:t>,</w:t>
            </w:r>
            <w:r w:rsidR="004073D5">
              <w:rPr>
                <w:rFonts w:ascii="Times New Roman" w:eastAsia="DengXian" w:hAnsi="Times New Roman" w:cs="Times New Roman"/>
                <w:sz w:val="20"/>
                <w:szCs w:val="20"/>
              </w:rPr>
              <w:fldChar w:fldCharType="begin" w:fldLock="1"/>
            </w:r>
            <w:r w:rsidR="00404868">
              <w:rPr>
                <w:rFonts w:ascii="Times New Roman" w:eastAsia="DengXian" w:hAnsi="Times New Roman" w:cs="Times New Roman"/>
                <w:sz w:val="20"/>
                <w:szCs w:val="20"/>
              </w:rPr>
              <w:instrText>ADDIN CSL_CITATION {"citationItems":[{"id":"ITEM-1","itemData":{"DOI":"10.1016/j.est.2023.107416","ISSN":"2352152X","abstract":"The development of cost-efficient, environmentally friendly, and reliable technologies for utility-scale electricity storage is a key element for future flexible power systems. Brayton cycle-based Pumped Thermal Energy Storage (PTES) offers the potential of making a substantial progress to reach this goal. For further improvements in cost efficiency and flexibility we investigate the additional integration of Power-to-Heat (PtH) into the heat pump cycle. This integration allows a reduction in component size due to higher energy density; however, it also leads to efficiency losses. The objective of this paper is to quantify this tradeoff between round-trip efficiency and cost efficiency for closed-cycle Joule-Brayton PTES configurations and to provide design solutions for the novel PtH component. To this end, a wide-range design study with variable electric heating power and component efficiencies is conducted. In addition to the thermodynamic analysis, an economic assessment is presented, which clarifies the benefits of PtH extension. The results demonstrate a significant reduction of capital expenditures by up to 23 % along with higher system flexibility and a loss in round-trip efficiency of up to 5 %.","author":[{"dropping-particle":"","family":"Belik","given":"Sergej","non-dropping-particle":"","parse-names":false,"suffix":""}],"container-title":"Journal of Energy Storage","id":"ITEM-1","issue":"June 2022","issued":{"date-parts":[["2023"]]},"page":"107416","publisher":"Elsevier Ltd","title":"Techno-economic evaluation of a Brayton battery configuration with power-to-heat extension","type":"article-journal","volume":"68"},"uris":["http://www.mendeley.com/documents/?uuid=5dfbd3a0-4817-40da-bf6a-3c048cc67ade"]}],"mendeley":{"formattedCitation":"&lt;sup&gt;11&lt;/sup&gt;","plainTextFormattedCitation":"11","previouslyFormattedCitation":"&lt;sup&gt;11&lt;/sup&gt;"},"properties":{"noteIndex":0},"schema":"https://github.com/citation-style-language/schema/raw/master/csl-citation.json"}</w:instrText>
            </w:r>
            <w:r w:rsidR="004073D5">
              <w:rPr>
                <w:rFonts w:ascii="Times New Roman" w:eastAsia="DengXian" w:hAnsi="Times New Roman" w:cs="Times New Roman"/>
                <w:sz w:val="20"/>
                <w:szCs w:val="20"/>
              </w:rPr>
              <w:fldChar w:fldCharType="separate"/>
            </w:r>
            <w:r w:rsidR="00226444" w:rsidRPr="00226444">
              <w:rPr>
                <w:rFonts w:ascii="Times New Roman" w:eastAsia="DengXian" w:hAnsi="Times New Roman" w:cs="Times New Roman"/>
                <w:noProof/>
                <w:sz w:val="20"/>
                <w:szCs w:val="20"/>
                <w:vertAlign w:val="superscript"/>
              </w:rPr>
              <w:t>11</w:t>
            </w:r>
            <w:r w:rsidR="004073D5">
              <w:rPr>
                <w:rFonts w:ascii="Times New Roman" w:eastAsia="DengXian" w:hAnsi="Times New Roman" w:cs="Times New Roman"/>
                <w:sz w:val="20"/>
                <w:szCs w:val="20"/>
              </w:rPr>
              <w:fldChar w:fldCharType="end"/>
            </w:r>
          </w:p>
        </w:tc>
        <w:tc>
          <w:tcPr>
            <w:tcW w:w="401" w:type="pct"/>
          </w:tcPr>
          <w:p w14:paraId="232A30DE" w14:textId="5E48E839" w:rsidR="00A36184" w:rsidRPr="004F051F" w:rsidRDefault="00FC7134" w:rsidP="006447A3">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87.8</w:t>
            </w:r>
            <w:r w:rsidR="00A36184" w:rsidRPr="004F051F">
              <w:rPr>
                <w:rFonts w:ascii="Times New Roman" w:hAnsi="Times New Roman" w:cs="Times New Roman"/>
                <w:sz w:val="20"/>
                <w:szCs w:val="20"/>
              </w:rPr>
              <w:fldChar w:fldCharType="begin" w:fldLock="1"/>
            </w:r>
            <w:r w:rsidR="00A36184">
              <w:rPr>
                <w:rFonts w:ascii="Times New Roman" w:hAnsi="Times New Roman" w:cs="Times New Roman"/>
                <w:sz w:val="20"/>
                <w:szCs w:val="20"/>
              </w:rPr>
              <w:instrText>ADDIN CSL_CITATION {"citationItems":[{"id":"ITEM-1","itemData":{"ISBN":"9781782526667","abstract":"The UK Government has a stated ambition to decarbonise the electricity system by 2035 and is committed to reaching net zero by 2050. As Great Britain’s electricity supply is decarbonised, an increasing fraction will be provided by wind and solar energy because they are the cheapest form of low-carbon generation. Wind and solar supply vary on time scales ranging from seconds to decades. However high the average level of supply might be, there will be times when wind and solar generation is close to zero and periods when there is enough to meet part of but not all demand, as well as times when it exceeds demand. To ensure that demand is always met, the volatile wind and solar generated electricity that is fed directly into the grid must be complemented by other flexible low-carbon sources, and / or using excess wind and solar energy that has been stored. The excess could be stored in a variety of ways, for example electrochemically in batteries, gravitationally by pumping water into dams, mechanically by compressing air, chemically by making hydrogen, or as heat. This report considers the use of large-scale electricity storage when power is supplied predominantly by wind and solar. It draws on studies from around the world but is focussed on the need for large-scale electrical energy storage in Great Britaina (GB) and how, and at what cost, storage needs might best be met. Major conclusions • In 2050 Great Britain’s demand for electricity could be met by wind and solar energy supported by large-scale storage. • The cost of complementing direct wind and solar supply with storage compares very favourably with the cost of low-carbon alternatives. Further, storage has the potential to provide greater energy security. • Wind supply can vary over time scales of decades and tens of TWhs of very long- duration storage will be needed. The scale is over 1000 times that currently provided by pumped hydro in the UK, and far more than could conceivably be provided by conventional batteries. Meeting the need for long-duration storage will require very low cost per unit energy stored. In GB, the leading candidate is storage of hydrogen in solution-mined salt caverns, for which GB has a more than adequate potential, albeit not widely distributed. The fall-back option, which would be significantly more expensive, is ammonia. • The demand for electricity in GB in 2050 is assumed to be 570 TWh/year in most of this report. In principle it could all be met by wind and solar s…","author":[{"dropping-particle":"","family":"The Royal Society","given":"","non-dropping-particle":"","parse-names":false,"suffix":""}],"id":"ITEM-1","issued":{"date-parts":[["2023"]]},"title":"Large-scale electricity storage","type":"book"},"uris":["http://www.mendeley.com/documents/?uuid=d5232023-3ec9-42cb-80b1-b461589ac9f0"]}],"mendeley":{"formattedCitation":"&lt;sup&gt;3&lt;/sup&gt;","plainTextFormattedCitation":"3","previouslyFormattedCitation":"&lt;sup&gt;3&lt;/sup&gt;"},"properties":{"noteIndex":0},"schema":"https://github.com/citation-style-language/schema/raw/master/csl-citation.json"}</w:instrText>
            </w:r>
            <w:r w:rsidR="00A36184" w:rsidRPr="004F051F">
              <w:rPr>
                <w:rFonts w:ascii="Times New Roman" w:hAnsi="Times New Roman" w:cs="Times New Roman"/>
                <w:sz w:val="20"/>
                <w:szCs w:val="20"/>
              </w:rPr>
              <w:fldChar w:fldCharType="separate"/>
            </w:r>
            <w:r w:rsidR="00A36184" w:rsidRPr="00243124">
              <w:rPr>
                <w:rFonts w:ascii="Times New Roman" w:hAnsi="Times New Roman" w:cs="Times New Roman"/>
                <w:noProof/>
                <w:sz w:val="20"/>
                <w:szCs w:val="20"/>
                <w:vertAlign w:val="superscript"/>
              </w:rPr>
              <w:t>3</w:t>
            </w:r>
            <w:r w:rsidR="00A36184" w:rsidRPr="004F051F">
              <w:rPr>
                <w:rFonts w:ascii="Times New Roman" w:hAnsi="Times New Roman" w:cs="Times New Roman"/>
                <w:sz w:val="20"/>
                <w:szCs w:val="20"/>
              </w:rPr>
              <w:fldChar w:fldCharType="end"/>
            </w:r>
            <w:r w:rsidR="00A36184">
              <w:rPr>
                <w:rFonts w:ascii="Times New Roman" w:eastAsia="DengXian" w:hAnsi="Times New Roman" w:cs="Times New Roman"/>
                <w:sz w:val="20"/>
                <w:szCs w:val="20"/>
              </w:rPr>
              <w:t>,</w:t>
            </w:r>
            <w:r w:rsidR="00A36184">
              <w:rPr>
                <w:rFonts w:ascii="Times New Roman" w:eastAsia="DengXian" w:hAnsi="Times New Roman" w:cs="Times New Roman"/>
                <w:sz w:val="20"/>
                <w:szCs w:val="20"/>
              </w:rPr>
              <w:fldChar w:fldCharType="begin" w:fldLock="1"/>
            </w:r>
            <w:r w:rsidR="00404868">
              <w:rPr>
                <w:rFonts w:ascii="Times New Roman" w:eastAsia="DengXian" w:hAnsi="Times New Roman" w:cs="Times New Roman"/>
                <w:sz w:val="20"/>
                <w:szCs w:val="20"/>
              </w:rPr>
              <w:instrText>ADDIN CSL_CITATION {"citationItems":[{"id":"ITEM-1","itemData":{"DOI":"10.1016/j.energy.2024.133500","ISSN":"18736785","abstract":"To enable the widespread exploitation of intermittent, low-cost, and non-dispatchable renewable energy technologies, energy storage plays a key role in providing the required flexibility. This study introduces maps of optimal combination of Thermal Energy Storage (TES) and power cycles, supporting decision-making in power-to-heat-to-power applications. These maps span a wide temperature range from 200 to 1200 °C and are proposed for different charging costs, installed capacities, and storage durations. For thermal-to-electricity reconversion, this study explores power blocks including steam Rankine cycle, supercritical CO2 (sCO2) Brayton cycle, Organic Rankine Cycle (ORC), and combined gas turbine with Rankine and sCO2. Results highlight that, in a grid-based plant with a 50 EUR/MWh charging cost, the most cost-effective pairing involves sCO2 cycles with recompression and intercooling, with particle TES at 600–800 °C. Air packed-bed suits scenarios where TES contributes significantly to capital costs or involves low charging costs. Molten salt TES is the optimal choice when the design temperatures align with salt temperature limitations. Particle TES proves cost-effective across a broad temperature range and scales (10–200 MW). For solar-based systems, the integration of molten salt TES with simple sCO2 recuperated cycles demonstrates market potential for southern European locations.","author":[{"dropping-particle":"","family":"Guccione","given":"Salvatore","non-dropping-particle":"","parse-names":false,"suffix":""},{"dropping-particle":"","family":"Guedez","given":"Rafael","non-dropping-particle":"","parse-names":false,"suffix":""}],"container-title":"Energy","id":"ITEM-1","issue":"February","issued":{"date-parts":[["2024"]]},"page":"133500","publisher":"Elsevier Ltd","title":"Techno-economic analysis of power-to-heat-to-power plants: Mapping optimal combinations of thermal energy storage and power cycles","type":"article-journal","volume":"312"},"uris":["http://www.mendeley.com/documents/?uuid=c8e553cb-1bab-4cd6-b400-4eb816db584c"]}],"mendeley":{"formattedCitation":"&lt;sup&gt;10&lt;/sup&gt;","plainTextFormattedCitation":"10","previouslyFormattedCitation":"&lt;sup&gt;10&lt;/sup&gt;"},"properties":{"noteIndex":0},"schema":"https://github.com/citation-style-language/schema/raw/master/csl-citation.json"}</w:instrText>
            </w:r>
            <w:r w:rsidR="00A36184">
              <w:rPr>
                <w:rFonts w:ascii="Times New Roman" w:eastAsia="DengXian" w:hAnsi="Times New Roman" w:cs="Times New Roman"/>
                <w:sz w:val="20"/>
                <w:szCs w:val="20"/>
              </w:rPr>
              <w:fldChar w:fldCharType="separate"/>
            </w:r>
            <w:r w:rsidR="00226444" w:rsidRPr="00226444">
              <w:rPr>
                <w:rFonts w:ascii="Times New Roman" w:eastAsia="DengXian" w:hAnsi="Times New Roman" w:cs="Times New Roman"/>
                <w:noProof/>
                <w:sz w:val="20"/>
                <w:szCs w:val="20"/>
                <w:vertAlign w:val="superscript"/>
              </w:rPr>
              <w:t>10</w:t>
            </w:r>
            <w:r w:rsidR="00A36184">
              <w:rPr>
                <w:rFonts w:ascii="Times New Roman" w:eastAsia="DengXian" w:hAnsi="Times New Roman" w:cs="Times New Roman"/>
                <w:sz w:val="20"/>
                <w:szCs w:val="20"/>
              </w:rPr>
              <w:fldChar w:fldCharType="end"/>
            </w:r>
          </w:p>
        </w:tc>
        <w:tc>
          <w:tcPr>
            <w:tcW w:w="463" w:type="pct"/>
          </w:tcPr>
          <w:p w14:paraId="24A17BE8" w14:textId="1FBC23CB" w:rsidR="00A36184" w:rsidRPr="004F051F" w:rsidRDefault="00FC7134" w:rsidP="006447A3">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6</w:t>
            </w:r>
            <w:r w:rsidR="00BD7FA9">
              <w:rPr>
                <w:rFonts w:ascii="Times New Roman" w:eastAsia="DengXian" w:hAnsi="Times New Roman" w:cs="Times New Roman"/>
                <w:sz w:val="20"/>
                <w:szCs w:val="20"/>
              </w:rPr>
              <w:t>85</w:t>
            </w:r>
            <w:r w:rsidR="00A36184" w:rsidRPr="004F051F">
              <w:rPr>
                <w:rFonts w:ascii="Times New Roman" w:hAnsi="Times New Roman" w:cs="Times New Roman"/>
                <w:sz w:val="20"/>
                <w:szCs w:val="20"/>
              </w:rPr>
              <w:fldChar w:fldCharType="begin" w:fldLock="1"/>
            </w:r>
            <w:r w:rsidR="00A36184"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00A36184" w:rsidRPr="004F051F">
              <w:rPr>
                <w:rFonts w:ascii="Times New Roman" w:hAnsi="Times New Roman" w:cs="Times New Roman"/>
                <w:sz w:val="20"/>
                <w:szCs w:val="20"/>
              </w:rPr>
              <w:fldChar w:fldCharType="separate"/>
            </w:r>
            <w:r w:rsidR="00A36184" w:rsidRPr="004F051F">
              <w:rPr>
                <w:rFonts w:ascii="Times New Roman" w:hAnsi="Times New Roman" w:cs="Times New Roman"/>
                <w:noProof/>
                <w:sz w:val="20"/>
                <w:szCs w:val="20"/>
                <w:vertAlign w:val="superscript"/>
              </w:rPr>
              <w:t>1</w:t>
            </w:r>
            <w:r w:rsidR="00A36184" w:rsidRPr="004F051F">
              <w:rPr>
                <w:rFonts w:ascii="Times New Roman" w:hAnsi="Times New Roman" w:cs="Times New Roman"/>
                <w:sz w:val="20"/>
                <w:szCs w:val="20"/>
              </w:rPr>
              <w:fldChar w:fldCharType="end"/>
            </w:r>
            <w:r w:rsidR="00A36184" w:rsidRPr="004F051F">
              <w:rPr>
                <w:rFonts w:ascii="Times New Roman" w:eastAsia="DengXian" w:hAnsi="Times New Roman" w:cs="Times New Roman"/>
                <w:sz w:val="20"/>
                <w:szCs w:val="20"/>
              </w:rPr>
              <w:t>,</w:t>
            </w:r>
            <w:r w:rsidR="004073D5">
              <w:rPr>
                <w:rFonts w:ascii="Times New Roman" w:eastAsia="DengXian" w:hAnsi="Times New Roman" w:cs="Times New Roman"/>
                <w:sz w:val="20"/>
                <w:szCs w:val="20"/>
              </w:rPr>
              <w:fldChar w:fldCharType="begin" w:fldLock="1"/>
            </w:r>
            <w:r w:rsidR="004073D5">
              <w:rPr>
                <w:rFonts w:ascii="Times New Roman" w:eastAsia="DengXian" w:hAnsi="Times New Roman" w:cs="Times New Roman"/>
                <w:sz w:val="20"/>
                <w:szCs w:val="20"/>
              </w:rPr>
              <w:instrText>ADDIN CSL_CITATION {"citationItems":[{"id":"ITEM-1","itemData":{"DOI":"10.1016/j.apenergy.2022.120628","ISSN":"0306-2619","author":[{"dropping-particle":"","family":"Vecchi","given":"Andrea","non-dropping-particle":"","parse-names":false,"suffix":""},{"dropping-particle":"","family":"Sciacovelli","given":"Adriano","non-dropping-particle":"","parse-names":false,"suffix":""}],"container-title":"Applied Energy","id":"ITEM-1","issue":"December 2022","issued":{"date-parts":[["2023"]]},"page":"120628","publisher":"Elsevier Ltd","title":"Long-duration thermo-mechanical energy storage – Present and future techno-economic competitiveness","type":"article-journal","volume":"334"},"uris":["http://www.mendeley.com/documents/?uuid=0ab63541-9e17-4369-9a78-bbabe4fc9395"]}],"mendeley":{"formattedCitation":"&lt;sup&gt;5&lt;/sup&gt;","plainTextFormattedCitation":"5","previouslyFormattedCitation":"&lt;sup&gt;5&lt;/sup&gt;"},"properties":{"noteIndex":0},"schema":"https://github.com/citation-style-language/schema/raw/master/csl-citation.json"}</w:instrText>
            </w:r>
            <w:r w:rsidR="004073D5">
              <w:rPr>
                <w:rFonts w:ascii="Times New Roman" w:eastAsia="DengXian" w:hAnsi="Times New Roman" w:cs="Times New Roman"/>
                <w:sz w:val="20"/>
                <w:szCs w:val="20"/>
              </w:rPr>
              <w:fldChar w:fldCharType="separate"/>
            </w:r>
            <w:r w:rsidR="004073D5" w:rsidRPr="004073D5">
              <w:rPr>
                <w:rFonts w:ascii="Times New Roman" w:eastAsia="DengXian" w:hAnsi="Times New Roman" w:cs="Times New Roman"/>
                <w:noProof/>
                <w:sz w:val="20"/>
                <w:szCs w:val="20"/>
                <w:vertAlign w:val="superscript"/>
              </w:rPr>
              <w:t>5</w:t>
            </w:r>
            <w:r w:rsidR="004073D5">
              <w:rPr>
                <w:rFonts w:ascii="Times New Roman" w:eastAsia="DengXian" w:hAnsi="Times New Roman" w:cs="Times New Roman"/>
                <w:sz w:val="20"/>
                <w:szCs w:val="20"/>
              </w:rPr>
              <w:fldChar w:fldCharType="end"/>
            </w:r>
            <w:r w:rsidR="004073D5">
              <w:rPr>
                <w:rFonts w:ascii="Times New Roman" w:eastAsia="DengXian" w:hAnsi="Times New Roman" w:cs="Times New Roman"/>
                <w:sz w:val="20"/>
                <w:szCs w:val="20"/>
              </w:rPr>
              <w:t>,</w:t>
            </w:r>
            <w:r w:rsidR="004073D5">
              <w:rPr>
                <w:rFonts w:ascii="Times New Roman" w:eastAsia="DengXian" w:hAnsi="Times New Roman" w:cs="Times New Roman"/>
                <w:sz w:val="20"/>
                <w:szCs w:val="20"/>
              </w:rPr>
              <w:fldChar w:fldCharType="begin" w:fldLock="1"/>
            </w:r>
            <w:r w:rsidR="00404868">
              <w:rPr>
                <w:rFonts w:ascii="Times New Roman" w:eastAsia="DengXian" w:hAnsi="Times New Roman" w:cs="Times New Roman"/>
                <w:sz w:val="20"/>
                <w:szCs w:val="20"/>
              </w:rPr>
              <w:instrText>ADDIN CSL_CITATION {"citationItems":[{"id":"ITEM-1","itemData":{"DOI":"10.1016/j.est.2023.107416","ISSN":"2352152X","abstract":"The development of cost-efficient, environmentally friendly, and reliable technologies for utility-scale electricity storage is a key element for future flexible power systems. Brayton cycle-based Pumped Thermal Energy Storage (PTES) offers the potential of making a substantial progress to reach this goal. For further improvements in cost efficiency and flexibility we investigate the additional integration of Power-to-Heat (PtH) into the heat pump cycle. This integration allows a reduction in component size due to higher energy density; however, it also leads to efficiency losses. The objective of this paper is to quantify this tradeoff between round-trip efficiency and cost efficiency for closed-cycle Joule-Brayton PTES configurations and to provide design solutions for the novel PtH component. To this end, a wide-range design study with variable electric heating power and component efficiencies is conducted. In addition to the thermodynamic analysis, an economic assessment is presented, which clarifies the benefits of PtH extension. The results demonstrate a significant reduction of capital expenditures by up to 23 % along with higher system flexibility and a loss in round-trip efficiency of up to 5 %.","author":[{"dropping-particle":"","family":"Belik","given":"Sergej","non-dropping-particle":"","parse-names":false,"suffix":""}],"container-title":"Journal of Energy Storage","id":"ITEM-1","issue":"June 2022","issued":{"date-parts":[["2023"]]},"page":"107416","publisher":"Elsevier Ltd","title":"Techno-economic evaluation of a Brayton battery configuration with power-to-heat extension","type":"article-journal","volume":"68"},"uris":["http://www.mendeley.com/documents/?uuid=5dfbd3a0-4817-40da-bf6a-3c048cc67ade"]}],"mendeley":{"formattedCitation":"&lt;sup&gt;11&lt;/sup&gt;","plainTextFormattedCitation":"11","previouslyFormattedCitation":"&lt;sup&gt;11&lt;/sup&gt;"},"properties":{"noteIndex":0},"schema":"https://github.com/citation-style-language/schema/raw/master/csl-citation.json"}</w:instrText>
            </w:r>
            <w:r w:rsidR="004073D5">
              <w:rPr>
                <w:rFonts w:ascii="Times New Roman" w:eastAsia="DengXian" w:hAnsi="Times New Roman" w:cs="Times New Roman"/>
                <w:sz w:val="20"/>
                <w:szCs w:val="20"/>
              </w:rPr>
              <w:fldChar w:fldCharType="separate"/>
            </w:r>
            <w:r w:rsidR="00226444" w:rsidRPr="00226444">
              <w:rPr>
                <w:rFonts w:ascii="Times New Roman" w:eastAsia="DengXian" w:hAnsi="Times New Roman" w:cs="Times New Roman"/>
                <w:noProof/>
                <w:sz w:val="20"/>
                <w:szCs w:val="20"/>
                <w:vertAlign w:val="superscript"/>
              </w:rPr>
              <w:t>11</w:t>
            </w:r>
            <w:r w:rsidR="004073D5">
              <w:rPr>
                <w:rFonts w:ascii="Times New Roman" w:eastAsia="DengXian" w:hAnsi="Times New Roman" w:cs="Times New Roman"/>
                <w:sz w:val="20"/>
                <w:szCs w:val="20"/>
              </w:rPr>
              <w:fldChar w:fldCharType="end"/>
            </w:r>
          </w:p>
        </w:tc>
        <w:tc>
          <w:tcPr>
            <w:tcW w:w="407" w:type="pct"/>
          </w:tcPr>
          <w:p w14:paraId="2A0E84A6" w14:textId="61B4263F" w:rsidR="00A36184" w:rsidRDefault="00A36184" w:rsidP="006447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27.6</w:t>
            </w:r>
            <w:r>
              <w:rPr>
                <w:rFonts w:ascii="Times New Roman" w:eastAsia="DengXian" w:hAnsi="Times New Roman" w:cs="Times New Roman"/>
                <w:sz w:val="20"/>
                <w:szCs w:val="20"/>
              </w:rPr>
              <w:fldChar w:fldCharType="begin" w:fldLock="1"/>
            </w:r>
            <w:r w:rsidR="00404868">
              <w:rPr>
                <w:rFonts w:ascii="Times New Roman" w:eastAsia="DengXian" w:hAnsi="Times New Roman" w:cs="Times New Roman"/>
                <w:sz w:val="20"/>
                <w:szCs w:val="20"/>
              </w:rPr>
              <w:instrText>ADDIN CSL_CITATION {"citationItems":[{"id":"ITEM-1","itemData":{"DOI":"10.1016/j.energy.2024.133500","ISSN":"18736785","abstract":"To enable the widespread exploitation of intermittent, low-cost, and non-dispatchable renewable energy technologies, energy storage plays a key role in providing the required flexibility. This study introduces maps of optimal combination of Thermal Energy Storage (TES) and power cycles, supporting decision-making in power-to-heat-to-power applications. These maps span a wide temperature range from 200 to 1200 °C and are proposed for different charging costs, installed capacities, and storage durations. For thermal-to-electricity reconversion, this study explores power blocks including steam Rankine cycle, supercritical CO2 (sCO2) Brayton cycle, Organic Rankine Cycle (ORC), and combined gas turbine with Rankine and sCO2. Results highlight that, in a grid-based plant with a 50 EUR/MWh charging cost, the most cost-effective pairing involves sCO2 cycles with recompression and intercooling, with particle TES at 600–800 °C. Air packed-bed suits scenarios where TES contributes significantly to capital costs or involves low charging costs. Molten salt TES is the optimal choice when the design temperatures align with salt temperature limitations. Particle TES proves cost-effective across a broad temperature range and scales (10–200 MW). For solar-based systems, the integration of molten salt TES with simple sCO2 recuperated cycles demonstrates market potential for southern European locations.","author":[{"dropping-particle":"","family":"Guccione","given":"Salvatore","non-dropping-particle":"","parse-names":false,"suffix":""},{"dropping-particle":"","family":"Guedez","given":"Rafael","non-dropping-particle":"","parse-names":false,"suffix":""}],"container-title":"Energy","id":"ITEM-1","issue":"February","issued":{"date-parts":[["2024"]]},"page":"133500","publisher":"Elsevier Ltd","title":"Techno-economic analysis of power-to-heat-to-power plants: Mapping optimal combinations of thermal energy storage and power cycles","type":"article-journal","volume":"312"},"uris":["http://www.mendeley.com/documents/?uuid=c8e553cb-1bab-4cd6-b400-4eb816db584c"]}],"mendeley":{"formattedCitation":"&lt;sup&gt;10&lt;/sup&gt;","plainTextFormattedCitation":"10","previouslyFormattedCitation":"&lt;sup&gt;10&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26444" w:rsidRPr="00226444">
              <w:rPr>
                <w:rFonts w:ascii="Times New Roman" w:eastAsia="DengXian" w:hAnsi="Times New Roman" w:cs="Times New Roman"/>
                <w:noProof/>
                <w:sz w:val="20"/>
                <w:szCs w:val="20"/>
                <w:vertAlign w:val="superscript"/>
              </w:rPr>
              <w:t>10</w:t>
            </w:r>
            <w:r>
              <w:rPr>
                <w:rFonts w:ascii="Times New Roman" w:eastAsia="DengXian" w:hAnsi="Times New Roman" w:cs="Times New Roman"/>
                <w:sz w:val="20"/>
                <w:szCs w:val="20"/>
              </w:rPr>
              <w:fldChar w:fldCharType="end"/>
            </w:r>
          </w:p>
          <w:p w14:paraId="7C2CD483" w14:textId="7964FBC2" w:rsidR="00A36184" w:rsidRPr="00086CA5" w:rsidRDefault="00A36184"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rPr>
            </w:pPr>
          </w:p>
        </w:tc>
        <w:tc>
          <w:tcPr>
            <w:tcW w:w="356" w:type="pct"/>
          </w:tcPr>
          <w:p w14:paraId="51335375" w14:textId="1181E57D" w:rsidR="00A36184" w:rsidRDefault="00A36184" w:rsidP="006447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themeColor="text1"/>
                <w:kern w:val="0"/>
                <w:sz w:val="20"/>
                <w:szCs w:val="20"/>
                <w14:ligatures w14:val="none"/>
              </w:rPr>
              <w:t>3.5</w:t>
            </w:r>
          </w:p>
        </w:tc>
        <w:tc>
          <w:tcPr>
            <w:tcW w:w="406" w:type="pct"/>
          </w:tcPr>
          <w:p w14:paraId="78C50200" w14:textId="65667E78" w:rsidR="00A36184" w:rsidRDefault="00D9258B" w:rsidP="006447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0"/>
                <w:szCs w:val="20"/>
                <w14:ligatures w14:val="none"/>
              </w:rPr>
            </w:pPr>
            <w:r>
              <w:rPr>
                <w:rFonts w:ascii="Times New Roman" w:eastAsia="Times New Roman" w:hAnsi="Times New Roman" w:cs="Times New Roman"/>
                <w:color w:val="000000" w:themeColor="text1"/>
                <w:kern w:val="0"/>
                <w:sz w:val="20"/>
                <w:szCs w:val="20"/>
                <w14:ligatures w14:val="none"/>
              </w:rPr>
              <w:t>350</w:t>
            </w:r>
          </w:p>
        </w:tc>
        <w:tc>
          <w:tcPr>
            <w:tcW w:w="428" w:type="pct"/>
          </w:tcPr>
          <w:p w14:paraId="4F28F30B" w14:textId="77777777" w:rsidR="00A36184" w:rsidRDefault="00590B1D"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kern w:val="0"/>
                <w:sz w:val="20"/>
                <w:szCs w:val="20"/>
                <w14:ligatures w14:val="none"/>
              </w:rPr>
            </w:pPr>
            <w:r>
              <w:rPr>
                <w:rFonts w:ascii="Times New Roman" w:hAnsi="Times New Roman" w:cs="Times New Roman" w:hint="eastAsia"/>
                <w:color w:val="000000" w:themeColor="text1"/>
                <w:kern w:val="0"/>
                <w:sz w:val="20"/>
                <w:szCs w:val="20"/>
                <w14:ligatures w14:val="none"/>
              </w:rPr>
              <w:t>25,</w:t>
            </w:r>
          </w:p>
          <w:p w14:paraId="00399942" w14:textId="2B7035B8" w:rsidR="00590B1D" w:rsidRPr="00590B1D" w:rsidRDefault="00590B1D" w:rsidP="006447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kern w:val="0"/>
                <w:sz w:val="20"/>
                <w:szCs w:val="20"/>
                <w14:ligatures w14:val="none"/>
              </w:rPr>
            </w:pPr>
            <w:r>
              <w:rPr>
                <w:rFonts w:ascii="Times New Roman" w:hAnsi="Times New Roman" w:cs="Times New Roman" w:hint="eastAsia"/>
                <w:color w:val="000000" w:themeColor="text1"/>
                <w:kern w:val="0"/>
                <w:sz w:val="20"/>
                <w:szCs w:val="20"/>
                <w14:ligatures w14:val="none"/>
              </w:rPr>
              <w:t>E/H</w:t>
            </w:r>
          </w:p>
        </w:tc>
      </w:tr>
      <w:tr w:rsidR="0036581C" w:rsidRPr="004F051F" w14:paraId="54A83E0A" w14:textId="3CB93BAA" w:rsidTr="0036581C">
        <w:trPr>
          <w:trHeight w:val="497"/>
        </w:trPr>
        <w:tc>
          <w:tcPr>
            <w:cnfStyle w:val="001000000000" w:firstRow="0" w:lastRow="0" w:firstColumn="1" w:lastColumn="0" w:oddVBand="0" w:evenVBand="0" w:oddHBand="0" w:evenHBand="0" w:firstRowFirstColumn="0" w:firstRowLastColumn="0" w:lastRowFirstColumn="0" w:lastRowLastColumn="0"/>
            <w:tcW w:w="619" w:type="pct"/>
          </w:tcPr>
          <w:p w14:paraId="3EBCC631" w14:textId="2172658E" w:rsidR="00A36184" w:rsidRPr="000B002C" w:rsidRDefault="00A36184" w:rsidP="00AE08C6">
            <w:pPr>
              <w:jc w:val="center"/>
              <w:rPr>
                <w:rFonts w:ascii="Times New Roman" w:hAnsi="Times New Roman" w:cs="Times New Roman"/>
                <w:b w:val="0"/>
                <w:color w:val="000000" w:themeColor="text1"/>
                <w:sz w:val="20"/>
                <w:szCs w:val="20"/>
              </w:rPr>
            </w:pPr>
            <w:r w:rsidRPr="000B002C">
              <w:rPr>
                <w:rFonts w:ascii="Times New Roman" w:hAnsi="Times New Roman" w:cs="Times New Roman"/>
                <w:color w:val="000000" w:themeColor="text1"/>
                <w:sz w:val="20"/>
                <w:szCs w:val="20"/>
              </w:rPr>
              <w:t>Hydrogen</w:t>
            </w:r>
            <w:r>
              <w:rPr>
                <w:rFonts w:ascii="Times New Roman" w:hAnsi="Times New Roman" w:cs="Times New Roman"/>
                <w:color w:val="000000" w:themeColor="text1"/>
                <w:sz w:val="20"/>
                <w:szCs w:val="20"/>
              </w:rPr>
              <w:t xml:space="preserve"> ESS (H2</w:t>
            </w:r>
            <w:proofErr w:type="gramStart"/>
            <w:r>
              <w:rPr>
                <w:rFonts w:ascii="Times New Roman" w:hAnsi="Times New Roman" w:cs="Times New Roman"/>
                <w:color w:val="000000" w:themeColor="text1"/>
                <w:sz w:val="20"/>
                <w:szCs w:val="20"/>
              </w:rPr>
              <w:t>ES)</w:t>
            </w:r>
            <w:r w:rsidRPr="006A216F">
              <w:rPr>
                <w:rFonts w:ascii="Times New Roman" w:hAnsi="Times New Roman" w:cs="Times New Roman"/>
                <w:color w:val="000000" w:themeColor="text1"/>
                <w:sz w:val="20"/>
                <w:szCs w:val="20"/>
                <w:vertAlign w:val="superscript"/>
              </w:rPr>
              <w:t>e</w:t>
            </w:r>
            <w:proofErr w:type="gramEnd"/>
          </w:p>
        </w:tc>
        <w:tc>
          <w:tcPr>
            <w:tcW w:w="369" w:type="pct"/>
          </w:tcPr>
          <w:p w14:paraId="6B0C2136" w14:textId="6C3AE037"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0.73</w:t>
            </w:r>
            <w:r>
              <w:rPr>
                <w:rFonts w:ascii="Times New Roman" w:hAnsi="Times New Roman" w:cs="Times New Roman"/>
                <w:color w:val="000000"/>
                <w:sz w:val="20"/>
                <w:szCs w:val="20"/>
              </w:rPr>
              <w:fldChar w:fldCharType="begin" w:fldLock="1"/>
            </w:r>
            <w:r w:rsidR="00404868">
              <w:rPr>
                <w:rFonts w:ascii="Times New Roman" w:hAnsi="Times New Roman" w:cs="Times New Roman"/>
                <w:color w:val="000000"/>
                <w:sz w:val="20"/>
                <w:szCs w:val="20"/>
              </w:rPr>
              <w:instrText>ADDIN CSL_CITATION {"citationItems":[{"id":"ITEM-1","itemData":{"DOI":"10.1016/j.apenergy.2018.02.110","ISSN":"03062619","abstract":"Previous studies have noted the importance of electricity storage and hydrogen technologies for enabling large-scale variable renewable energy (VRE) deployment in long-term climate change mitigation scenarios. However, global studies, which typically use integrated assessment models, assume a fixed cost trajectory for storage and hydrogen technologies; thereby ignoring the sensitivity of VRE deployment and/or mitigation costs to uncertainties in future storage and hydrogen technology costs. Yet there is vast uncertainty in the future costs of these technologies, as reflected in the range of projected costs in the literature. This study uses the integrated assessment model, MESSAGE, to explore the implications of future storage and hydrogen technology costs for low-carbon energy transitions across the reported range of projected technology costs. Techno-economic representations of electricity storage and hydrogen technologies, including utility-scale batteries, pumped hydro storage (PHS), compressed air energy storage (CAES), and hydrogen electrolysis, are introduced to MESSAGE and scenarios are used to assess the sensitivity of long-term VRE deployment and mitigation costs across the range of projected technology costs. The results demonstrate that large-scale deployment of electricity storage technologies only occurs when techno-economic assumptions are optimistic. Although pessimistic storage and hydrogen costs reduce the deployment of these technologies, large VRE shares are supported in carbon-constrained futures by the deployment of other low-carbon flexible technologies, such as hydrogen combustion turbines and concentrating solar power with thermal storage. However, the cost of the required energy transition is larger. In the absence of carbon policy, pessimistic hydrogen and storage costs significantly decrease VRE deployment while increasing coal-based electricity generation. Thus, R&amp;D investments that lower the costs of storage and hydrogen technologies are important for reducing emissions in the absence of climate policy and for reducing mitigation costs in the presence of climate policy.","author":[{"dropping-particle":"","family":"McPherson","given":"Madeleine","non-dropping-particle":"","parse-names":false,"suffix":""},{"dropping-particle":"","family":"Johnson","given":"Nils","non-dropping-particle":"","parse-names":false,"suffix":""},{"dropping-particle":"","family":"Strubegger","given":"Manfred","non-dropping-particle":"","parse-names":false,"suffix":""}],"container-title":"Applied Energy","id":"ITEM-1","issue":"December 2017","issued":{"date-parts":[["2018"]]},"page":"649-661","publisher":"Elsevier","title":"The role of electricity storage and hydrogen technologies in enabling global low-carbon energy transitions","type":"article-journal","volume":"216"},"uris":["http://www.mendeley.com/documents/?uuid=b8fe3b58-f33d-4173-8eb1-92ab71573ba8"]}],"mendeley":{"formattedCitation":"&lt;sup&gt;12&lt;/sup&gt;","plainTextFormattedCitation":"12","previouslyFormattedCitation":"&lt;sup&gt;12&lt;/sup&gt;"},"properties":{"noteIndex":0},"schema":"https://github.com/citation-style-language/schema/raw/master/csl-citation.json"}</w:instrText>
            </w:r>
            <w:r>
              <w:rPr>
                <w:rFonts w:ascii="Times New Roman" w:hAnsi="Times New Roman" w:cs="Times New Roman"/>
                <w:color w:val="000000"/>
                <w:sz w:val="20"/>
                <w:szCs w:val="20"/>
              </w:rPr>
              <w:fldChar w:fldCharType="separate"/>
            </w:r>
            <w:r w:rsidR="00226444" w:rsidRPr="00226444">
              <w:rPr>
                <w:rFonts w:ascii="Times New Roman" w:hAnsi="Times New Roman" w:cs="Times New Roman"/>
                <w:noProof/>
                <w:color w:val="000000"/>
                <w:sz w:val="20"/>
                <w:szCs w:val="20"/>
                <w:vertAlign w:val="superscript"/>
              </w:rPr>
              <w:t>12</w:t>
            </w:r>
            <w:r>
              <w:rPr>
                <w:rFonts w:ascii="Times New Roman" w:hAnsi="Times New Roman" w:cs="Times New Roman"/>
                <w:color w:val="000000"/>
                <w:sz w:val="20"/>
                <w:szCs w:val="20"/>
              </w:rPr>
              <w:fldChar w:fldCharType="end"/>
            </w:r>
          </w:p>
        </w:tc>
        <w:tc>
          <w:tcPr>
            <w:tcW w:w="369" w:type="pct"/>
          </w:tcPr>
          <w:p w14:paraId="4B630589" w14:textId="6DDEBA28"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0.</w:t>
            </w:r>
            <w:r>
              <w:rPr>
                <w:rFonts w:ascii="Times New Roman" w:eastAsia="DengXian" w:hAnsi="Times New Roman" w:cs="Times New Roman" w:hint="eastAsia"/>
                <w:sz w:val="20"/>
                <w:szCs w:val="20"/>
              </w:rPr>
              <w:t>58</w:t>
            </w:r>
            <w:r>
              <w:rPr>
                <w:rFonts w:ascii="Times New Roman" w:eastAsia="DengXian" w:hAnsi="Times New Roman" w:cs="Times New Roman"/>
                <w:sz w:val="20"/>
                <w:szCs w:val="20"/>
              </w:rPr>
              <w:fldChar w:fldCharType="begin" w:fldLock="1"/>
            </w:r>
            <w:r w:rsidR="00404868">
              <w:rPr>
                <w:rFonts w:ascii="Times New Roman" w:eastAsia="DengXian" w:hAnsi="Times New Roman" w:cs="Times New Roman"/>
                <w:sz w:val="20"/>
                <w:szCs w:val="20"/>
              </w:rPr>
              <w:instrText>ADDIN CSL_CITATION {"citationItems":[{"id":"ITEM-1","itemData":{"DOI":"10.1016/j.apenergy.2018.02.110","ISSN":"03062619","abstract":"Previous studies have noted the importance of electricity storage and hydrogen technologies for enabling large-scale variable renewable energy (VRE) deployment in long-term climate change mitigation scenarios. However, global studies, which typically use integrated assessment models, assume a fixed cost trajectory for storage and hydrogen technologies; thereby ignoring the sensitivity of VRE deployment and/or mitigation costs to uncertainties in future storage and hydrogen technology costs. Yet there is vast uncertainty in the future costs of these technologies, as reflected in the range of projected costs in the literature. This study uses the integrated assessment model, MESSAGE, to explore the implications of future storage and hydrogen technology costs for low-carbon energy transitions across the reported range of projected technology costs. Techno-economic representations of electricity storage and hydrogen technologies, including utility-scale batteries, pumped hydro storage (PHS), compressed air energy storage (CAES), and hydrogen electrolysis, are introduced to MESSAGE and scenarios are used to assess the sensitivity of long-term VRE deployment and mitigation costs across the range of projected technology costs. The results demonstrate that large-scale deployment of electricity storage technologies only occurs when techno-economic assumptions are optimistic. Although pessimistic storage and hydrogen costs reduce the deployment of these technologies, large VRE shares are supported in carbon-constrained futures by the deployment of other low-carbon flexible technologies, such as hydrogen combustion turbines and concentrating solar power with thermal storage. However, the cost of the required energy transition is larger. In the absence of carbon policy, pessimistic hydrogen and storage costs significantly decrease VRE deployment while increasing coal-based electricity generation. Thus, R&amp;D investments that lower the costs of storage and hydrogen technologies are important for reducing emissions in the absence of climate policy and for reducing mitigation costs in the presence of climate policy.","author":[{"dropping-particle":"","family":"McPherson","given":"Madeleine","non-dropping-particle":"","parse-names":false,"suffix":""},{"dropping-particle":"","family":"Johnson","given":"Nils","non-dropping-particle":"","parse-names":false,"suffix":""},{"dropping-particle":"","family":"Strubegger","given":"Manfred","non-dropping-particle":"","parse-names":false,"suffix":""}],"container-title":"Applied Energy","id":"ITEM-1","issue":"December 2017","issued":{"date-parts":[["2018"]]},"page":"649-661","publisher":"Elsevier","title":"The role of electricity storage and hydrogen technologies in enabling global low-carbon energy transitions","type":"article-journal","volume":"216"},"uris":["http://www.mendeley.com/documents/?uuid=b8fe3b58-f33d-4173-8eb1-92ab71573ba8"]}],"mendeley":{"formattedCitation":"&lt;sup&gt;12&lt;/sup&gt;","plainTextFormattedCitation":"12","previouslyFormattedCitation":"&lt;sup&gt;12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26444" w:rsidRPr="00226444">
              <w:rPr>
                <w:rFonts w:ascii="Times New Roman" w:eastAsia="DengXian" w:hAnsi="Times New Roman" w:cs="Times New Roman"/>
                <w:noProof/>
                <w:sz w:val="20"/>
                <w:szCs w:val="20"/>
                <w:vertAlign w:val="superscript"/>
              </w:rPr>
              <w:t>12</w:t>
            </w:r>
            <w:r>
              <w:rPr>
                <w:rFonts w:ascii="Times New Roman" w:eastAsia="DengXian" w:hAnsi="Times New Roman" w:cs="Times New Roman"/>
                <w:sz w:val="20"/>
                <w:szCs w:val="20"/>
              </w:rPr>
              <w:fldChar w:fldCharType="end"/>
            </w:r>
          </w:p>
        </w:tc>
        <w:tc>
          <w:tcPr>
            <w:tcW w:w="422" w:type="pct"/>
          </w:tcPr>
          <w:p w14:paraId="30D8286B" w14:textId="26BCD02A"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hint="eastAsia"/>
                <w:sz w:val="20"/>
                <w:szCs w:val="20"/>
              </w:rPr>
              <w:t>0.5</w:t>
            </w:r>
            <w:r>
              <w:rPr>
                <w:rFonts w:ascii="Times New Roman" w:hAnsi="Times New Roman" w:cs="Times New Roman"/>
                <w:color w:val="000000"/>
                <w:sz w:val="20"/>
                <w:szCs w:val="20"/>
              </w:rPr>
              <w:fldChar w:fldCharType="begin" w:fldLock="1"/>
            </w:r>
            <w:r w:rsidR="00404868">
              <w:rPr>
                <w:rFonts w:ascii="Times New Roman" w:hAnsi="Times New Roman" w:cs="Times New Roman"/>
                <w:color w:val="000000"/>
                <w:sz w:val="20"/>
                <w:szCs w:val="20"/>
              </w:rPr>
              <w:instrText>ADDIN CSL_CITATION {"citationItems":[{"id":"ITEM-1","itemData":{"DOI":"10.1016/j.apenergy.2018.02.110","ISSN":"03062619","abstract":"Previous studies have noted the importance of electricity storage and hydrogen technologies for enabling large-scale variable renewable energy (VRE) deployment in long-term climate change mitigation scenarios. However, global studies, which typically use integrated assessment models, assume a fixed cost trajectory for storage and hydrogen technologies; thereby ignoring the sensitivity of VRE deployment and/or mitigation costs to uncertainties in future storage and hydrogen technology costs. Yet there is vast uncertainty in the future costs of these technologies, as reflected in the range of projected costs in the literature. This study uses the integrated assessment model, MESSAGE, to explore the implications of future storage and hydrogen technology costs for low-carbon energy transitions across the reported range of projected technology costs. Techno-economic representations of electricity storage and hydrogen technologies, including utility-scale batteries, pumped hydro storage (PHS), compressed air energy storage (CAES), and hydrogen electrolysis, are introduced to MESSAGE and scenarios are used to assess the sensitivity of long-term VRE deployment and mitigation costs across the range of projected technology costs. The results demonstrate that large-scale deployment of electricity storage technologies only occurs when techno-economic assumptions are optimistic. Although pessimistic storage and hydrogen costs reduce the deployment of these technologies, large VRE shares are supported in carbon-constrained futures by the deployment of other low-carbon flexible technologies, such as hydrogen combustion turbines and concentrating solar power with thermal storage. However, the cost of the required energy transition is larger. In the absence of carbon policy, pessimistic hydrogen and storage costs significantly decrease VRE deployment while increasing coal-based electricity generation. Thus, R&amp;D investments that lower the costs of storage and hydrogen technologies are important for reducing emissions in the absence of climate policy and for reducing mitigation costs in the presence of climate policy.","author":[{"dropping-particle":"","family":"McPherson","given":"Madeleine","non-dropping-particle":"","parse-names":false,"suffix":""},{"dropping-particle":"","family":"Johnson","given":"Nils","non-dropping-particle":"","parse-names":false,"suffix":""},{"dropping-particle":"","family":"Strubegger","given":"Manfred","non-dropping-particle":"","parse-names":false,"suffix":""}],"container-title":"Applied Energy","id":"ITEM-1","issue":"December 2017","issued":{"date-parts":[["2018"]]},"page":"649-661","publisher":"Elsevier","title":"The role of electricity storage and hydrogen technologies in enabling global low-carbon energy transitions","type":"article-journal","volume":"216"},"uris":["http://www.mendeley.com/documents/?uuid=b8fe3b58-f33d-4173-8eb1-92ab71573ba8"]}],"mendeley":{"formattedCitation":"&lt;sup&gt;12&lt;/sup&gt;","plainTextFormattedCitation":"12","previouslyFormattedCitation":"&lt;sup&gt;12&lt;/sup&gt;"},"properties":{"noteIndex":0},"schema":"https://github.com/citation-style-language/schema/raw/master/csl-citation.json"}</w:instrText>
            </w:r>
            <w:r>
              <w:rPr>
                <w:rFonts w:ascii="Times New Roman" w:hAnsi="Times New Roman" w:cs="Times New Roman"/>
                <w:color w:val="000000"/>
                <w:sz w:val="20"/>
                <w:szCs w:val="20"/>
              </w:rPr>
              <w:fldChar w:fldCharType="separate"/>
            </w:r>
            <w:r w:rsidR="00226444" w:rsidRPr="00226444">
              <w:rPr>
                <w:rFonts w:ascii="Times New Roman" w:hAnsi="Times New Roman" w:cs="Times New Roman"/>
                <w:noProof/>
                <w:color w:val="000000"/>
                <w:sz w:val="20"/>
                <w:szCs w:val="20"/>
                <w:vertAlign w:val="superscript"/>
              </w:rPr>
              <w:t>12</w:t>
            </w:r>
            <w:r>
              <w:rPr>
                <w:rFonts w:ascii="Times New Roman" w:hAnsi="Times New Roman" w:cs="Times New Roman"/>
                <w:color w:val="000000"/>
                <w:sz w:val="20"/>
                <w:szCs w:val="20"/>
              </w:rPr>
              <w:fldChar w:fldCharType="end"/>
            </w:r>
          </w:p>
        </w:tc>
        <w:tc>
          <w:tcPr>
            <w:tcW w:w="307" w:type="pct"/>
          </w:tcPr>
          <w:p w14:paraId="6F936DEE" w14:textId="485DCAB9" w:rsidR="00A36184" w:rsidRPr="004F051F" w:rsidRDefault="00590B1D"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eastAsia="DengXian" w:hAnsi="Times New Roman" w:cs="Times New Roman" w:hint="eastAsia"/>
                <w:sz w:val="20"/>
                <w:szCs w:val="20"/>
              </w:rPr>
              <w:t>0.</w:t>
            </w:r>
            <w:r w:rsidR="00A36184" w:rsidRPr="004F051F">
              <w:rPr>
                <w:rFonts w:ascii="Times New Roman" w:eastAsia="DengXian" w:hAnsi="Times New Roman" w:cs="Times New Roman"/>
                <w:sz w:val="20"/>
                <w:szCs w:val="20"/>
              </w:rPr>
              <w:t>40</w:t>
            </w:r>
            <w:r w:rsidR="00A36184" w:rsidRPr="004F051F">
              <w:rPr>
                <w:rFonts w:ascii="Times New Roman" w:hAnsi="Times New Roman" w:cs="Times New Roman"/>
                <w:sz w:val="20"/>
                <w:szCs w:val="20"/>
              </w:rPr>
              <w:fldChar w:fldCharType="begin" w:fldLock="1"/>
            </w:r>
            <w:r w:rsidR="00A36184"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00A36184" w:rsidRPr="004F051F">
              <w:rPr>
                <w:rFonts w:ascii="Times New Roman" w:hAnsi="Times New Roman" w:cs="Times New Roman"/>
                <w:sz w:val="20"/>
                <w:szCs w:val="20"/>
              </w:rPr>
              <w:fldChar w:fldCharType="separate"/>
            </w:r>
            <w:r w:rsidR="00A36184" w:rsidRPr="004F051F">
              <w:rPr>
                <w:rFonts w:ascii="Times New Roman" w:hAnsi="Times New Roman" w:cs="Times New Roman"/>
                <w:noProof/>
                <w:sz w:val="20"/>
                <w:szCs w:val="20"/>
                <w:vertAlign w:val="superscript"/>
              </w:rPr>
              <w:t>1</w:t>
            </w:r>
            <w:r w:rsidR="00A36184" w:rsidRPr="004F051F">
              <w:rPr>
                <w:rFonts w:ascii="Times New Roman" w:hAnsi="Times New Roman" w:cs="Times New Roman"/>
                <w:sz w:val="20"/>
                <w:szCs w:val="20"/>
              </w:rPr>
              <w:fldChar w:fldCharType="end"/>
            </w:r>
            <w:r w:rsidR="00A36184">
              <w:rPr>
                <w:rFonts w:ascii="Times New Roman" w:hAnsi="Times New Roman" w:cs="Times New Roman"/>
                <w:sz w:val="20"/>
                <w:szCs w:val="20"/>
              </w:rPr>
              <w:t>,</w:t>
            </w:r>
            <w:r w:rsidR="00A36184" w:rsidRPr="004F051F">
              <w:rPr>
                <w:rFonts w:ascii="Times New Roman" w:eastAsia="DengXian" w:hAnsi="Times New Roman" w:cs="Times New Roman"/>
                <w:sz w:val="20"/>
                <w:szCs w:val="20"/>
              </w:rPr>
              <w:fldChar w:fldCharType="begin" w:fldLock="1"/>
            </w:r>
            <w:r w:rsidR="00404868">
              <w:rPr>
                <w:rFonts w:ascii="Times New Roman" w:eastAsia="DengXian" w:hAnsi="Times New Roman" w:cs="Times New Roman"/>
                <w:sz w:val="20"/>
                <w:szCs w:val="20"/>
              </w:rPr>
              <w:instrText>ADDIN CSL_CITATION {"citationItems":[{"id":"ITEM-1","itemData":{"ISBN":"9781782526704","abstract":"This policy briefing considers the role large-scale electricity storage will need to play in a GB electricity system supplied largely by wind and solar. The analysis of the amount and type of storage that will be needed allows for baseload nuclear power or gas with CCS. Ultimately, the optimum mix will depend on costs, security and sovereignty of supply and the level of carbon and methane emissions considered acceptable. Resilient planning assumptions will need to be made to reach net zero by 2050 cost effectively.","author":[{"dropping-particle":"","family":"Smith","given":"Chris Llewellyn","non-dropping-particle":"","parse-names":false,"suffix":""}],"id":"ITEM-1","issued":{"date-parts":[["2023"]]},"title":"Large-scale electricity storage policy briefing","type":"book"},"uris":["http://www.mendeley.com/documents/?uuid=20d9c2e8-71f1-4879-a860-b559be383563"]}],"mendeley":{"formattedCitation":"&lt;sup&gt;13&lt;/sup&gt;","plainTextFormattedCitation":"13","previouslyFormattedCitation":"&lt;sup&gt;13&lt;/sup&gt;"},"properties":{"noteIndex":0},"schema":"https://github.com/citation-style-language/schema/raw/master/csl-citation.json"}</w:instrText>
            </w:r>
            <w:r w:rsidR="00A36184" w:rsidRPr="004F051F">
              <w:rPr>
                <w:rFonts w:ascii="Times New Roman" w:eastAsia="DengXian" w:hAnsi="Times New Roman" w:cs="Times New Roman"/>
                <w:sz w:val="20"/>
                <w:szCs w:val="20"/>
              </w:rPr>
              <w:fldChar w:fldCharType="separate"/>
            </w:r>
            <w:r w:rsidR="00226444" w:rsidRPr="00226444">
              <w:rPr>
                <w:rFonts w:ascii="Times New Roman" w:eastAsia="DengXian" w:hAnsi="Times New Roman" w:cs="Times New Roman"/>
                <w:noProof/>
                <w:sz w:val="20"/>
                <w:szCs w:val="20"/>
                <w:vertAlign w:val="superscript"/>
              </w:rPr>
              <w:t>13</w:t>
            </w:r>
            <w:r w:rsidR="00A36184" w:rsidRPr="004F051F">
              <w:rPr>
                <w:rFonts w:ascii="Times New Roman" w:eastAsia="DengXian" w:hAnsi="Times New Roman" w:cs="Times New Roman"/>
                <w:sz w:val="20"/>
                <w:szCs w:val="20"/>
              </w:rPr>
              <w:fldChar w:fldCharType="end"/>
            </w:r>
          </w:p>
        </w:tc>
        <w:tc>
          <w:tcPr>
            <w:tcW w:w="453" w:type="pct"/>
          </w:tcPr>
          <w:p w14:paraId="05ED343B" w14:textId="17F58982" w:rsidR="00A36184" w:rsidRPr="00951975"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sz w:val="20"/>
                <w:szCs w:val="20"/>
              </w:rPr>
              <w:t>810</w:t>
            </w:r>
            <w:r w:rsidRPr="004F051F">
              <w:rPr>
                <w:rFonts w:ascii="Times New Roman" w:hAnsi="Times New Roman" w:cs="Times New Roman"/>
                <w:sz w:val="20"/>
                <w:szCs w:val="20"/>
              </w:rPr>
              <w:fldChar w:fldCharType="begin" w:fldLock="1"/>
            </w:r>
            <w:r w:rsidRPr="004F051F">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4F051F">
              <w:rPr>
                <w:rFonts w:ascii="Times New Roman" w:hAnsi="Times New Roman" w:cs="Times New Roman"/>
                <w:noProof/>
                <w:sz w:val="20"/>
                <w:szCs w:val="20"/>
                <w:vertAlign w:val="superscript"/>
              </w:rPr>
              <w:t>1</w:t>
            </w:r>
            <w:r w:rsidRPr="004F051F">
              <w:rPr>
                <w:rFonts w:ascii="Times New Roman" w:hAnsi="Times New Roman" w:cs="Times New Roman"/>
                <w:sz w:val="20"/>
                <w:szCs w:val="20"/>
              </w:rPr>
              <w:fldChar w:fldCharType="end"/>
            </w:r>
            <w:r w:rsidRPr="004F051F">
              <w:rPr>
                <w:rFonts w:ascii="Times New Roman" w:eastAsia="DengXian" w:hAnsi="Times New Roman" w:cs="Times New Roman"/>
                <w:sz w:val="20"/>
                <w:szCs w:val="20"/>
              </w:rPr>
              <w:t>,</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p>
        </w:tc>
        <w:tc>
          <w:tcPr>
            <w:tcW w:w="401" w:type="pct"/>
          </w:tcPr>
          <w:p w14:paraId="77F97D25" w14:textId="2AB6C32F"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3.9</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p>
        </w:tc>
        <w:tc>
          <w:tcPr>
            <w:tcW w:w="463" w:type="pct"/>
          </w:tcPr>
          <w:p w14:paraId="3942D9BF" w14:textId="0348B8B3" w:rsidR="00A36184" w:rsidRPr="0010799A"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eastAsia="DengXian" w:hAnsi="Times New Roman" w:cs="Times New Roman"/>
                <w:sz w:val="20"/>
                <w:szCs w:val="20"/>
              </w:rPr>
              <w:t>956</w:t>
            </w:r>
            <w:r w:rsidRPr="0010799A">
              <w:rPr>
                <w:rFonts w:ascii="Times New Roman" w:hAnsi="Times New Roman" w:cs="Times New Roman"/>
                <w:sz w:val="20"/>
                <w:szCs w:val="20"/>
              </w:rPr>
              <w:fldChar w:fldCharType="begin" w:fldLock="1"/>
            </w:r>
            <w:r w:rsidRPr="0010799A">
              <w:rPr>
                <w:rFonts w:ascii="Times New Roman" w:hAnsi="Times New Roman" w:cs="Times New Roman"/>
                <w:sz w:val="20"/>
                <w:szCs w:val="20"/>
              </w:rPr>
              <w:instrText>ADDIN CSL_CITATION {"citationItems":[{"id":"ITEM-1","itemData":{"DOI":"10.1038/s41560-021-00796-8","ISSN":"20587546","abstract":"Long-duration energy storage (LDES) is a potential solution to intermittency in renewable energy generation. In this study we have evaluated the role of LDES in decarbonized electricity systems and identified the cost and efficiency performance necessary for LDES to substantially reduce electricity costs and displace firm low-carbon generation. Our findings show that energy storage capacity cost and discharge efficiency are the most important performance parameters. Charge/discharge capacity cost and charge efficiency play secondary roles. Energy capacity costs must be ≤US$20 kWh–1 to reduce electricity costs by ≥10%. With current electricity demand profiles, energy capacity costs must be ≤US$1 kWh–1 to fully displace all modelled firm low-carbon generation technologies. Electrification of end uses in a northern latitude context makes full displacement of firm generation more challenging and requires performance combinations unlikely to be feasible with known LDES technologies. Finally, LDES systems with the greatest impact on electricity cost and firm generation have storage durations exceeding 100 h.","author":[{"dropping-particle":"","family":"Sepulveda","given":"Nestor A.","non-dropping-particle":"","parse-names":false,"suffix":""},{"dropping-particle":"","family":"Jenkins","given":"Jesse D.","non-dropping-particle":"","parse-names":false,"suffix":""},{"dropping-particle":"","family":"Edington","given":"Aurora","non-dropping-particle":"","parse-names":false,"suffix":""},{"dropping-particle":"","family":"Mallapragada","given":"Dharik S.","non-dropping-particle":"","parse-names":false,"suffix":""},{"dropping-particle":"","family":"Lester","given":"Richard K.","non-dropping-particle":"","parse-names":false,"suffix":""}],"container-title":"Nature Energy","id":"ITEM-1","issue":"5","issued":{"date-parts":[["2021"]]},"page":"506-516","publisher":"Springer US","title":"The design space for long-duration energy storage in decarbonized power systems","type":"article-journal","volume":"6"},"uris":["http://www.mendeley.com/documents/?uuid=64064b13-fef8-43ac-b7ef-a0ec857a30c2"]}],"mendeley":{"formattedCitation":"&lt;sup&gt;1&lt;/sup&gt;","plainTextFormattedCitation":"1","previouslyFormattedCitation":"&lt;sup&gt;1&lt;/sup&gt;"},"properties":{"noteIndex":0},"schema":"https://github.com/citation-style-language/schema/raw/master/csl-citation.json"}</w:instrText>
            </w:r>
            <w:r w:rsidRPr="0010799A">
              <w:rPr>
                <w:rFonts w:ascii="Times New Roman" w:hAnsi="Times New Roman" w:cs="Times New Roman"/>
                <w:sz w:val="20"/>
                <w:szCs w:val="20"/>
              </w:rPr>
              <w:fldChar w:fldCharType="separate"/>
            </w:r>
            <w:r w:rsidRPr="0010799A">
              <w:rPr>
                <w:rFonts w:ascii="Times New Roman" w:hAnsi="Times New Roman" w:cs="Times New Roman"/>
                <w:noProof/>
                <w:sz w:val="20"/>
                <w:szCs w:val="20"/>
                <w:vertAlign w:val="superscript"/>
              </w:rPr>
              <w:t>1</w:t>
            </w:r>
            <w:r w:rsidRPr="0010799A">
              <w:rPr>
                <w:rFonts w:ascii="Times New Roman" w:hAnsi="Times New Roman" w:cs="Times New Roman"/>
                <w:sz w:val="20"/>
                <w:szCs w:val="20"/>
              </w:rPr>
              <w:fldChar w:fldCharType="end"/>
            </w:r>
            <w:r>
              <w:rPr>
                <w:rFonts w:ascii="Times New Roman" w:eastAsia="DengXian" w:hAnsi="Times New Roman" w:cs="Times New Roman"/>
                <w:sz w:val="20"/>
                <w:szCs w:val="20"/>
              </w:rPr>
              <w:t>,</w:t>
            </w:r>
            <w:r w:rsidRPr="0010799A">
              <w:rPr>
                <w:rFonts w:ascii="Times New Roman" w:eastAsia="DengXian" w:hAnsi="Times New Roman" w:cs="Times New Roman"/>
                <w:sz w:val="20"/>
                <w:szCs w:val="20"/>
              </w:rPr>
              <w:fldChar w:fldCharType="begin" w:fldLock="1"/>
            </w:r>
            <w:r w:rsidRPr="0010799A">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sidRPr="0010799A">
              <w:rPr>
                <w:rFonts w:ascii="Times New Roman" w:eastAsia="DengXian" w:hAnsi="Times New Roman" w:cs="Times New Roman"/>
                <w:sz w:val="20"/>
                <w:szCs w:val="20"/>
              </w:rPr>
              <w:fldChar w:fldCharType="separate"/>
            </w:r>
            <w:r w:rsidRPr="0010799A">
              <w:rPr>
                <w:rFonts w:ascii="Times New Roman" w:eastAsia="DengXian" w:hAnsi="Times New Roman" w:cs="Times New Roman"/>
                <w:noProof/>
                <w:sz w:val="20"/>
                <w:szCs w:val="20"/>
                <w:vertAlign w:val="superscript"/>
              </w:rPr>
              <w:t>2</w:t>
            </w:r>
            <w:r w:rsidRPr="0010799A">
              <w:rPr>
                <w:rFonts w:ascii="Times New Roman" w:eastAsia="DengXian" w:hAnsi="Times New Roman" w:cs="Times New Roman"/>
                <w:sz w:val="20"/>
                <w:szCs w:val="20"/>
              </w:rPr>
              <w:fldChar w:fldCharType="end"/>
            </w:r>
          </w:p>
        </w:tc>
        <w:tc>
          <w:tcPr>
            <w:tcW w:w="407" w:type="pct"/>
          </w:tcPr>
          <w:p w14:paraId="5ACDBAFA" w14:textId="6D00ABD9" w:rsidR="00A36184" w:rsidRPr="004F051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eastAsia="Times New Roman" w:hAnsi="Times New Roman" w:cs="Times New Roman"/>
                <w:color w:val="000000"/>
                <w:kern w:val="0"/>
                <w:sz w:val="20"/>
                <w:szCs w:val="20"/>
                <w:lang w:eastAsia="zh-TW"/>
                <w14:ligatures w14:val="none"/>
              </w:rPr>
              <w:t>28.5</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Times New Roman" w:hAnsi="Times New Roman" w:cs="Times New Roman"/>
                <w:color w:val="000000"/>
                <w:kern w:val="0"/>
                <w:sz w:val="20"/>
                <w:szCs w:val="20"/>
                <w:lang w:eastAsia="zh-TW"/>
                <w14:ligatures w14:val="none"/>
              </w:rPr>
              <w:t>,</w:t>
            </w:r>
          </w:p>
        </w:tc>
        <w:tc>
          <w:tcPr>
            <w:tcW w:w="356" w:type="pct"/>
          </w:tcPr>
          <w:p w14:paraId="76E74728" w14:textId="099715F3" w:rsidR="00A36184" w:rsidRPr="00C12F6F" w:rsidRDefault="00A36184"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1.3</w:t>
            </w:r>
          </w:p>
        </w:tc>
        <w:tc>
          <w:tcPr>
            <w:tcW w:w="406" w:type="pct"/>
          </w:tcPr>
          <w:p w14:paraId="1E949E79" w14:textId="4C2DAF38" w:rsidR="00A36184" w:rsidRDefault="00D9258B" w:rsidP="006447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237</w:t>
            </w:r>
          </w:p>
        </w:tc>
        <w:tc>
          <w:tcPr>
            <w:tcW w:w="428" w:type="pct"/>
          </w:tcPr>
          <w:p w14:paraId="41FC8E58" w14:textId="5621372F" w:rsidR="00590B1D" w:rsidRDefault="00226444" w:rsidP="00590B1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20"/>
                <w:szCs w:val="20"/>
                <w14:ligatures w14:val="none"/>
              </w:rPr>
            </w:pPr>
            <w:r>
              <w:rPr>
                <w:rFonts w:ascii="Times New Roman" w:hAnsi="Times New Roman" w:cs="Times New Roman"/>
                <w:color w:val="000000" w:themeColor="text1"/>
                <w:kern w:val="0"/>
                <w:sz w:val="20"/>
                <w:szCs w:val="20"/>
                <w14:ligatures w14:val="none"/>
              </w:rPr>
              <w:t>3</w:t>
            </w:r>
            <w:r w:rsidR="00590B1D">
              <w:rPr>
                <w:rFonts w:ascii="Times New Roman" w:hAnsi="Times New Roman" w:cs="Times New Roman" w:hint="eastAsia"/>
                <w:color w:val="000000" w:themeColor="text1"/>
                <w:kern w:val="0"/>
                <w:sz w:val="20"/>
                <w:szCs w:val="20"/>
                <w14:ligatures w14:val="none"/>
              </w:rPr>
              <w:t>0,</w:t>
            </w:r>
          </w:p>
          <w:p w14:paraId="2932B590" w14:textId="5C4E84DB" w:rsidR="00A36184" w:rsidRDefault="00590B1D" w:rsidP="00590B1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hAnsi="Times New Roman" w:cs="Times New Roman" w:hint="eastAsia"/>
                <w:color w:val="000000" w:themeColor="text1"/>
                <w:kern w:val="0"/>
                <w:sz w:val="20"/>
                <w:szCs w:val="20"/>
                <w14:ligatures w14:val="none"/>
              </w:rPr>
              <w:t>E/H/G</w:t>
            </w:r>
          </w:p>
        </w:tc>
      </w:tr>
      <w:tr w:rsidR="00AF4560" w:rsidRPr="004F051F" w14:paraId="0B11F0C6" w14:textId="196C1E25" w:rsidTr="0036581C">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619" w:type="pct"/>
          </w:tcPr>
          <w:p w14:paraId="67F50096" w14:textId="2EFB99EE" w:rsidR="00AF4560" w:rsidRPr="000B002C" w:rsidRDefault="00AF4560" w:rsidP="00AF4560">
            <w:pPr>
              <w:jc w:val="center"/>
              <w:rPr>
                <w:rFonts w:ascii="Times New Roman" w:hAnsi="Times New Roman" w:cs="Times New Roman"/>
                <w:b w:val="0"/>
                <w:color w:val="000000" w:themeColor="text1"/>
                <w:sz w:val="20"/>
                <w:szCs w:val="20"/>
              </w:rPr>
            </w:pPr>
            <w:r w:rsidRPr="000B002C">
              <w:rPr>
                <w:rFonts w:ascii="Times New Roman" w:hAnsi="Times New Roman" w:cs="Times New Roman"/>
                <w:color w:val="000000" w:themeColor="text1"/>
                <w:sz w:val="20"/>
                <w:szCs w:val="20"/>
              </w:rPr>
              <w:t>Sensible heat</w:t>
            </w:r>
            <w:r>
              <w:rPr>
                <w:rFonts w:ascii="Times New Roman" w:hAnsi="Times New Roman" w:cs="Times New Roman"/>
                <w:color w:val="000000" w:themeColor="text1"/>
                <w:sz w:val="20"/>
                <w:szCs w:val="20"/>
              </w:rPr>
              <w:t xml:space="preserve"> (H2O)</w:t>
            </w:r>
          </w:p>
        </w:tc>
        <w:tc>
          <w:tcPr>
            <w:tcW w:w="369" w:type="pct"/>
          </w:tcPr>
          <w:p w14:paraId="3D247680" w14:textId="7AA6E084"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hint="eastAsia"/>
                <w:sz w:val="20"/>
                <w:szCs w:val="20"/>
              </w:rPr>
            </w:pPr>
            <w:r>
              <w:rPr>
                <w:rFonts w:ascii="Times New Roman" w:hAnsi="Times New Roman" w:cs="Times New Roman" w:hint="eastAsia"/>
                <w:sz w:val="20"/>
                <w:szCs w:val="20"/>
              </w:rPr>
              <w:t>0.9</w:t>
            </w:r>
            <w:r>
              <w:rPr>
                <w:rFonts w:ascii="Times New Roman" w:hAnsi="Times New Roman" w:cs="Times New Roman"/>
                <w:sz w:val="20"/>
                <w:szCs w:val="20"/>
              </w:rPr>
              <w:t>8</w:t>
            </w:r>
          </w:p>
        </w:tc>
        <w:tc>
          <w:tcPr>
            <w:tcW w:w="369" w:type="pct"/>
          </w:tcPr>
          <w:p w14:paraId="3AE2D794" w14:textId="7145988D"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hint="eastAsia"/>
                <w:sz w:val="20"/>
                <w:szCs w:val="20"/>
              </w:rPr>
              <w:t>0.9</w:t>
            </w:r>
            <w:r>
              <w:rPr>
                <w:rFonts w:ascii="Times New Roman" w:hAnsi="Times New Roman" w:cs="Times New Roman"/>
                <w:sz w:val="20"/>
                <w:szCs w:val="20"/>
              </w:rPr>
              <w:t>8</w:t>
            </w:r>
            <w:r w:rsidRPr="004F051F">
              <w:rPr>
                <w:rFonts w:ascii="Times New Roman" w:hAnsi="Times New Roman" w:cs="Times New Roman"/>
                <w:sz w:val="20"/>
                <w:szCs w:val="20"/>
              </w:rPr>
              <w:fldChar w:fldCharType="begin" w:fldLock="1"/>
            </w:r>
            <w:r>
              <w:rPr>
                <w:rFonts w:ascii="Times New Roman" w:hAnsi="Times New Roman" w:cs="Times New Roman"/>
                <w:sz w:val="20"/>
                <w:szCs w:val="20"/>
              </w:rPr>
              <w:instrText xml:space="preserve">ADDIN CSL_CITATION {"citationItems":[{"id":"ITEM-1","itemData":{"DOI":"10.1016/j.enconman.2025.119524","ISSN":"01968904","abstract":"Different storage technologies can offer promising solutions for integrating large amounts of intermittent and variable renewables, in which the liquid air energy storage (LAES) has key advantages, including its high scalability, no geographical constraints, and multi-vector services. This work aims to assess the cost-effective net-zero energy transition pathways for the UK by 2050. A new multi-zone mixed-integer-linear-programming-based energy expansion framework, which can highlight the crucial roles of LAES and other energy storage, was developed to perform the optimal design and operation of energy systems. The scenario and sensitivity analyses revealed the techno-economic performances of different pathways and four key results. First, it showed that a net-zero-carbon power-heat-coupled energy system is feasible in the UK by 2050, with a levelized cost of electricity at 65 </w:instrText>
            </w:r>
            <w:r>
              <w:rPr>
                <w:rFonts w:ascii="Cambria Math" w:hAnsi="Cambria Math" w:cs="Cambria Math"/>
                <w:sz w:val="20"/>
                <w:szCs w:val="20"/>
              </w:rPr>
              <w:instrText>∼</w:instrText>
            </w:r>
            <w:r>
              <w:rPr>
                <w:rFonts w:ascii="Times New Roman" w:hAnsi="Times New Roman" w:cs="Times New Roman"/>
                <w:sz w:val="20"/>
                <w:szCs w:val="20"/>
              </w:rPr>
              <w:instrText xml:space="preserve"> 80 £/MWh, and a levelized cost of heat energy at 45 </w:instrText>
            </w:r>
            <w:r>
              <w:rPr>
                <w:rFonts w:ascii="Cambria Math" w:hAnsi="Cambria Math" w:cs="Cambria Math"/>
                <w:sz w:val="20"/>
                <w:szCs w:val="20"/>
              </w:rPr>
              <w:instrText>∼</w:instrText>
            </w:r>
            <w:r>
              <w:rPr>
                <w:rFonts w:ascii="Times New Roman" w:hAnsi="Times New Roman" w:cs="Times New Roman"/>
                <w:sz w:val="20"/>
                <w:szCs w:val="20"/>
              </w:rPr>
              <w:instrText xml:space="preserve"> 63 £/MWh. The major generators’ expansions are onshore wind power (94.5 GW) and LAES (384 GWh) in the power sector, and the air-source heat pump (</w:instrText>
            </w:r>
            <w:r>
              <w:rPr>
                <w:rFonts w:ascii="Cambria Math" w:hAnsi="Cambria Math" w:cs="Cambria Math"/>
                <w:sz w:val="20"/>
                <w:szCs w:val="20"/>
              </w:rPr>
              <w:instrText>∼</w:instrText>
            </w:r>
            <w:r>
              <w:rPr>
                <w:rFonts w:ascii="Times New Roman" w:hAnsi="Times New Roman" w:cs="Times New Roman"/>
                <w:sz w:val="20"/>
                <w:szCs w:val="20"/>
              </w:rPr>
              <w:instrText xml:space="preserve">80 </w:instrText>
            </w:r>
            <w:r>
              <w:rPr>
                <w:rFonts w:ascii="Cambria Math" w:hAnsi="Cambria Math" w:cs="Cambria Math"/>
                <w:sz w:val="20"/>
                <w:szCs w:val="20"/>
              </w:rPr>
              <w:instrText>∼</w:instrText>
            </w:r>
            <w:r>
              <w:rPr>
                <w:rFonts w:ascii="Times New Roman" w:hAnsi="Times New Roman" w:cs="Times New Roman"/>
                <w:sz w:val="20"/>
                <w:szCs w:val="20"/>
              </w:rPr>
              <w:instrText xml:space="preserve"> 90 GW) and short-term heat storage (330 GWh) in the heat sector. Importantly, it demonstrated the crucial roles of LAES and other energy storage in the UK energy transition from a techno-economic view. Specifically, only </w:instrText>
            </w:r>
            <w:r>
              <w:rPr>
                <w:rFonts w:ascii="Cambria Math" w:hAnsi="Cambria Math" w:cs="Cambria Math"/>
                <w:sz w:val="20"/>
                <w:szCs w:val="20"/>
              </w:rPr>
              <w:instrText>∼</w:instrText>
            </w:r>
            <w:r>
              <w:rPr>
                <w:rFonts w:ascii="Times New Roman" w:hAnsi="Times New Roman" w:cs="Times New Roman"/>
                <w:sz w:val="20"/>
                <w:szCs w:val="20"/>
              </w:rPr>
              <w:instrText xml:space="preserve"> 10–12 % of storage investment can reduce the annual renewable curtailments by more than 80 % and the system annual costs by </w:instrText>
            </w:r>
            <w:r>
              <w:rPr>
                <w:rFonts w:ascii="Cambria Math" w:hAnsi="Cambria Math" w:cs="Cambria Math"/>
                <w:sz w:val="20"/>
                <w:szCs w:val="20"/>
              </w:rPr>
              <w:instrText>∼</w:instrText>
            </w:r>
            <w:r>
              <w:rPr>
                <w:rFonts w:ascii="Times New Roman" w:hAnsi="Times New Roman" w:cs="Times New Roman"/>
                <w:sz w:val="20"/>
                <w:szCs w:val="20"/>
              </w:rPr>
              <w:instrText xml:space="preserve"> 15.1 % − 28 % depending on different scenarios. The optimal capacity ratios of LAES and renewables are </w:instrText>
            </w:r>
            <w:r>
              <w:rPr>
                <w:rFonts w:ascii="Cambria Math" w:hAnsi="Cambria Math" w:cs="Cambria Math"/>
                <w:sz w:val="20"/>
                <w:szCs w:val="20"/>
              </w:rPr>
              <w:instrText>∼</w:instrText>
            </w:r>
            <w:r>
              <w:rPr>
                <w:rFonts w:ascii="Times New Roman" w:hAnsi="Times New Roman" w:cs="Times New Roman"/>
                <w:sz w:val="20"/>
                <w:szCs w:val="20"/>
              </w:rPr>
              <w:instrText xml:space="preserve"> 16 % − 25 % in different zones. The last notable observation suggested that the LAESs with charge durations at 8 </w:instrText>
            </w:r>
            <w:r>
              <w:rPr>
                <w:rFonts w:ascii="Cambria Math" w:hAnsi="Cambria Math" w:cs="Cambria Math"/>
                <w:sz w:val="20"/>
                <w:szCs w:val="20"/>
              </w:rPr>
              <w:instrText>∼</w:instrText>
            </w:r>
            <w:r>
              <w:rPr>
                <w:rFonts w:ascii="Times New Roman" w:hAnsi="Times New Roman" w:cs="Times New Roman"/>
                <w:sz w:val="20"/>
                <w:szCs w:val="20"/>
              </w:rPr>
              <w:instrText xml:space="preserve"> 10 h and discharge durations at 12 </w:instrText>
            </w:r>
            <w:r>
              <w:rPr>
                <w:rFonts w:ascii="Cambria Math" w:hAnsi="Cambria Math" w:cs="Cambria Math"/>
                <w:sz w:val="20"/>
                <w:szCs w:val="20"/>
              </w:rPr>
              <w:instrText>∼</w:instrText>
            </w:r>
            <w:r>
              <w:rPr>
                <w:rFonts w:ascii="Times New Roman" w:hAnsi="Times New Roman" w:cs="Times New Roman"/>
                <w:sz w:val="20"/>
                <w:szCs w:val="20"/>
              </w:rPr>
              <w:instrText xml:space="preserve"> 15 h are more suitable for the wind-dominated case (like the UK) than short-duration batteries (</w:instrText>
            </w:r>
            <w:r>
              <w:rPr>
                <w:rFonts w:ascii="Cambria Math" w:hAnsi="Cambria Math" w:cs="Cambria Math"/>
                <w:sz w:val="20"/>
                <w:szCs w:val="20"/>
              </w:rPr>
              <w:instrText>∼</w:instrText>
            </w:r>
            <w:r>
              <w:rPr>
                <w:rFonts w:ascii="Times New Roman" w:hAnsi="Times New Roman" w:cs="Times New Roman"/>
                <w:sz w:val="20"/>
                <w:szCs w:val="20"/>
              </w:rPr>
              <w:instrText>4/5h). Overall, the developed energy expansion framework can facilitate the planning of conventional energy and storage technologies to absorb renewable energies, and the meaningful results can provide policymakers with enlightening views about developing policies relating to achieving carbon mitigation ambitions.","author":[{"dropping-particle":"","family":"Liang","given":"Ting","non-dropping-particle":"","parse-names":false,"suffix":""},{"dropping-particle":"","family":"Li","given":"Yongliang","non-dropping-particle":"","parse-names":false,"suffix":""},{"dropping-particle":"","family":"Nie","given":"Binjian","non-dropping-particle":"","parse-names":false,"suffix":""},{"dropping-particle":"","family":"Ahmad","given":"Abdalqader","non-dropping-particle":"","parse-names":false,"suffix":""},{"dropping-particle":"","family":"Ding","given":"Yulong","non-dropping-particle":"","parse-names":false,"suffix":""}],"container-title":"Energy Conversion and Management","id":"ITEM-1","issue":"January","issued":{"date-parts":[["2025"]]},"page":"119524","publisher":"Elsevier Ltd","title":"Achieving a net-zero-carbon energy system in the UK by 2050 with liquid air energy storage","type":"article-journal","volume":"327"},"uris":["http://www.mendeley.com/documents/?uuid=4ac0f14e-72fa-4444-9b47-b47ff2da9ebb"]}],"mendeley":{"formattedCitation":"&lt;sup&gt;4&lt;/sup&gt;","plainTextFormattedCitation":"4","previouslyFormattedCitation":"&lt;sup&gt;4&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4</w:t>
            </w:r>
            <w:r w:rsidRPr="004F051F">
              <w:rPr>
                <w:rFonts w:ascii="Times New Roman" w:hAnsi="Times New Roman" w:cs="Times New Roman"/>
                <w:sz w:val="20"/>
                <w:szCs w:val="20"/>
              </w:rPr>
              <w:fldChar w:fldCharType="end"/>
            </w:r>
            <w:r w:rsidRPr="004F051F">
              <w:rPr>
                <w:rFonts w:ascii="Times New Roman" w:hAnsi="Times New Roman" w:cs="Times New Roman"/>
                <w:sz w:val="20"/>
                <w:szCs w:val="20"/>
              </w:rPr>
              <w:t>,</w:t>
            </w:r>
          </w:p>
        </w:tc>
        <w:tc>
          <w:tcPr>
            <w:tcW w:w="422" w:type="pct"/>
          </w:tcPr>
          <w:p w14:paraId="2B7522C2" w14:textId="5B490E45" w:rsidR="00AF4560"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sz w:val="20"/>
                <w:szCs w:val="20"/>
              </w:rPr>
              <w:t>0.05</w:t>
            </w:r>
          </w:p>
        </w:tc>
        <w:tc>
          <w:tcPr>
            <w:tcW w:w="307" w:type="pct"/>
          </w:tcPr>
          <w:p w14:paraId="47C325B9" w14:textId="6CD16639"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hint="eastAsia"/>
                <w:sz w:val="20"/>
                <w:szCs w:val="20"/>
              </w:rPr>
            </w:pPr>
            <w:r>
              <w:rPr>
                <w:rFonts w:ascii="Times New Roman" w:hAnsi="Times New Roman" w:cs="Times New Roman" w:hint="eastAsia"/>
                <w:sz w:val="20"/>
                <w:szCs w:val="20"/>
              </w:rPr>
              <w:t>\</w:t>
            </w:r>
          </w:p>
        </w:tc>
        <w:tc>
          <w:tcPr>
            <w:tcW w:w="453" w:type="pct"/>
          </w:tcPr>
          <w:p w14:paraId="248AFB5B" w14:textId="6B694494"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hint="eastAsia"/>
                <w:sz w:val="20"/>
                <w:szCs w:val="20"/>
              </w:rPr>
              <w:t>\</w:t>
            </w:r>
          </w:p>
        </w:tc>
        <w:tc>
          <w:tcPr>
            <w:tcW w:w="401" w:type="pct"/>
          </w:tcPr>
          <w:p w14:paraId="4023B4C2" w14:textId="35892DE9" w:rsidR="00AF4560"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5.7</w:t>
            </w:r>
            <w:r w:rsidRPr="004F051F">
              <w:rPr>
                <w:rFonts w:ascii="Times New Roman" w:hAnsi="Times New Roman" w:cs="Times New Roman"/>
                <w:sz w:val="20"/>
                <w:szCs w:val="20"/>
              </w:rPr>
              <w:fldChar w:fldCharType="begin" w:fldLock="1"/>
            </w:r>
            <w:r>
              <w:rPr>
                <w:rFonts w:ascii="Times New Roman" w:hAnsi="Times New Roman" w:cs="Times New Roman"/>
                <w:sz w:val="20"/>
                <w:szCs w:val="20"/>
              </w:rPr>
              <w:instrText xml:space="preserve">ADDIN CSL_CITATION {"citationItems":[{"id":"ITEM-1","itemData":{"DOI":"10.1016/j.enconman.2025.119524","ISSN":"01968904","abstract":"Different storage technologies can offer promising solutions for integrating large amounts of intermittent and variable renewables, in which the liquid air energy storage (LAES) has key advantages, including its high scalability, no geographical constraints, and multi-vector services. This work aims to assess the cost-effective net-zero energy transition pathways for the UK by 2050. A new multi-zone mixed-integer-linear-programming-based energy expansion framework, which can highlight the crucial roles of LAES and other energy storage, was developed to perform the optimal design and operation of energy systems. The scenario and sensitivity analyses revealed the techno-economic performances of different pathways and four key results. First, it showed that a net-zero-carbon power-heat-coupled energy system is feasible in the UK by 2050, with a levelized cost of electricity at 65 </w:instrText>
            </w:r>
            <w:r>
              <w:rPr>
                <w:rFonts w:ascii="Cambria Math" w:hAnsi="Cambria Math" w:cs="Cambria Math"/>
                <w:sz w:val="20"/>
                <w:szCs w:val="20"/>
              </w:rPr>
              <w:instrText>∼</w:instrText>
            </w:r>
            <w:r>
              <w:rPr>
                <w:rFonts w:ascii="Times New Roman" w:hAnsi="Times New Roman" w:cs="Times New Roman"/>
                <w:sz w:val="20"/>
                <w:szCs w:val="20"/>
              </w:rPr>
              <w:instrText xml:space="preserve"> 80 £/MWh, and a levelized cost of heat energy at 45 </w:instrText>
            </w:r>
            <w:r>
              <w:rPr>
                <w:rFonts w:ascii="Cambria Math" w:hAnsi="Cambria Math" w:cs="Cambria Math"/>
                <w:sz w:val="20"/>
                <w:szCs w:val="20"/>
              </w:rPr>
              <w:instrText>∼</w:instrText>
            </w:r>
            <w:r>
              <w:rPr>
                <w:rFonts w:ascii="Times New Roman" w:hAnsi="Times New Roman" w:cs="Times New Roman"/>
                <w:sz w:val="20"/>
                <w:szCs w:val="20"/>
              </w:rPr>
              <w:instrText xml:space="preserve"> 63 £/MWh. The major generators’ expansions are onshore wind power (94.5 GW) and LAES (384 GWh) in the power sector, and the air-source heat pump (</w:instrText>
            </w:r>
            <w:r>
              <w:rPr>
                <w:rFonts w:ascii="Cambria Math" w:hAnsi="Cambria Math" w:cs="Cambria Math"/>
                <w:sz w:val="20"/>
                <w:szCs w:val="20"/>
              </w:rPr>
              <w:instrText>∼</w:instrText>
            </w:r>
            <w:r>
              <w:rPr>
                <w:rFonts w:ascii="Times New Roman" w:hAnsi="Times New Roman" w:cs="Times New Roman"/>
                <w:sz w:val="20"/>
                <w:szCs w:val="20"/>
              </w:rPr>
              <w:instrText xml:space="preserve">80 </w:instrText>
            </w:r>
            <w:r>
              <w:rPr>
                <w:rFonts w:ascii="Cambria Math" w:hAnsi="Cambria Math" w:cs="Cambria Math"/>
                <w:sz w:val="20"/>
                <w:szCs w:val="20"/>
              </w:rPr>
              <w:instrText>∼</w:instrText>
            </w:r>
            <w:r>
              <w:rPr>
                <w:rFonts w:ascii="Times New Roman" w:hAnsi="Times New Roman" w:cs="Times New Roman"/>
                <w:sz w:val="20"/>
                <w:szCs w:val="20"/>
              </w:rPr>
              <w:instrText xml:space="preserve"> 90 GW) and short-term heat storage (330 GWh) in the heat sector. Importantly, it demonstrated the crucial roles of LAES and other energy storage in the UK energy transition from a techno-economic view. Specifically, only </w:instrText>
            </w:r>
            <w:r>
              <w:rPr>
                <w:rFonts w:ascii="Cambria Math" w:hAnsi="Cambria Math" w:cs="Cambria Math"/>
                <w:sz w:val="20"/>
                <w:szCs w:val="20"/>
              </w:rPr>
              <w:instrText>∼</w:instrText>
            </w:r>
            <w:r>
              <w:rPr>
                <w:rFonts w:ascii="Times New Roman" w:hAnsi="Times New Roman" w:cs="Times New Roman"/>
                <w:sz w:val="20"/>
                <w:szCs w:val="20"/>
              </w:rPr>
              <w:instrText xml:space="preserve"> 10–12 % of storage investment can reduce the annual renewable curtailments by more than 80 % and the system annual costs by </w:instrText>
            </w:r>
            <w:r>
              <w:rPr>
                <w:rFonts w:ascii="Cambria Math" w:hAnsi="Cambria Math" w:cs="Cambria Math"/>
                <w:sz w:val="20"/>
                <w:szCs w:val="20"/>
              </w:rPr>
              <w:instrText>∼</w:instrText>
            </w:r>
            <w:r>
              <w:rPr>
                <w:rFonts w:ascii="Times New Roman" w:hAnsi="Times New Roman" w:cs="Times New Roman"/>
                <w:sz w:val="20"/>
                <w:szCs w:val="20"/>
              </w:rPr>
              <w:instrText xml:space="preserve"> 15.1 % − 28 % depending on different scenarios. The optimal capacity ratios of LAES and renewables are </w:instrText>
            </w:r>
            <w:r>
              <w:rPr>
                <w:rFonts w:ascii="Cambria Math" w:hAnsi="Cambria Math" w:cs="Cambria Math"/>
                <w:sz w:val="20"/>
                <w:szCs w:val="20"/>
              </w:rPr>
              <w:instrText>∼</w:instrText>
            </w:r>
            <w:r>
              <w:rPr>
                <w:rFonts w:ascii="Times New Roman" w:hAnsi="Times New Roman" w:cs="Times New Roman"/>
                <w:sz w:val="20"/>
                <w:szCs w:val="20"/>
              </w:rPr>
              <w:instrText xml:space="preserve"> 16 % − 25 % in different zones. The last notable observation suggested that the LAESs with charge durations at 8 </w:instrText>
            </w:r>
            <w:r>
              <w:rPr>
                <w:rFonts w:ascii="Cambria Math" w:hAnsi="Cambria Math" w:cs="Cambria Math"/>
                <w:sz w:val="20"/>
                <w:szCs w:val="20"/>
              </w:rPr>
              <w:instrText>∼</w:instrText>
            </w:r>
            <w:r>
              <w:rPr>
                <w:rFonts w:ascii="Times New Roman" w:hAnsi="Times New Roman" w:cs="Times New Roman"/>
                <w:sz w:val="20"/>
                <w:szCs w:val="20"/>
              </w:rPr>
              <w:instrText xml:space="preserve"> 10 h and discharge durations at 12 </w:instrText>
            </w:r>
            <w:r>
              <w:rPr>
                <w:rFonts w:ascii="Cambria Math" w:hAnsi="Cambria Math" w:cs="Cambria Math"/>
                <w:sz w:val="20"/>
                <w:szCs w:val="20"/>
              </w:rPr>
              <w:instrText>∼</w:instrText>
            </w:r>
            <w:r>
              <w:rPr>
                <w:rFonts w:ascii="Times New Roman" w:hAnsi="Times New Roman" w:cs="Times New Roman"/>
                <w:sz w:val="20"/>
                <w:szCs w:val="20"/>
              </w:rPr>
              <w:instrText xml:space="preserve"> 15 h are more suitable for the wind-dominated case (like the UK) than short-duration batteries (</w:instrText>
            </w:r>
            <w:r>
              <w:rPr>
                <w:rFonts w:ascii="Cambria Math" w:hAnsi="Cambria Math" w:cs="Cambria Math"/>
                <w:sz w:val="20"/>
                <w:szCs w:val="20"/>
              </w:rPr>
              <w:instrText>∼</w:instrText>
            </w:r>
            <w:r>
              <w:rPr>
                <w:rFonts w:ascii="Times New Roman" w:hAnsi="Times New Roman" w:cs="Times New Roman"/>
                <w:sz w:val="20"/>
                <w:szCs w:val="20"/>
              </w:rPr>
              <w:instrText>4/5h). Overall, the developed energy expansion framework can facilitate the planning of conventional energy and storage technologies to absorb renewable energies, and the meaningful results can provide policymakers with enlightening views about developing policies relating to achieving carbon mitigation ambitions.","author":[{"dropping-particle":"","family":"Liang","given":"Ting","non-dropping-particle":"","parse-names":false,"suffix":""},{"dropping-particle":"","family":"Li","given":"Yongliang","non-dropping-particle":"","parse-names":false,"suffix":""},{"dropping-particle":"","family":"Nie","given":"Binjian","non-dropping-particle":"","parse-names":false,"suffix":""},{"dropping-particle":"","family":"Ahmad","given":"Abdalqader","non-dropping-particle":"","parse-names":false,"suffix":""},{"dropping-particle":"","family":"Ding","given":"Yulong","non-dropping-particle":"","parse-names":false,"suffix":""}],"container-title":"Energy Conversion and Management","id":"ITEM-1","issue":"January","issued":{"date-parts":[["2025"]]},"page":"119524","publisher":"Elsevier Ltd","title":"Achieving a net-zero-carbon energy system in the UK by 2050 with liquid air energy storage","type":"article-journal","volume":"327"},"uris":["http://www.mendeley.com/documents/?uuid=4ac0f14e-72fa-4444-9b47-b47ff2da9ebb"]}],"mendeley":{"formattedCitation":"&lt;sup&gt;4&lt;/sup&gt;","plainTextFormattedCitation":"4","previouslyFormattedCitation":"&lt;sup&gt;4&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4</w:t>
            </w:r>
            <w:r w:rsidRPr="004F051F">
              <w:rPr>
                <w:rFonts w:ascii="Times New Roman" w:hAnsi="Times New Roman" w:cs="Times New Roman"/>
                <w:sz w:val="20"/>
                <w:szCs w:val="20"/>
              </w:rPr>
              <w:fldChar w:fldCharType="end"/>
            </w:r>
            <w:r w:rsidRPr="004F051F">
              <w:rPr>
                <w:rFonts w:ascii="Times New Roman" w:hAnsi="Times New Roman" w:cs="Times New Roman"/>
                <w:sz w:val="20"/>
                <w:szCs w:val="20"/>
              </w:rPr>
              <w:t>,</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{"citationItems":[{"id":"ITEM-1","itemData":{"DOI":"10.1016/j.rser.2025.116133","ISSN":"18790690","abstract":"Thermal energy storage (TES) stands out as a key solution for advancing energy conservation and enhancing system efficiency, especially when paired with local renewable energy sources (RES). As the global shift toward sustainability accelerates, TES technologies hold the potential to play a central role in mitigating the challenges posed by increasing energy demands. However, despite its demonstrated efficacy and promise, TES has not yet achieved widespread adoption. This gap underscores the need for greater collaboration among experts, coupled with initiatives to raise public awareness and enhance education on the benefits and applications of TES. In this review, we take a comprehensive approach to explore the latest developments in TES systems, with a specific focus on their integration with renewable energy and HVAC&amp;R applications. In addition, this review includes a comparative analysis of TES technologies focusing on costs, environmental aspects and selection criteria. This work's main objective is to provide an in-depth analysis of TES technologies and to create a valuable resource for the renewable energy community. To this end, we have compiled a detailed and structured dataset that categorizes TES technologies by type and forms the foundation of a unique, user-friendly database. A key innovation of this review is the creation of a dynamic online platform that offers free and open access to this database. Built using “Looker Studio,” the platform provides a seamless, interactive experience where users can easily search and filter information based on TES type, application, temperature range, efficiency, lifetime, and other relevant parameters. This continuously updated database addresses the long-standing need for a centralized, accessible repository of TES information, offering researchers, industry professionals, and stakeholders a powerful tool for informed decision-making. This novel platform distinguishes our review from previous studies by making the vast landscape of TES technologies not only more accessible but also adaptable to the specific needs of users. By offering this free, searchable resource to the renewable energy community, we aim to facilitate the adoption of TES technologies and support the global transition toward sustainable energy solutions.","author":[{"dropping-particle":"","family":"Vallese","given":"Laura","non-dropping-particle":"","parse-names":false,"suffix":""},{"dropping-particle":"","family":"Javadi","given":"Hossein","non-dropping-particle":"","parse-names":false,"suffix":""},{"dropping-particle":"","family":"Badenes","given":"Borja","non-dropping-particle":"","parse-names":false,"suffix":""},{"dropping-particle":"","family":"Urchueguia","given":"Javier F.","non-dropping-particle":"","parse-names":false,"suffix":""},{"dropping-particle":"","family":"Lombardo","given":"Giulia","non-dropping-particle":"","parse-names":false,"suffix":""},{"dropping-particle":"","family":"Menegazzo","given":"Davide","non-dropping-particle":"","parse-names":false,"suffix":""},{"dropping-particle":"","family":"Ure","given":"Zafer","non-dropping-particle":"","parse-names":false,"suffix":""},{"dropping-particle":"","family":"Cesari","given":"Silvia","non-dropping-particle":"","parse-names":false,"suffix":""},{"dropping-particle":"","family":"Bottarelli","given":"Michele","non-dropping-particle":"","parse-names":false,"suffix":""},{"dropping-particle":"","family":"Baccega","given":"Eleonora","non-dropping-particle":"","parse-names":false,"suffix":""},{"dropping-particle":"","family":"Carli","given":"Michele","non-dropping-particle":"De","parse-names":false,"suffix":""},{"dropping-particle":"","family":"Lopez","given":"Arantza","non-dropping-particle":"","parse-names":false,"suffix":""},{"dropping-particle":"","family":"Sánchez","given":"Beatriz","non-dropping-particle":"","parse-names":false,"suffix":""},{"dropping-particle":"","family":"Mabe","given":"Lara","non-dropping-particle":"","parse-names":false,"suffix":""},{"dropping-particle":"","family":"Aydın","given":"Ahmet Alper","non-dropping-particle":"","parse-names":false,"suffix":""},{"dropping-particle":"","family":"Bobbo","given":"Sergio","non-dropping-particle":"","parse-names":false,"suffix":""},{"dropping-particle":"","family":"Fedele","given":"Laura","non-dropping-particle":"","parse-names":false,"suffix":""}],"container-title":"Renewable and Sustainable Energy Reviews","id":"ITEM-1","issue":"June 2025","issued":{"date-parts":[["2026"]]},"title":"A comprehensive review of thermal energy storage technologies and their applications: Creation of a database","type":"article-journal","volume":"225"},"uris":["http://www.mendeley.com/documents/?uuid=de496726-41b1-4dbe-9b6d-e589d979af10"]}],"mendeley":{"formattedCitation":"&lt;sup&gt;15&lt;/sup&gt;","plainTextFormattedCitation":"15"},"properties":{"noteIndex":0},"schema":"https://github.com/citation-style-language/schema/raw/master/csl-citation.json"}</w:instrText>
            </w:r>
            <w:r>
              <w:rPr>
                <w:rFonts w:ascii="Times New Roman" w:eastAsia="DengXian" w:hAnsi="Times New Roman" w:cs="Times New Roman"/>
                <w:sz w:val="20"/>
                <w:szCs w:val="20"/>
              </w:rPr>
              <w:fldChar w:fldCharType="separate"/>
            </w:r>
            <w:r w:rsidRPr="00404868">
              <w:rPr>
                <w:rFonts w:ascii="Times New Roman" w:eastAsia="DengXian" w:hAnsi="Times New Roman" w:cs="Times New Roman"/>
                <w:noProof/>
                <w:sz w:val="20"/>
                <w:szCs w:val="20"/>
                <w:vertAlign w:val="superscript"/>
              </w:rPr>
              <w:t>15</w:t>
            </w:r>
            <w:r>
              <w:rPr>
                <w:rFonts w:ascii="Times New Roman" w:eastAsia="DengXian" w:hAnsi="Times New Roman" w:cs="Times New Roman"/>
                <w:sz w:val="20"/>
                <w:szCs w:val="20"/>
              </w:rPr>
              <w:fldChar w:fldCharType="end"/>
            </w:r>
          </w:p>
          <w:p w14:paraId="02D9A109" w14:textId="2D6DB7E5"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25.3(ice)</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{"citationItems":[{"id":"ITEM-1","itemData":{"DOI":"10.1016/j.rser.2025.116133","ISSN":"18790690","abstract":"Thermal energy storage (TES) stands out as a key solution for advancing energy conservation and enhancing system efficiency, especially when paired with local renewable energy sources (RES). As the global shift toward sustainability accelerates, TES technologies hold the potential to play a central role in mitigating the challenges posed by increasing energy demands. However, despite its demonstrated efficacy and promise, TES has not yet achieved widespread adoption. This gap underscores the need for greater collaboration among experts, coupled with initiatives to raise public awareness and enhance education on the benefits and applications of TES. In this review, we take a comprehensive approach to explore the latest developments in TES systems, with a specific focus on their integration with renewable energy and HVAC&amp;R applications. In addition, this review includes a comparative analysis of TES technologies focusing on costs, environmental aspects and selection criteria. This work's main objective is to provide an in-depth analysis of TES technologies and to create a valuable resource for the renewable energy community. To this end, we have compiled a detailed and structured dataset that categorizes TES technologies by type and forms the foundation of a unique, user-friendly database. A key innovation of this review is the creation of a dynamic online platform that offers free and open access to this database. Built using “Looker Studio,” the platform provides a seamless, interactive experience where users can easily search and filter information based on TES type, application, temperature range, efficiency, lifetime, and other relevant parameters. This continuously updated database addresses the long-standing need for a centralized, accessible repository of TES information, offering researchers, industry professionals, and stakeholders a powerful tool for informed decision-making. This novel platform distinguishes our review from previous studies by making the vast landscape of TES technologies not only more accessible but also adaptable to the specific needs of users. By offering this free, searchable resource to the renewable energy community, we aim to facilitate the adoption of TES technologies and support the global transition toward sustainable energy solutions.","author":[{"dropping-particle":"","family":"Vallese","given":"Laura","non-dropping-particle":"","parse-names":false,"suffix":""},{"dropping-particle":"","family":"Javadi","given":"Hossein","non-dropping-particle":"","parse-names":false,"suffix":""},{"dropping-particle":"","family":"Badenes","given":"Borja","non-dropping-particle":"","parse-names":false,"suffix":""},{"dropping-particle":"","family":"Urchueguia","given":"Javier F.","non-dropping-particle":"","parse-names":false,"suffix":""},{"dropping-particle":"","family":"Lombardo","given":"Giulia","non-dropping-particle":"","parse-names":false,"suffix":""},{"dropping-particle":"","family":"Menegazzo","given":"Davide","non-dropping-particle":"","parse-names":false,"suffix":""},{"dropping-particle":"","family":"Ure","given":"Zafer","non-dropping-particle":"","parse-names":false,"suffix":""},{"dropping-particle":"","family":"Cesari","given":"Silvia","non-dropping-particle":"","parse-names":false,"suffix":""},{"dropping-particle":"","family":"Bottarelli","given":"Michele","non-dropping-particle":"","parse-names":false,"suffix":""},{"dropping-particle":"","family":"Baccega","given":"Eleonora","non-dropping-particle":"","parse-names":false,"suffix":""},{"dropping-particle":"","family":"Carli","given":"Michele","non-dropping-particle":"De","parse-names":false,"suffix":""},{"dropping-particle":"","family":"Lopez","given":"Arantza","non-dropping-particle":"","parse-names":false,"suffix":""},{"dropping-particle":"","family":"Sánchez","given":"Beatriz","non-dropping-particle":"","parse-names":false,"suffix":""},{"dropping-particle":"","family":"Mabe","given":"Lara","non-dropping-particle":"","parse-names":false,"suffix":""},{"dropping-particle":"","family":"Aydın","given":"Ahmet Alper","non-dropping-particle":"","parse-names":false,"suffix":""},{"dropping-particle":"","family":"Bobbo","given":"Sergio","non-dropping-particle":"","parse-names":false,"suffix":""},{"dropping-particle":"","family":"Fedele","given":"Laura","non-dropping-particle":"","parse-names":false,"suffix":""}],"container-title":"Renewable and Sustainable Energy Reviews","id":"ITEM-1","issue":"June 2025","issued":{"date-parts":[["2026"]]},"title":"A comprehensive review of thermal energy storage technologies and their applications: Creation of a database","type":"article-journal","volume":"225"},"uris":["http://www.mendeley.com/documents/?uuid=de496726-41b1-4dbe-9b6d-e589d979af10"]}],"mendeley":{"formattedCitation":"&lt;sup&gt;15&lt;/sup&gt;","plainTextFormattedCitation":"15"},"properties":{"noteIndex":0},"schema":"https://github.com/citation-style-language/schema/raw/master/csl-citation.json"}</w:instrText>
            </w:r>
            <w:r>
              <w:rPr>
                <w:rFonts w:ascii="Times New Roman" w:eastAsia="DengXian" w:hAnsi="Times New Roman" w:cs="Times New Roman"/>
                <w:sz w:val="20"/>
                <w:szCs w:val="20"/>
              </w:rPr>
              <w:fldChar w:fldCharType="separate"/>
            </w:r>
            <w:r w:rsidRPr="00404868">
              <w:rPr>
                <w:rFonts w:ascii="Times New Roman" w:eastAsia="DengXian" w:hAnsi="Times New Roman" w:cs="Times New Roman"/>
                <w:noProof/>
                <w:sz w:val="20"/>
                <w:szCs w:val="20"/>
                <w:vertAlign w:val="superscript"/>
              </w:rPr>
              <w:t>15</w:t>
            </w:r>
            <w:r>
              <w:rPr>
                <w:rFonts w:ascii="Times New Roman" w:eastAsia="DengXian" w:hAnsi="Times New Roman" w:cs="Times New Roman"/>
                <w:sz w:val="20"/>
                <w:szCs w:val="20"/>
              </w:rPr>
              <w:fldChar w:fldCharType="end"/>
            </w:r>
          </w:p>
        </w:tc>
        <w:tc>
          <w:tcPr>
            <w:tcW w:w="463" w:type="pct"/>
          </w:tcPr>
          <w:p w14:paraId="72039AFA" w14:textId="2449470F"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hint="eastAsia"/>
                <w:sz w:val="20"/>
                <w:szCs w:val="20"/>
              </w:rPr>
              <w:t>\</w:t>
            </w:r>
          </w:p>
        </w:tc>
        <w:tc>
          <w:tcPr>
            <w:tcW w:w="407" w:type="pct"/>
          </w:tcPr>
          <w:p w14:paraId="0F5D5852" w14:textId="5A0F7B25" w:rsidR="00AF4560" w:rsidRPr="00C12F6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30</w:t>
            </w:r>
          </w:p>
        </w:tc>
        <w:tc>
          <w:tcPr>
            <w:tcW w:w="356" w:type="pct"/>
          </w:tcPr>
          <w:p w14:paraId="552CD568" w14:textId="726ED8B7" w:rsidR="00AF4560" w:rsidRPr="00F17753"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color w:val="000000"/>
                <w:kern w:val="0"/>
                <w:sz w:val="20"/>
                <w:szCs w:val="20"/>
                <w14:ligatures w14:val="none"/>
              </w:rPr>
              <w:t>0.01</w:t>
            </w:r>
          </w:p>
        </w:tc>
        <w:tc>
          <w:tcPr>
            <w:tcW w:w="406" w:type="pct"/>
          </w:tcPr>
          <w:p w14:paraId="276CF5AD" w14:textId="18BD8BFF" w:rsidR="00AF4560" w:rsidRPr="00C12F6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hAnsi="Times New Roman" w:cs="Times New Roman" w:hint="eastAsia"/>
                <w:sz w:val="20"/>
                <w:szCs w:val="20"/>
              </w:rPr>
              <w:t>\</w:t>
            </w:r>
          </w:p>
        </w:tc>
        <w:tc>
          <w:tcPr>
            <w:tcW w:w="428" w:type="pct"/>
          </w:tcPr>
          <w:p w14:paraId="6FB526FC" w14:textId="603AF507" w:rsidR="00AF4560"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color w:val="000000"/>
                <w:kern w:val="0"/>
                <w:sz w:val="20"/>
                <w:szCs w:val="20"/>
                <w14:ligatures w14:val="none"/>
              </w:rPr>
              <w:t>3</w:t>
            </w:r>
            <w:r>
              <w:rPr>
                <w:rFonts w:ascii="Times New Roman" w:hAnsi="Times New Roman" w:cs="Times New Roman" w:hint="eastAsia"/>
                <w:color w:val="000000"/>
                <w:kern w:val="0"/>
                <w:sz w:val="20"/>
                <w:szCs w:val="20"/>
                <w14:ligatures w14:val="none"/>
              </w:rPr>
              <w:t>0,</w:t>
            </w:r>
          </w:p>
          <w:p w14:paraId="63CD3A32" w14:textId="6A6E79A4" w:rsidR="00AF4560" w:rsidRPr="00590B1D"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hint="eastAsia"/>
                <w:color w:val="000000" w:themeColor="text1"/>
                <w:kern w:val="0"/>
                <w:sz w:val="20"/>
                <w:szCs w:val="20"/>
                <w14:ligatures w14:val="none"/>
              </w:rPr>
              <w:t>E/H</w:t>
            </w:r>
          </w:p>
        </w:tc>
      </w:tr>
      <w:tr w:rsidR="00AF4560" w:rsidRPr="004F051F" w14:paraId="3009D887" w14:textId="77777777" w:rsidTr="0036581C">
        <w:trPr>
          <w:trHeight w:val="446"/>
        </w:trPr>
        <w:tc>
          <w:tcPr>
            <w:cnfStyle w:val="001000000000" w:firstRow="0" w:lastRow="0" w:firstColumn="1" w:lastColumn="0" w:oddVBand="0" w:evenVBand="0" w:oddHBand="0" w:evenHBand="0" w:firstRowFirstColumn="0" w:firstRowLastColumn="0" w:lastRowFirstColumn="0" w:lastRowLastColumn="0"/>
            <w:tcW w:w="619" w:type="pct"/>
          </w:tcPr>
          <w:p w14:paraId="4FCED3C0" w14:textId="7BCE985F" w:rsidR="00AF4560" w:rsidRPr="000B002C" w:rsidRDefault="00AF4560" w:rsidP="00AF4560">
            <w:pPr>
              <w:jc w:val="center"/>
              <w:rPr>
                <w:rFonts w:ascii="Times New Roman" w:hAnsi="Times New Roman" w:cs="Times New Roman"/>
                <w:color w:val="000000" w:themeColor="text1"/>
                <w:sz w:val="20"/>
                <w:szCs w:val="20"/>
              </w:rPr>
            </w:pPr>
            <w:r w:rsidRPr="000B002C">
              <w:rPr>
                <w:rFonts w:ascii="Times New Roman" w:hAnsi="Times New Roman" w:cs="Times New Roman"/>
                <w:color w:val="000000" w:themeColor="text1"/>
                <w:sz w:val="20"/>
                <w:szCs w:val="20"/>
              </w:rPr>
              <w:t>Sensible heat</w:t>
            </w:r>
            <w:r>
              <w:rPr>
                <w:rFonts w:ascii="Times New Roman" w:hAnsi="Times New Roman" w:cs="Times New Roman"/>
                <w:color w:val="000000" w:themeColor="text1"/>
                <w:sz w:val="20"/>
                <w:szCs w:val="20"/>
              </w:rPr>
              <w:t xml:space="preserve"> (Gravel)</w:t>
            </w:r>
          </w:p>
        </w:tc>
        <w:tc>
          <w:tcPr>
            <w:tcW w:w="369" w:type="pct"/>
          </w:tcPr>
          <w:p w14:paraId="4C9E3B5A" w14:textId="410B3305" w:rsidR="00AF4560"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hint="eastAsia"/>
                <w:sz w:val="20"/>
                <w:szCs w:val="20"/>
              </w:rPr>
              <w:t>0.9</w:t>
            </w:r>
            <w:r>
              <w:rPr>
                <w:rFonts w:ascii="Times New Roman" w:hAnsi="Times New Roman" w:cs="Times New Roman"/>
                <w:sz w:val="20"/>
                <w:szCs w:val="20"/>
              </w:rPr>
              <w:t>0</w:t>
            </w:r>
            <w:r w:rsidRPr="004F051F">
              <w:rPr>
                <w:rFonts w:ascii="Times New Roman" w:hAnsi="Times New Roman" w:cs="Times New Roman"/>
                <w:sz w:val="20"/>
                <w:szCs w:val="20"/>
              </w:rPr>
              <w:t>,</w:t>
            </w:r>
          </w:p>
        </w:tc>
        <w:tc>
          <w:tcPr>
            <w:tcW w:w="369" w:type="pct"/>
          </w:tcPr>
          <w:p w14:paraId="6D57BF63" w14:textId="5835D394" w:rsidR="00AF4560"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hint="eastAsia"/>
                <w:sz w:val="20"/>
                <w:szCs w:val="20"/>
              </w:rPr>
              <w:t>0.9</w:t>
            </w:r>
            <w:r>
              <w:rPr>
                <w:rFonts w:ascii="Times New Roman" w:hAnsi="Times New Roman" w:cs="Times New Roman"/>
                <w:sz w:val="20"/>
                <w:szCs w:val="20"/>
              </w:rPr>
              <w:t>0</w:t>
            </w:r>
            <w:r w:rsidRPr="004F051F">
              <w:rPr>
                <w:rFonts w:ascii="Times New Roman" w:hAnsi="Times New Roman" w:cs="Times New Roman"/>
                <w:sz w:val="20"/>
                <w:szCs w:val="20"/>
              </w:rPr>
              <w:fldChar w:fldCharType="begin" w:fldLock="1"/>
            </w:r>
            <w:r>
              <w:rPr>
                <w:rFonts w:ascii="Times New Roman" w:hAnsi="Times New Roman" w:cs="Times New Roman"/>
                <w:sz w:val="20"/>
                <w:szCs w:val="20"/>
              </w:rPr>
              <w:instrText xml:space="preserve">ADDIN CSL_CITATION {"citationItems":[{"id":"ITEM-1","itemData":{"DOI":"10.1016/j.enconman.2025.119524","ISSN":"01968904","abstract":"Different storage technologies can offer promising solutions for integrating large amounts of intermittent and variable renewables, in which the liquid air energy storage (LAES) has key advantages, including its high scalability, no geographical constraints, and multi-vector services. This work aims to assess the cost-effective net-zero energy transition pathways for the UK by 2050. A new multi-zone mixed-integer-linear-programming-based energy expansion framework, which can highlight the crucial roles of LAES and other energy storage, was developed to perform the optimal design and operation of energy systems. The scenario and sensitivity analyses revealed the techno-economic performances of different pathways and four key results. First, it showed that a net-zero-carbon power-heat-coupled energy system is feasible in the UK by 2050, with a levelized cost of electricity at 65 </w:instrText>
            </w:r>
            <w:r>
              <w:rPr>
                <w:rFonts w:ascii="Cambria Math" w:hAnsi="Cambria Math" w:cs="Cambria Math"/>
                <w:sz w:val="20"/>
                <w:szCs w:val="20"/>
              </w:rPr>
              <w:instrText>∼</w:instrText>
            </w:r>
            <w:r>
              <w:rPr>
                <w:rFonts w:ascii="Times New Roman" w:hAnsi="Times New Roman" w:cs="Times New Roman"/>
                <w:sz w:val="20"/>
                <w:szCs w:val="20"/>
              </w:rPr>
              <w:instrText xml:space="preserve"> 80 £/MWh, and a levelized cost of heat energy at 45 </w:instrText>
            </w:r>
            <w:r>
              <w:rPr>
                <w:rFonts w:ascii="Cambria Math" w:hAnsi="Cambria Math" w:cs="Cambria Math"/>
                <w:sz w:val="20"/>
                <w:szCs w:val="20"/>
              </w:rPr>
              <w:instrText>∼</w:instrText>
            </w:r>
            <w:r>
              <w:rPr>
                <w:rFonts w:ascii="Times New Roman" w:hAnsi="Times New Roman" w:cs="Times New Roman"/>
                <w:sz w:val="20"/>
                <w:szCs w:val="20"/>
              </w:rPr>
              <w:instrText xml:space="preserve"> 63 £/MWh. The major generators’ expansions are onshore wind power (94.5 GW) and LAES (384 GWh) in the power sector, and the air-source heat pump (</w:instrText>
            </w:r>
            <w:r>
              <w:rPr>
                <w:rFonts w:ascii="Cambria Math" w:hAnsi="Cambria Math" w:cs="Cambria Math"/>
                <w:sz w:val="20"/>
                <w:szCs w:val="20"/>
              </w:rPr>
              <w:instrText>∼</w:instrText>
            </w:r>
            <w:r>
              <w:rPr>
                <w:rFonts w:ascii="Times New Roman" w:hAnsi="Times New Roman" w:cs="Times New Roman"/>
                <w:sz w:val="20"/>
                <w:szCs w:val="20"/>
              </w:rPr>
              <w:instrText xml:space="preserve">80 </w:instrText>
            </w:r>
            <w:r>
              <w:rPr>
                <w:rFonts w:ascii="Cambria Math" w:hAnsi="Cambria Math" w:cs="Cambria Math"/>
                <w:sz w:val="20"/>
                <w:szCs w:val="20"/>
              </w:rPr>
              <w:instrText>∼</w:instrText>
            </w:r>
            <w:r>
              <w:rPr>
                <w:rFonts w:ascii="Times New Roman" w:hAnsi="Times New Roman" w:cs="Times New Roman"/>
                <w:sz w:val="20"/>
                <w:szCs w:val="20"/>
              </w:rPr>
              <w:instrText xml:space="preserve"> 90 GW) and short-term heat storage (330 GWh) in the heat sector. Importantly, it demonstrated the crucial roles of LAES and other energy storage in the UK energy transition from a techno-economic view. Specifically, only </w:instrText>
            </w:r>
            <w:r>
              <w:rPr>
                <w:rFonts w:ascii="Cambria Math" w:hAnsi="Cambria Math" w:cs="Cambria Math"/>
                <w:sz w:val="20"/>
                <w:szCs w:val="20"/>
              </w:rPr>
              <w:instrText>∼</w:instrText>
            </w:r>
            <w:r>
              <w:rPr>
                <w:rFonts w:ascii="Times New Roman" w:hAnsi="Times New Roman" w:cs="Times New Roman"/>
                <w:sz w:val="20"/>
                <w:szCs w:val="20"/>
              </w:rPr>
              <w:instrText xml:space="preserve"> 10–12 % of storage investment can reduce the annual renewable curtailments by more than 80 % and the system annual costs by </w:instrText>
            </w:r>
            <w:r>
              <w:rPr>
                <w:rFonts w:ascii="Cambria Math" w:hAnsi="Cambria Math" w:cs="Cambria Math"/>
                <w:sz w:val="20"/>
                <w:szCs w:val="20"/>
              </w:rPr>
              <w:instrText>∼</w:instrText>
            </w:r>
            <w:r>
              <w:rPr>
                <w:rFonts w:ascii="Times New Roman" w:hAnsi="Times New Roman" w:cs="Times New Roman"/>
                <w:sz w:val="20"/>
                <w:szCs w:val="20"/>
              </w:rPr>
              <w:instrText xml:space="preserve"> 15.1 % − 28 % depending on different scenarios. The optimal capacity ratios of LAES and renewables are </w:instrText>
            </w:r>
            <w:r>
              <w:rPr>
                <w:rFonts w:ascii="Cambria Math" w:hAnsi="Cambria Math" w:cs="Cambria Math"/>
                <w:sz w:val="20"/>
                <w:szCs w:val="20"/>
              </w:rPr>
              <w:instrText>∼</w:instrText>
            </w:r>
            <w:r>
              <w:rPr>
                <w:rFonts w:ascii="Times New Roman" w:hAnsi="Times New Roman" w:cs="Times New Roman"/>
                <w:sz w:val="20"/>
                <w:szCs w:val="20"/>
              </w:rPr>
              <w:instrText xml:space="preserve"> 16 % − 25 % in different zones. The last notable observation suggested that the LAESs with charge durations at 8 </w:instrText>
            </w:r>
            <w:r>
              <w:rPr>
                <w:rFonts w:ascii="Cambria Math" w:hAnsi="Cambria Math" w:cs="Cambria Math"/>
                <w:sz w:val="20"/>
                <w:szCs w:val="20"/>
              </w:rPr>
              <w:instrText>∼</w:instrText>
            </w:r>
            <w:r>
              <w:rPr>
                <w:rFonts w:ascii="Times New Roman" w:hAnsi="Times New Roman" w:cs="Times New Roman"/>
                <w:sz w:val="20"/>
                <w:szCs w:val="20"/>
              </w:rPr>
              <w:instrText xml:space="preserve"> 10 h and discharge durations at 12 </w:instrText>
            </w:r>
            <w:r>
              <w:rPr>
                <w:rFonts w:ascii="Cambria Math" w:hAnsi="Cambria Math" w:cs="Cambria Math"/>
                <w:sz w:val="20"/>
                <w:szCs w:val="20"/>
              </w:rPr>
              <w:instrText>∼</w:instrText>
            </w:r>
            <w:r>
              <w:rPr>
                <w:rFonts w:ascii="Times New Roman" w:hAnsi="Times New Roman" w:cs="Times New Roman"/>
                <w:sz w:val="20"/>
                <w:szCs w:val="20"/>
              </w:rPr>
              <w:instrText xml:space="preserve"> 15 h are more suitable for the wind-dominated case (like the UK) than short-duration batteries (</w:instrText>
            </w:r>
            <w:r>
              <w:rPr>
                <w:rFonts w:ascii="Cambria Math" w:hAnsi="Cambria Math" w:cs="Cambria Math"/>
                <w:sz w:val="20"/>
                <w:szCs w:val="20"/>
              </w:rPr>
              <w:instrText>∼</w:instrText>
            </w:r>
            <w:r>
              <w:rPr>
                <w:rFonts w:ascii="Times New Roman" w:hAnsi="Times New Roman" w:cs="Times New Roman"/>
                <w:sz w:val="20"/>
                <w:szCs w:val="20"/>
              </w:rPr>
              <w:instrText>4/5h). Overall, the developed energy expansion framework can facilitate the planning of conventional energy and storage technologies to absorb renewable energies, and the meaningful results can provide policymakers with enlightening views about developing policies relating to achieving carbon mitigation ambitions.","author":[{"dropping-particle":"","family":"Liang","given":"Ting","non-dropping-particle":"","parse-names":false,"suffix":""},{"dropping-particle":"","family":"Li","given":"Yongliang","non-dropping-particle":"","parse-names":false,"suffix":""},{"dropping-particle":"","family":"Nie","given":"Binjian","non-dropping-particle":"","parse-names":false,"suffix":""},{"dropping-particle":"","family":"Ahmad","given":"Abdalqader","non-dropping-particle":"","parse-names":false,"suffix":""},{"dropping-particle":"","family":"Ding","given":"Yulong","non-dropping-particle":"","parse-names":false,"suffix":""}],"container-title":"Energy Conversion and Management","id":"ITEM-1","issue":"January","issued":{"date-parts":[["2025"]]},"page":"119524","publisher":"Elsevier Ltd","title":"Achieving a net-zero-carbon energy system in the UK by 2050 with liquid air energy storage","type":"article-journal","volume":"327"},"uris":["http://www.mendeley.com/documents/?uuid=4ac0f14e-72fa-4444-9b47-b47ff2da9ebb"]}],"mendeley":{"formattedCitation":"&lt;sup&gt;4&lt;/sup&gt;","plainTextFormattedCitation":"4","previouslyFormattedCitation":"&lt;sup&gt;4&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4</w:t>
            </w:r>
            <w:r w:rsidRPr="004F051F">
              <w:rPr>
                <w:rFonts w:ascii="Times New Roman" w:hAnsi="Times New Roman" w:cs="Times New Roman"/>
                <w:sz w:val="20"/>
                <w:szCs w:val="20"/>
              </w:rPr>
              <w:fldChar w:fldCharType="end"/>
            </w:r>
            <w:r w:rsidRPr="004F051F">
              <w:rPr>
                <w:rFonts w:ascii="Times New Roman" w:hAnsi="Times New Roman" w:cs="Times New Roman"/>
                <w:sz w:val="20"/>
                <w:szCs w:val="20"/>
              </w:rPr>
              <w:t>,</w:t>
            </w:r>
          </w:p>
        </w:tc>
        <w:tc>
          <w:tcPr>
            <w:tcW w:w="422" w:type="pct"/>
          </w:tcPr>
          <w:p w14:paraId="5A56350B" w14:textId="1CB554EB" w:rsidR="00AF4560"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307" w:type="pct"/>
          </w:tcPr>
          <w:p w14:paraId="383DDF68" w14:textId="0D38305E" w:rsidR="00AF4560"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hint="eastAsia"/>
                <w:sz w:val="20"/>
                <w:szCs w:val="20"/>
              </w:rPr>
              <w:t>\</w:t>
            </w:r>
          </w:p>
        </w:tc>
        <w:tc>
          <w:tcPr>
            <w:tcW w:w="453" w:type="pct"/>
          </w:tcPr>
          <w:p w14:paraId="38B06EA6" w14:textId="3FA44C82" w:rsidR="00AF4560"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hint="eastAsia"/>
                <w:sz w:val="20"/>
                <w:szCs w:val="20"/>
              </w:rPr>
              <w:t>\</w:t>
            </w:r>
          </w:p>
        </w:tc>
        <w:tc>
          <w:tcPr>
            <w:tcW w:w="401" w:type="pct"/>
          </w:tcPr>
          <w:p w14:paraId="6391B649" w14:textId="6AB325A6" w:rsidR="00AF4560" w:rsidRPr="004F051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34.5</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{"citationItems":[{"id":"ITEM-1","itemData":{"DOI":"10.1016/j.rser.2025.116133","ISSN":"18790690","abstract":"Thermal energy storage (TES) stands out as a key solution for advancing energy conservation and enhancing system efficiency, especially when paired with local renewable energy sources (RES). As the global shift toward sustainability accelerates, TES technologies hold the potential to play a central role in mitigating the challenges posed by increasing energy demands. However, despite its demonstrated efficacy and promise, TES has not yet achieved widespread adoption. This gap underscores the need for greater collaboration among experts, coupled with initiatives to raise public awareness and enhance education on the benefits and applications of TES. In this review, we take a comprehensive approach to explore the latest developments in TES systems, with a specific focus on their integration with renewable energy and HVAC&amp;R applications. In addition, this review includes a comparative analysis of TES technologies focusing on costs, environmental aspects and selection criteria. This work's main objective is to provide an in-depth analysis of TES technologies and to create a valuable resource for the renewable energy community. To this end, we have compiled a detailed and structured dataset that categorizes TES technologies by type and forms the foundation of a unique, user-friendly database. A key innovation of this review is the creation of a dynamic online platform that offers free and open access to this database. Built using “Looker Studio,” the platform provides a seamless, interactive experience where users can easily search and filter information based on TES type, application, temperature range, efficiency, lifetime, and other relevant parameters. This continuously updated database addresses the long-standing need for a centralized, accessible repository of TES information, offering researchers, industry professionals, and stakeholders a powerful tool for informed decision-making. This novel platform distinguishes our review from previous studies by making the vast landscape of TES technologies not only more accessible but also adaptable to the specific needs of users. By offering this free, searchable resource to the renewable energy community, we aim to facilitate the adoption of TES technologies and support the global transition toward sustainable energy solutions.","author":[{"dropping-particle":"","family":"Vallese","given":"Laura","non-dropping-particle":"","parse-names":false,"suffix":""},{"dropping-particle":"","family":"Javadi","given":"Hossein","non-dropping-particle":"","parse-names":false,"suffix":""},{"dropping-particle":"","family":"Badenes","given":"Borja","non-dropping-particle":"","parse-names":false,"suffix":""},{"dropping-particle":"","family":"Urchueguia","given":"Javier F.","non-dropping-particle":"","parse-names":false,"suffix":""},{"dropping-particle":"","family":"Lombardo","given":"Giulia","non-dropping-particle":"","parse-names":false,"suffix":""},{"dropping-particle":"","family":"Menegazzo","given":"Davide","non-dropping-particle":"","parse-names":false,"suffix":""},{"dropping-particle":"","family":"Ure","given":"Zafer","non-dropping-particle":"","parse-names":false,"suffix":""},{"dropping-particle":"","family":"Cesari","given":"Silvia","non-dropping-particle":"","parse-names":false,"suffix":""},{"dropping-particle":"","family":"Bottarelli","given":"Michele","non-dropping-particle":"","parse-names":false,"suffix":""},{"dropping-particle":"","family":"Baccega","given":"Eleonora","non-dropping-particle":"","parse-names":false,"suffix":""},{"dropping-particle":"","family":"Carli","given":"Michele","non-dropping-particle":"De","parse-names":false,"suffix":""},{"dropping-particle":"","family":"Lopez","given":"Arantza","non-dropping-particle":"","parse-names":false,"suffix":""},{"dropping-particle":"","family":"Sánchez","given":"Beatriz","non-dropping-particle":"","parse-names":false,"suffix":""},{"dropping-particle":"","family":"Mabe","given":"Lara","non-dropping-particle":"","parse-names":false,"suffix":""},{"dropping-particle":"","family":"Aydın","given":"Ahmet Alper","non-dropping-particle":"","parse-names":false,"suffix":""},{"dropping-particle":"","family":"Bobbo","given":"Sergio","non-dropping-particle":"","parse-names":false,"suffix":""},{"dropping-particle":"","family":"Fedele","given":"Laura","non-dropping-particle":"","parse-names":false,"suffix":""}],"container-title":"Renewable and Sustainable Energy Reviews","id":"ITEM-1","issue":"June 2025","issued":{"date-parts":[["2026"]]},"title":"A comprehensive review of thermal energy storage technologies and their applications: Creation of a database","type":"article-journal","volume":"225"},"uris":["http://www.mendeley.com/documents/?uuid=de496726-41b1-4dbe-9b6d-e589d979af10"]}],"mendeley":{"formattedCitation":"&lt;sup&gt;15&lt;/sup&gt;","plainTextFormattedCitation":"15"},"properties":{"noteIndex":0},"schema":"https://github.com/citation-style-language/schema/raw/master/csl-citation.json"}</w:instrText>
            </w:r>
            <w:r>
              <w:rPr>
                <w:rFonts w:ascii="Times New Roman" w:eastAsia="DengXian" w:hAnsi="Times New Roman" w:cs="Times New Roman"/>
                <w:sz w:val="20"/>
                <w:szCs w:val="20"/>
              </w:rPr>
              <w:fldChar w:fldCharType="separate"/>
            </w:r>
            <w:r w:rsidRPr="00404868">
              <w:rPr>
                <w:rFonts w:ascii="Times New Roman" w:eastAsia="DengXian" w:hAnsi="Times New Roman" w:cs="Times New Roman"/>
                <w:noProof/>
                <w:sz w:val="20"/>
                <w:szCs w:val="20"/>
                <w:vertAlign w:val="superscript"/>
              </w:rPr>
              <w:t>15</w:t>
            </w:r>
            <w:r>
              <w:rPr>
                <w:rFonts w:ascii="Times New Roman" w:eastAsia="DengXian" w:hAnsi="Times New Roman" w:cs="Times New Roman"/>
                <w:sz w:val="20"/>
                <w:szCs w:val="20"/>
              </w:rPr>
              <w:fldChar w:fldCharType="end"/>
            </w:r>
          </w:p>
        </w:tc>
        <w:tc>
          <w:tcPr>
            <w:tcW w:w="463" w:type="pct"/>
          </w:tcPr>
          <w:p w14:paraId="680B0282" w14:textId="1D17E036" w:rsidR="00AF4560"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hint="eastAsia"/>
                <w:sz w:val="20"/>
                <w:szCs w:val="20"/>
              </w:rPr>
              <w:t>\</w:t>
            </w:r>
          </w:p>
        </w:tc>
        <w:tc>
          <w:tcPr>
            <w:tcW w:w="407" w:type="pct"/>
          </w:tcPr>
          <w:p w14:paraId="096C15F6" w14:textId="0DE3CA74" w:rsidR="00AF4560" w:rsidRPr="00C12F6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30</w:t>
            </w:r>
          </w:p>
        </w:tc>
        <w:tc>
          <w:tcPr>
            <w:tcW w:w="356" w:type="pct"/>
          </w:tcPr>
          <w:p w14:paraId="129344F4" w14:textId="5C1DD66C" w:rsidR="00AF4560" w:rsidRPr="00F17753"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color w:val="000000"/>
                <w:kern w:val="0"/>
                <w:sz w:val="20"/>
                <w:szCs w:val="20"/>
                <w14:ligatures w14:val="none"/>
              </w:rPr>
              <w:t>0.01</w:t>
            </w:r>
          </w:p>
        </w:tc>
        <w:tc>
          <w:tcPr>
            <w:tcW w:w="406" w:type="pct"/>
          </w:tcPr>
          <w:p w14:paraId="36C8FC2A" w14:textId="3AB07481" w:rsidR="00AF4560" w:rsidRPr="00C12F6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hAnsi="Times New Roman" w:cs="Times New Roman" w:hint="eastAsia"/>
                <w:sz w:val="20"/>
                <w:szCs w:val="20"/>
              </w:rPr>
              <w:t>\</w:t>
            </w:r>
          </w:p>
        </w:tc>
        <w:tc>
          <w:tcPr>
            <w:tcW w:w="428" w:type="pct"/>
          </w:tcPr>
          <w:p w14:paraId="121479CF" w14:textId="3BB4E49C" w:rsidR="00AF4560"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color w:val="000000"/>
                <w:kern w:val="0"/>
                <w:sz w:val="20"/>
                <w:szCs w:val="20"/>
                <w14:ligatures w14:val="none"/>
              </w:rPr>
              <w:t>3</w:t>
            </w:r>
            <w:r>
              <w:rPr>
                <w:rFonts w:ascii="Times New Roman" w:hAnsi="Times New Roman" w:cs="Times New Roman" w:hint="eastAsia"/>
                <w:color w:val="000000"/>
                <w:kern w:val="0"/>
                <w:sz w:val="20"/>
                <w:szCs w:val="20"/>
                <w14:ligatures w14:val="none"/>
              </w:rPr>
              <w:t>0,</w:t>
            </w:r>
          </w:p>
          <w:p w14:paraId="577EA196" w14:textId="3691C19B" w:rsidR="00AF4560"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color w:val="000000"/>
                <w:kern w:val="0"/>
                <w:sz w:val="20"/>
                <w:szCs w:val="20"/>
                <w14:ligatures w14:val="none"/>
              </w:rPr>
            </w:pPr>
            <w:r>
              <w:rPr>
                <w:rFonts w:ascii="Times New Roman" w:hAnsi="Times New Roman" w:cs="Times New Roman" w:hint="eastAsia"/>
                <w:color w:val="000000" w:themeColor="text1"/>
                <w:kern w:val="0"/>
                <w:sz w:val="20"/>
                <w:szCs w:val="20"/>
                <w14:ligatures w14:val="none"/>
              </w:rPr>
              <w:t>E/H</w:t>
            </w:r>
          </w:p>
        </w:tc>
      </w:tr>
      <w:tr w:rsidR="00AF4560" w:rsidRPr="004F051F" w14:paraId="20F4A415" w14:textId="533E7850" w:rsidTr="0036581C">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619" w:type="pct"/>
          </w:tcPr>
          <w:p w14:paraId="2710545D" w14:textId="7B8B30E5" w:rsidR="00AF4560" w:rsidRPr="000B002C" w:rsidRDefault="00AF4560" w:rsidP="00AF4560">
            <w:pPr>
              <w:jc w:val="center"/>
              <w:rPr>
                <w:rFonts w:ascii="Times New Roman" w:hAnsi="Times New Roman" w:cs="Times New Roman"/>
                <w:b w:val="0"/>
                <w:color w:val="000000" w:themeColor="text1"/>
                <w:sz w:val="20"/>
                <w:szCs w:val="20"/>
              </w:rPr>
            </w:pPr>
            <w:r w:rsidRPr="000B002C">
              <w:rPr>
                <w:rFonts w:ascii="Times New Roman" w:hAnsi="Times New Roman" w:cs="Times New Roman"/>
                <w:color w:val="000000" w:themeColor="text1"/>
                <w:sz w:val="20"/>
                <w:szCs w:val="20"/>
              </w:rPr>
              <w:t>Latent heat</w:t>
            </w:r>
            <w:r w:rsidRPr="000B002C">
              <w:rPr>
                <w:rFonts w:ascii="Times New Roman" w:hAnsi="Times New Roman" w:cs="Times New Roman" w:hint="eastAsia"/>
                <w:color w:val="000000" w:themeColor="text1"/>
                <w:sz w:val="20"/>
                <w:szCs w:val="20"/>
              </w:rPr>
              <w:t>-PCM</w:t>
            </w:r>
            <w:r>
              <w:rPr>
                <w:rFonts w:ascii="Times New Roman" w:hAnsi="Times New Roman" w:cs="Times New Roman"/>
                <w:color w:val="000000" w:themeColor="text1"/>
                <w:sz w:val="20"/>
                <w:szCs w:val="20"/>
              </w:rPr>
              <w:t xml:space="preserve"> (</w:t>
            </w:r>
            <w:r w:rsidRPr="004F051F">
              <w:rPr>
                <w:rFonts w:ascii="Times New Roman" w:hAnsi="Times New Roman" w:cs="Times New Roman"/>
                <w:sz w:val="20"/>
                <w:szCs w:val="20"/>
              </w:rPr>
              <w:t>(molten salt)</w:t>
            </w:r>
          </w:p>
        </w:tc>
        <w:tc>
          <w:tcPr>
            <w:tcW w:w="369" w:type="pct"/>
          </w:tcPr>
          <w:p w14:paraId="388129BC" w14:textId="1A411052"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hint="eastAsia"/>
                <w:sz w:val="20"/>
                <w:szCs w:val="20"/>
              </w:rPr>
              <w:t>0.9</w:t>
            </w:r>
            <w:r>
              <w:rPr>
                <w:rFonts w:ascii="Times New Roman" w:hAnsi="Times New Roman" w:cs="Times New Roman"/>
                <w:sz w:val="20"/>
                <w:szCs w:val="20"/>
              </w:rPr>
              <w:t>5</w:t>
            </w:r>
            <w:r w:rsidRPr="004F051F">
              <w:rPr>
                <w:rFonts w:ascii="Times New Roman" w:hAnsi="Times New Roman" w:cs="Times New Roman"/>
                <w:sz w:val="20"/>
                <w:szCs w:val="20"/>
              </w:rPr>
              <w:t>,</w:t>
            </w:r>
          </w:p>
        </w:tc>
        <w:tc>
          <w:tcPr>
            <w:tcW w:w="369" w:type="pct"/>
          </w:tcPr>
          <w:p w14:paraId="4E2AE2BE" w14:textId="42DD0A7D"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hint="eastAsia"/>
                <w:sz w:val="20"/>
                <w:szCs w:val="20"/>
              </w:rPr>
              <w:t>0.9</w:t>
            </w:r>
            <w:r>
              <w:rPr>
                <w:rFonts w:ascii="Times New Roman" w:hAnsi="Times New Roman" w:cs="Times New Roman"/>
                <w:sz w:val="20"/>
                <w:szCs w:val="20"/>
              </w:rPr>
              <w:t>5</w:t>
            </w:r>
            <w:r w:rsidRPr="004F051F">
              <w:rPr>
                <w:rFonts w:ascii="Times New Roman" w:hAnsi="Times New Roman" w:cs="Times New Roman"/>
                <w:sz w:val="20"/>
                <w:szCs w:val="20"/>
              </w:rPr>
              <w:fldChar w:fldCharType="begin" w:fldLock="1"/>
            </w:r>
            <w:r>
              <w:rPr>
                <w:rFonts w:ascii="Times New Roman" w:hAnsi="Times New Roman" w:cs="Times New Roman"/>
                <w:sz w:val="20"/>
                <w:szCs w:val="20"/>
              </w:rPr>
              <w:instrText xml:space="preserve">ADDIN CSL_CITATION {"citationItems":[{"id":"ITEM-1","itemData":{"DOI":"10.1016/j.enconman.2025.119524","ISSN":"01968904","abstract":"Different storage technologies can offer promising solutions for integrating large amounts of intermittent and variable renewables, in which the liquid air energy storage (LAES) has key advantages, including its high scalability, no geographical constraints, and multi-vector services. This work aims to assess the cost-effective net-zero energy transition pathways for the UK by 2050. A new multi-zone mixed-integer-linear-programming-based energy expansion framework, which can highlight the crucial roles of LAES and other energy storage, was developed to perform the optimal design and operation of energy systems. The scenario and sensitivity analyses revealed the techno-economic performances of different pathways and four key results. First, it showed that a net-zero-carbon power-heat-coupled energy system is feasible in the UK by 2050, with a levelized cost of electricity at 65 </w:instrText>
            </w:r>
            <w:r>
              <w:rPr>
                <w:rFonts w:ascii="Cambria Math" w:hAnsi="Cambria Math" w:cs="Cambria Math"/>
                <w:sz w:val="20"/>
                <w:szCs w:val="20"/>
              </w:rPr>
              <w:instrText>∼</w:instrText>
            </w:r>
            <w:r>
              <w:rPr>
                <w:rFonts w:ascii="Times New Roman" w:hAnsi="Times New Roman" w:cs="Times New Roman"/>
                <w:sz w:val="20"/>
                <w:szCs w:val="20"/>
              </w:rPr>
              <w:instrText xml:space="preserve"> 80 £/MWh, and a levelized cost of heat energy at 45 </w:instrText>
            </w:r>
            <w:r>
              <w:rPr>
                <w:rFonts w:ascii="Cambria Math" w:hAnsi="Cambria Math" w:cs="Cambria Math"/>
                <w:sz w:val="20"/>
                <w:szCs w:val="20"/>
              </w:rPr>
              <w:instrText>∼</w:instrText>
            </w:r>
            <w:r>
              <w:rPr>
                <w:rFonts w:ascii="Times New Roman" w:hAnsi="Times New Roman" w:cs="Times New Roman"/>
                <w:sz w:val="20"/>
                <w:szCs w:val="20"/>
              </w:rPr>
              <w:instrText xml:space="preserve"> 63 £/MWh. The major generators’ expansions are onshore wind power (94.5 GW) and LAES (384 GWh) in the power sector, and the air-source heat pump (</w:instrText>
            </w:r>
            <w:r>
              <w:rPr>
                <w:rFonts w:ascii="Cambria Math" w:hAnsi="Cambria Math" w:cs="Cambria Math"/>
                <w:sz w:val="20"/>
                <w:szCs w:val="20"/>
              </w:rPr>
              <w:instrText>∼</w:instrText>
            </w:r>
            <w:r>
              <w:rPr>
                <w:rFonts w:ascii="Times New Roman" w:hAnsi="Times New Roman" w:cs="Times New Roman"/>
                <w:sz w:val="20"/>
                <w:szCs w:val="20"/>
              </w:rPr>
              <w:instrText xml:space="preserve">80 </w:instrText>
            </w:r>
            <w:r>
              <w:rPr>
                <w:rFonts w:ascii="Cambria Math" w:hAnsi="Cambria Math" w:cs="Cambria Math"/>
                <w:sz w:val="20"/>
                <w:szCs w:val="20"/>
              </w:rPr>
              <w:instrText>∼</w:instrText>
            </w:r>
            <w:r>
              <w:rPr>
                <w:rFonts w:ascii="Times New Roman" w:hAnsi="Times New Roman" w:cs="Times New Roman"/>
                <w:sz w:val="20"/>
                <w:szCs w:val="20"/>
              </w:rPr>
              <w:instrText xml:space="preserve"> 90 GW) and short-term heat storage (330 GWh) in the heat sector. Importantly, it demonstrated the crucial roles of LAES and other energy storage in the UK energy transition from a techno-economic view. Specifically, only </w:instrText>
            </w:r>
            <w:r>
              <w:rPr>
                <w:rFonts w:ascii="Cambria Math" w:hAnsi="Cambria Math" w:cs="Cambria Math"/>
                <w:sz w:val="20"/>
                <w:szCs w:val="20"/>
              </w:rPr>
              <w:instrText>∼</w:instrText>
            </w:r>
            <w:r>
              <w:rPr>
                <w:rFonts w:ascii="Times New Roman" w:hAnsi="Times New Roman" w:cs="Times New Roman"/>
                <w:sz w:val="20"/>
                <w:szCs w:val="20"/>
              </w:rPr>
              <w:instrText xml:space="preserve"> 10–12 % of storage investment can reduce the annual renewable curtailments by more than 80 % and the system annual costs by </w:instrText>
            </w:r>
            <w:r>
              <w:rPr>
                <w:rFonts w:ascii="Cambria Math" w:hAnsi="Cambria Math" w:cs="Cambria Math"/>
                <w:sz w:val="20"/>
                <w:szCs w:val="20"/>
              </w:rPr>
              <w:instrText>∼</w:instrText>
            </w:r>
            <w:r>
              <w:rPr>
                <w:rFonts w:ascii="Times New Roman" w:hAnsi="Times New Roman" w:cs="Times New Roman"/>
                <w:sz w:val="20"/>
                <w:szCs w:val="20"/>
              </w:rPr>
              <w:instrText xml:space="preserve"> 15.1 % − 28 % depending on different scenarios. The optimal capacity ratios of LAES and renewables are </w:instrText>
            </w:r>
            <w:r>
              <w:rPr>
                <w:rFonts w:ascii="Cambria Math" w:hAnsi="Cambria Math" w:cs="Cambria Math"/>
                <w:sz w:val="20"/>
                <w:szCs w:val="20"/>
              </w:rPr>
              <w:instrText>∼</w:instrText>
            </w:r>
            <w:r>
              <w:rPr>
                <w:rFonts w:ascii="Times New Roman" w:hAnsi="Times New Roman" w:cs="Times New Roman"/>
                <w:sz w:val="20"/>
                <w:szCs w:val="20"/>
              </w:rPr>
              <w:instrText xml:space="preserve"> 16 % − 25 % in different zones. The last notable observation suggested that the LAESs with charge durations at 8 </w:instrText>
            </w:r>
            <w:r>
              <w:rPr>
                <w:rFonts w:ascii="Cambria Math" w:hAnsi="Cambria Math" w:cs="Cambria Math"/>
                <w:sz w:val="20"/>
                <w:szCs w:val="20"/>
              </w:rPr>
              <w:instrText>∼</w:instrText>
            </w:r>
            <w:r>
              <w:rPr>
                <w:rFonts w:ascii="Times New Roman" w:hAnsi="Times New Roman" w:cs="Times New Roman"/>
                <w:sz w:val="20"/>
                <w:szCs w:val="20"/>
              </w:rPr>
              <w:instrText xml:space="preserve"> 10 h and discharge durations at 12 </w:instrText>
            </w:r>
            <w:r>
              <w:rPr>
                <w:rFonts w:ascii="Cambria Math" w:hAnsi="Cambria Math" w:cs="Cambria Math"/>
                <w:sz w:val="20"/>
                <w:szCs w:val="20"/>
              </w:rPr>
              <w:instrText>∼</w:instrText>
            </w:r>
            <w:r>
              <w:rPr>
                <w:rFonts w:ascii="Times New Roman" w:hAnsi="Times New Roman" w:cs="Times New Roman"/>
                <w:sz w:val="20"/>
                <w:szCs w:val="20"/>
              </w:rPr>
              <w:instrText xml:space="preserve"> 15 h are more suitable for the wind-dominated case (like the UK) than short-duration batteries (</w:instrText>
            </w:r>
            <w:r>
              <w:rPr>
                <w:rFonts w:ascii="Cambria Math" w:hAnsi="Cambria Math" w:cs="Cambria Math"/>
                <w:sz w:val="20"/>
                <w:szCs w:val="20"/>
              </w:rPr>
              <w:instrText>∼</w:instrText>
            </w:r>
            <w:r>
              <w:rPr>
                <w:rFonts w:ascii="Times New Roman" w:hAnsi="Times New Roman" w:cs="Times New Roman"/>
                <w:sz w:val="20"/>
                <w:szCs w:val="20"/>
              </w:rPr>
              <w:instrText>4/5h). Overall, the developed energy expansion framework can facilitate the planning of conventional energy and storage technologies to absorb renewable energies, and the meaningful results can provide policymakers with enlightening views about developing policies relating to achieving carbon mitigation ambitions.","author":[{"dropping-particle":"","family":"Liang","given":"Ting","non-dropping-particle":"","parse-names":false,"suffix":""},{"dropping-particle":"","family":"Li","given":"Yongliang","non-dropping-particle":"","parse-names":false,"suffix":""},{"dropping-particle":"","family":"Nie","given":"Binjian","non-dropping-particle":"","parse-names":false,"suffix":""},{"dropping-particle":"","family":"Ahmad","given":"Abdalqader","non-dropping-particle":"","parse-names":false,"suffix":""},{"dropping-particle":"","family":"Ding","given":"Yulong","non-dropping-particle":"","parse-names":false,"suffix":""}],"container-title":"Energy Conversion and Management","id":"ITEM-1","issue":"January","issued":{"date-parts":[["2025"]]},"page":"119524","publisher":"Elsevier Ltd","title":"Achieving a net-zero-carbon energy system in the UK by 2050 with liquid air energy storage","type":"article-journal","volume":"327"},"uris":["http://www.mendeley.com/documents/?uuid=4ac0f14e-72fa-4444-9b47-b47ff2da9ebb"]}],"mendeley":{"formattedCitation":"&lt;sup&gt;4&lt;/sup&gt;","plainTextFormattedCitation":"4","previouslyFormattedCitation":"&lt;sup&gt;4&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4</w:t>
            </w:r>
            <w:r w:rsidRPr="004F051F">
              <w:rPr>
                <w:rFonts w:ascii="Times New Roman" w:hAnsi="Times New Roman" w:cs="Times New Roman"/>
                <w:sz w:val="20"/>
                <w:szCs w:val="20"/>
              </w:rPr>
              <w:fldChar w:fldCharType="end"/>
            </w:r>
            <w:r w:rsidRPr="004F051F">
              <w:rPr>
                <w:rFonts w:ascii="Times New Roman" w:hAnsi="Times New Roman" w:cs="Times New Roman"/>
                <w:sz w:val="20"/>
                <w:szCs w:val="20"/>
              </w:rPr>
              <w:t>,</w:t>
            </w:r>
          </w:p>
        </w:tc>
        <w:tc>
          <w:tcPr>
            <w:tcW w:w="422" w:type="pct"/>
          </w:tcPr>
          <w:p w14:paraId="5E497DDF" w14:textId="6F32EA6A" w:rsidR="00AF4560"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sz w:val="20"/>
                <w:szCs w:val="20"/>
              </w:rPr>
              <w:t>0</w:t>
            </w:r>
          </w:p>
        </w:tc>
        <w:tc>
          <w:tcPr>
            <w:tcW w:w="307" w:type="pct"/>
          </w:tcPr>
          <w:p w14:paraId="446EAE9A" w14:textId="438CDE8D"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hint="eastAsia"/>
                <w:sz w:val="20"/>
                <w:szCs w:val="20"/>
              </w:rPr>
            </w:pPr>
            <w:r>
              <w:rPr>
                <w:rFonts w:ascii="Times New Roman" w:hAnsi="Times New Roman" w:cs="Times New Roman" w:hint="eastAsia"/>
                <w:sz w:val="20"/>
                <w:szCs w:val="20"/>
              </w:rPr>
              <w:t>\</w:t>
            </w:r>
          </w:p>
        </w:tc>
        <w:tc>
          <w:tcPr>
            <w:tcW w:w="453" w:type="pct"/>
          </w:tcPr>
          <w:p w14:paraId="652D1492" w14:textId="76F50AAF"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hint="eastAsia"/>
                <w:sz w:val="20"/>
                <w:szCs w:val="20"/>
              </w:rPr>
              <w:t>\</w:t>
            </w:r>
          </w:p>
        </w:tc>
        <w:tc>
          <w:tcPr>
            <w:tcW w:w="401" w:type="pct"/>
          </w:tcPr>
          <w:p w14:paraId="0D7B21F3" w14:textId="524D0A2E"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sz w:val="20"/>
                <w:szCs w:val="20"/>
              </w:rPr>
              <w:t>43.5</w:t>
            </w: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{"citationItems":[{"id":"ITEM-1","itemData":{"DOI":"10.1016/j.rser.2023.114245","ISSN":"18790690","abstract":"Energy transition requires a high penetration of reliable and flexible renewable energy. To do so, low-cost, efficient, high capacity and environmentally friendly storage technologies to manage the mismatch between energy production and demand are required. Carnot Batteries are considered as promising energy storage solutions tackling these requirements and storing electrical energy as thermal energy and releasing it whenever necessary while operating on reversible thermodynamic cycles. In Carnot Batteries, power is managed through rotating machines, such as compressors and turbines, and energy is stored as heat in thermal energy storages. In recent years, thermal cycles exploiting Carbon Dioxide (CO2) as operating fluid, in sub-critical, trans-critical and supercritical conditions, are gaining major interest, thanks to their versatility and high performance, especially for large scale applications. This paper provides an in-depth review on the state of the art of global R&amp;D activities on the use of carbon dioxide for large scale Carnot Battery application, while providing preliminary market and technology maturity breakdown. Different studies on CO2-Carnot Batteries at industrial and academic levels are discussed in detail while highlighting the novelty and improvement methods. Detailed information on battery parameters of charging, discharging and storage have been listed and critically analysed, finally concluding with SWOT (Strength, Weakness, Opportunity, Threats) and TRL (Technology Readiness Level) analyses for future developments.","author":[{"dropping-particle":"","family":"Shamsi","given":"Syed Safeer Mehdi","non-dropping-particle":"","parse-names":false,"suffix":""},{"dropping-particle":"","family":"Barberis","given":"Stefano","non-dropping-particle":"","parse-names":false,"suffix":""},{"dropping-particle":"","family":"Maccarini","given":"Simone","non-dropping-particle":"","parse-names":false,"suffix":""},{"dropping-particle":"","family":"Traverso","given":"Alberto","non-dropping-particle":"","parse-names":false,"suffix":""}],"container-title":"Renewable and Sustainable Energy Reviews","id":"ITEM-1","issue":"June 2023","issued":{"date-parts":[["2024"]]},"page":"114245","publisher":"Elsevier Ltd","title":"Large scale energy storage systems based on carbon dioxide thermal cycles: A critical review","type":"article-journal","volume":"192"},"uris":["http://www.mendeley.com/documents/?uuid=f228d25f-4d61-4742-bda1-87ffcb9052fd"]}],"mendeley":{"formattedCitation":"&lt;sup&gt;14&lt;/sup&gt;","plainTextFormattedCitation":"14","previouslyFormattedCitation":"&lt;sup&gt;14&lt;/sup&gt;"},"properties":{"noteIndex":0},"schema":"https://github.com/citation-style-language/schema/raw/master/csl-citation.json"}</w:instrText>
            </w:r>
            <w:r>
              <w:rPr>
                <w:rFonts w:ascii="Times New Roman" w:hAnsi="Times New Roman" w:cs="Times New Roman"/>
                <w:sz w:val="20"/>
                <w:szCs w:val="20"/>
              </w:rPr>
              <w:fldChar w:fldCharType="separate"/>
            </w:r>
            <w:r w:rsidRPr="00226444">
              <w:rPr>
                <w:rFonts w:ascii="Times New Roman" w:hAnsi="Times New Roman" w:cs="Times New Roman"/>
                <w:noProof/>
                <w:sz w:val="20"/>
                <w:szCs w:val="20"/>
                <w:vertAlign w:val="superscript"/>
              </w:rPr>
              <w:t>14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{"citationItems":[{"id":"ITEM-1","itemData":{"DOI":"10.1016/j.rser.2025.116133","ISSN":"18790690","abstract":"Thermal energy storage (TES) stands out as a key solution for advancing energy conservation and enhancing system efficiency, especially when paired with local renewable energy sources (RES). As the global shift toward sustainability accelerates, TES technologies hold the potential to play a central role in mitigating the challenges posed by increasing energy demands. However, despite its demonstrated efficacy and promise, TES has not yet achieved widespread adoption. This gap underscores the need for greater collaboration among experts, coupled with initiatives to raise public awareness and enhance education on the benefits and applications of TES. In this review, we take a comprehensive approach to explore the latest developments in TES systems, with a specific focus on their integration with renewable energy and HVAC&amp;R applications. In addition, this review includes a comparative analysis of TES technologies focusing on costs, environmental aspects and selection criteria. This work's main objective is to provide an in-depth analysis of TES technologies and to create a valuable resource for the renewable energy community. To this end, we have compiled a detailed and structured dataset that categorizes TES technologies by type and forms the foundation of a unique, user-friendly database. A key innovation of this review is the creation of a dynamic online platform that offers free and open access to this database. Built using “Looker Studio,” the platform provides a seamless, interactive experience where users can easily search and filter information based on TES type, application, temperature range, efficiency, lifetime, and other relevant parameters. This continuously updated database addresses the long-standing need for a centralized, accessible repository of TES information, offering researchers, industry professionals, and stakeholders a powerful tool for informed decision-making. This novel platform distinguishes our review from previous studies by making the vast landscape of TES technologies not only more accessible but also adaptable to the specific needs of users. By offering this free, searchable resource to the renewable energy community, we aim to facilitate the adoption of TES technologies and support the global transition toward sustainable energy solutions.","author":[{"dropping-particle":"","family":"Vallese","given":"Laura","non-dropping-particle":"","parse-names":false,"suffix":""},{"dropping-particle":"","family":"Javadi","given":"Hossein","non-dropping-particle":"","parse-names":false,"suffix":""},{"dropping-particle":"","family":"Badenes","given":"Borja","non-dropping-particle":"","parse-names":false,"suffix":""},{"dropping-particle":"","family":"Urchueguia","given":"Javier F.","non-dropping-particle":"","parse-names":false,"suffix":""},{"dropping-particle":"","family":"Lombardo","given":"Giulia","non-dropping-particle":"","parse-names":false,"suffix":""},{"dropping-particle":"","family":"Menegazzo","given":"Davide","non-dropping-particle":"","parse-names":false,"suffix":""},{"dropping-particle":"","family":"Ure","given":"Zafer","non-dropping-particle":"","parse-names":false,"suffix":""},{"dropping-particle":"","family":"Cesari","given":"Silvia","non-dropping-particle":"","parse-names":false,"suffix":""},{"dropping-particle":"","family":"Bottarelli","given":"Michele","non-dropping-particle":"","parse-names":false,"suffix":""},{"dropping-particle":"","family":"Baccega","given":"Eleonora","non-dropping-particle":"","parse-names":false,"suffix":""},{"dropping-particle":"","family":"Carli","given":"Michele","non-dropping-particle":"De","parse-names":false,"suffix":""},{"dropping-particle":"","family":"Lopez","given":"Arantza","non-dropping-particle":"","parse-names":false,"suffix":""},{"dropping-particle":"","family":"Sánchez","given":"Beatriz","non-dropping-particle":"","parse-names":false,"suffix":""},{"dropping-particle":"","family":"Mabe","given":"Lara","non-dropping-particle":"","parse-names":false,"suffix":""},{"dropping-particle":"","family":"Aydın","given":"Ahmet Alper","non-dropping-particle":"","parse-names":false,"suffix":""},{"dropping-particle":"","family":"Bobbo","given":"Sergio","non-dropping-particle":"","parse-names":false,"suffix":""},{"dropping-particle":"","family":"Fedele","given":"Laura","non-dropping-particle":"","parse-names":false,"suffix":""}],"container-title":"Renewable and Sustainable Energy Reviews","id":"ITEM-1","issue":"June 2025","issued":{"date-parts":[["2026"]]},"title":"A comprehensive review of thermal energy storage technologies and their applications: Creation of a database","type":"article-journal","volume":"225"},"uris":["http://www.mendeley.com/documents/?uuid=de496726-41b1-4dbe-9b6d-e589d979af10"]}],"mendeley":{"formattedCitation":"&lt;sup&gt;15&lt;/sup&gt;","plainTextFormattedCitation":"15"},"properties":{"noteIndex":0},"schema":"https://github.com/citation-style-language/schema/raw/master/csl-citation.json"}</w:instrText>
            </w:r>
            <w:r>
              <w:rPr>
                <w:rFonts w:ascii="Times New Roman" w:eastAsia="DengXian" w:hAnsi="Times New Roman" w:cs="Times New Roman"/>
                <w:sz w:val="20"/>
                <w:szCs w:val="20"/>
              </w:rPr>
              <w:fldChar w:fldCharType="separate"/>
            </w:r>
            <w:r w:rsidRPr="00404868">
              <w:rPr>
                <w:rFonts w:ascii="Times New Roman" w:eastAsia="DengXian" w:hAnsi="Times New Roman" w:cs="Times New Roman"/>
                <w:noProof/>
                <w:sz w:val="20"/>
                <w:szCs w:val="20"/>
                <w:vertAlign w:val="superscript"/>
              </w:rPr>
              <w:t>15</w:t>
            </w:r>
            <w:r>
              <w:rPr>
                <w:rFonts w:ascii="Times New Roman" w:eastAsia="DengXian" w:hAnsi="Times New Roman" w:cs="Times New Roman"/>
                <w:sz w:val="20"/>
                <w:szCs w:val="20"/>
              </w:rPr>
              <w:fldChar w:fldCharType="end"/>
            </w:r>
          </w:p>
        </w:tc>
        <w:tc>
          <w:tcPr>
            <w:tcW w:w="463" w:type="pct"/>
          </w:tcPr>
          <w:p w14:paraId="47D212E3" w14:textId="38EDEE37" w:rsidR="00AF4560" w:rsidRPr="004F051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hint="eastAsia"/>
                <w:sz w:val="20"/>
                <w:szCs w:val="20"/>
              </w:rPr>
              <w:t>\</w:t>
            </w:r>
          </w:p>
        </w:tc>
        <w:tc>
          <w:tcPr>
            <w:tcW w:w="407" w:type="pct"/>
          </w:tcPr>
          <w:p w14:paraId="612B5D5D" w14:textId="24F9FDD1" w:rsidR="00AF4560" w:rsidRPr="00421553"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n-US" w:eastAsia="zh-TW"/>
                <w14:ligatures w14:val="none"/>
              </w:rPr>
            </w:pPr>
            <w:r>
              <w:rPr>
                <w:rFonts w:ascii="Times New Roman" w:eastAsia="Times New Roman" w:hAnsi="Times New Roman" w:cs="Times New Roman"/>
                <w:color w:val="000000"/>
                <w:kern w:val="0"/>
                <w:sz w:val="20"/>
                <w:szCs w:val="20"/>
                <w:lang w:val="en-US" w:eastAsia="zh-TW"/>
                <w14:ligatures w14:val="none"/>
              </w:rPr>
              <w:t>120</w:t>
            </w:r>
          </w:p>
        </w:tc>
        <w:tc>
          <w:tcPr>
            <w:tcW w:w="356" w:type="pct"/>
          </w:tcPr>
          <w:p w14:paraId="57A99CE3" w14:textId="128498FC" w:rsidR="00AF4560" w:rsidRPr="00C12F6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0.1</w:t>
            </w:r>
          </w:p>
        </w:tc>
        <w:tc>
          <w:tcPr>
            <w:tcW w:w="406" w:type="pct"/>
          </w:tcPr>
          <w:p w14:paraId="699E61A7" w14:textId="1E723B8D" w:rsidR="00AF4560" w:rsidRPr="00C12F6F"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hAnsi="Times New Roman" w:cs="Times New Roman" w:hint="eastAsia"/>
                <w:sz w:val="20"/>
                <w:szCs w:val="20"/>
              </w:rPr>
              <w:t>\</w:t>
            </w:r>
          </w:p>
        </w:tc>
        <w:tc>
          <w:tcPr>
            <w:tcW w:w="428" w:type="pct"/>
          </w:tcPr>
          <w:p w14:paraId="6FED9EA4" w14:textId="1DE6256C" w:rsidR="00AF4560"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color w:val="000000"/>
                <w:kern w:val="0"/>
                <w:sz w:val="20"/>
                <w:szCs w:val="20"/>
                <w14:ligatures w14:val="none"/>
              </w:rPr>
              <w:t>30</w:t>
            </w:r>
            <w:r>
              <w:rPr>
                <w:rFonts w:ascii="Times New Roman" w:hAnsi="Times New Roman" w:cs="Times New Roman" w:hint="eastAsia"/>
                <w:color w:val="000000"/>
                <w:kern w:val="0"/>
                <w:sz w:val="20"/>
                <w:szCs w:val="20"/>
                <w14:ligatures w14:val="none"/>
              </w:rPr>
              <w:t>,</w:t>
            </w:r>
          </w:p>
          <w:p w14:paraId="1E9A8156" w14:textId="09EBE375" w:rsidR="00AF4560" w:rsidRPr="00590B1D" w:rsidRDefault="00AF4560" w:rsidP="00AF45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hint="eastAsia"/>
                <w:color w:val="000000" w:themeColor="text1"/>
                <w:kern w:val="0"/>
                <w:sz w:val="20"/>
                <w:szCs w:val="20"/>
                <w14:ligatures w14:val="none"/>
              </w:rPr>
              <w:t>E/H</w:t>
            </w:r>
          </w:p>
        </w:tc>
      </w:tr>
      <w:tr w:rsidR="00AF4560" w:rsidRPr="004F051F" w14:paraId="04218B41" w14:textId="286085C7" w:rsidTr="0036581C">
        <w:tc>
          <w:tcPr>
            <w:cnfStyle w:val="001000000000" w:firstRow="0" w:lastRow="0" w:firstColumn="1" w:lastColumn="0" w:oddVBand="0" w:evenVBand="0" w:oddHBand="0" w:evenHBand="0" w:firstRowFirstColumn="0" w:firstRowLastColumn="0" w:lastRowFirstColumn="0" w:lastRowLastColumn="0"/>
            <w:tcW w:w="619" w:type="pct"/>
          </w:tcPr>
          <w:p w14:paraId="2868FFC4" w14:textId="3DA42207" w:rsidR="00AF4560" w:rsidRPr="000B002C" w:rsidRDefault="00AF4560" w:rsidP="00AF4560">
            <w:pPr>
              <w:jc w:val="center"/>
              <w:rPr>
                <w:rFonts w:ascii="Times New Roman" w:hAnsi="Times New Roman" w:cs="Times New Roman"/>
                <w:b w:val="0"/>
                <w:color w:val="000000" w:themeColor="text1"/>
                <w:sz w:val="20"/>
                <w:szCs w:val="20"/>
              </w:rPr>
            </w:pPr>
            <w:r w:rsidRPr="000B002C">
              <w:rPr>
                <w:rFonts w:ascii="Times New Roman" w:hAnsi="Times New Roman" w:cs="Times New Roman"/>
                <w:color w:val="000000" w:themeColor="text1"/>
                <w:sz w:val="20"/>
                <w:szCs w:val="20"/>
              </w:rPr>
              <w:t>Thermochemical</w:t>
            </w:r>
            <w:r w:rsidRPr="000B002C">
              <w:rPr>
                <w:rFonts w:ascii="Times New Roman" w:hAnsi="Times New Roman" w:cs="Times New Roman" w:hint="eastAsia"/>
                <w:color w:val="000000" w:themeColor="text1"/>
                <w:sz w:val="20"/>
                <w:szCs w:val="20"/>
              </w:rPr>
              <w:t>-TCM</w:t>
            </w:r>
            <w:r>
              <w:rPr>
                <w:rFonts w:ascii="Times New Roman" w:hAnsi="Times New Roman" w:cs="Times New Roman"/>
                <w:color w:val="000000" w:themeColor="text1"/>
                <w:sz w:val="20"/>
                <w:szCs w:val="20"/>
              </w:rPr>
              <w:t xml:space="preserve"> (CaO/ CaOH2)</w:t>
            </w:r>
          </w:p>
        </w:tc>
        <w:tc>
          <w:tcPr>
            <w:tcW w:w="369" w:type="pct"/>
          </w:tcPr>
          <w:p w14:paraId="5F28D05A" w14:textId="4DCFCA93" w:rsidR="00AF4560" w:rsidRPr="004F051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hint="eastAsia"/>
                <w:sz w:val="20"/>
                <w:szCs w:val="20"/>
              </w:rPr>
              <w:t>0.9</w:t>
            </w:r>
            <w:r>
              <w:rPr>
                <w:rFonts w:ascii="Times New Roman" w:hAnsi="Times New Roman" w:cs="Times New Roman"/>
                <w:sz w:val="20"/>
                <w:szCs w:val="20"/>
              </w:rPr>
              <w:t>5</w:t>
            </w:r>
            <w:r w:rsidRPr="004F051F">
              <w:rPr>
                <w:rFonts w:ascii="Times New Roman" w:hAnsi="Times New Roman" w:cs="Times New Roman"/>
                <w:sz w:val="20"/>
                <w:szCs w:val="20"/>
              </w:rPr>
              <w:t>,</w:t>
            </w:r>
          </w:p>
        </w:tc>
        <w:tc>
          <w:tcPr>
            <w:tcW w:w="369" w:type="pct"/>
          </w:tcPr>
          <w:p w14:paraId="3BCDF7D8" w14:textId="5A0DB797" w:rsidR="00AF4560" w:rsidRPr="004F051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hint="eastAsia"/>
                <w:sz w:val="20"/>
                <w:szCs w:val="20"/>
              </w:rPr>
              <w:t>0.9</w:t>
            </w:r>
            <w:r>
              <w:rPr>
                <w:rFonts w:ascii="Times New Roman" w:hAnsi="Times New Roman" w:cs="Times New Roman"/>
                <w:sz w:val="20"/>
                <w:szCs w:val="20"/>
              </w:rPr>
              <w:t>5</w:t>
            </w:r>
            <w:r w:rsidRPr="004F051F">
              <w:rPr>
                <w:rFonts w:ascii="Times New Roman" w:hAnsi="Times New Roman" w:cs="Times New Roman"/>
                <w:sz w:val="20"/>
                <w:szCs w:val="20"/>
              </w:rPr>
              <w:fldChar w:fldCharType="begin" w:fldLock="1"/>
            </w:r>
            <w:r>
              <w:rPr>
                <w:rFonts w:ascii="Times New Roman" w:hAnsi="Times New Roman" w:cs="Times New Roman"/>
                <w:sz w:val="20"/>
                <w:szCs w:val="20"/>
              </w:rPr>
              <w:instrText xml:space="preserve">ADDIN CSL_CITATION {"citationItems":[{"id":"ITEM-1","itemData":{"DOI":"10.1016/j.enconman.2025.119524","ISSN":"01968904","abstract":"Different storage technologies can offer promising solutions for integrating large amounts of intermittent and variable renewables, in which the liquid air energy storage (LAES) has key advantages, including its high scalability, no geographical constraints, and multi-vector services. This work aims to assess the cost-effective net-zero energy transition pathways for the UK by 2050. A new multi-zone mixed-integer-linear-programming-based energy expansion framework, which can highlight the crucial roles of LAES and other energy storage, was developed to perform the optimal design and operation of energy systems. The scenario and sensitivity analyses revealed the techno-economic performances of different pathways and four key results. First, it showed that a net-zero-carbon power-heat-coupled energy system is feasible in the UK by 2050, with a levelized cost of electricity at 65 </w:instrText>
            </w:r>
            <w:r>
              <w:rPr>
                <w:rFonts w:ascii="Cambria Math" w:hAnsi="Cambria Math" w:cs="Cambria Math"/>
                <w:sz w:val="20"/>
                <w:szCs w:val="20"/>
              </w:rPr>
              <w:instrText>∼</w:instrText>
            </w:r>
            <w:r>
              <w:rPr>
                <w:rFonts w:ascii="Times New Roman" w:hAnsi="Times New Roman" w:cs="Times New Roman"/>
                <w:sz w:val="20"/>
                <w:szCs w:val="20"/>
              </w:rPr>
              <w:instrText xml:space="preserve"> 80 £/MWh, and a levelized cost of heat energy at 45 </w:instrText>
            </w:r>
            <w:r>
              <w:rPr>
                <w:rFonts w:ascii="Cambria Math" w:hAnsi="Cambria Math" w:cs="Cambria Math"/>
                <w:sz w:val="20"/>
                <w:szCs w:val="20"/>
              </w:rPr>
              <w:instrText>∼</w:instrText>
            </w:r>
            <w:r>
              <w:rPr>
                <w:rFonts w:ascii="Times New Roman" w:hAnsi="Times New Roman" w:cs="Times New Roman"/>
                <w:sz w:val="20"/>
                <w:szCs w:val="20"/>
              </w:rPr>
              <w:instrText xml:space="preserve"> 63 £/MWh. The major generators’ expansions are onshore wind power (94.5 GW) and LAES (384 GWh) in the power sector, and the air-source heat pump (</w:instrText>
            </w:r>
            <w:r>
              <w:rPr>
                <w:rFonts w:ascii="Cambria Math" w:hAnsi="Cambria Math" w:cs="Cambria Math"/>
                <w:sz w:val="20"/>
                <w:szCs w:val="20"/>
              </w:rPr>
              <w:instrText>∼</w:instrText>
            </w:r>
            <w:r>
              <w:rPr>
                <w:rFonts w:ascii="Times New Roman" w:hAnsi="Times New Roman" w:cs="Times New Roman"/>
                <w:sz w:val="20"/>
                <w:szCs w:val="20"/>
              </w:rPr>
              <w:instrText xml:space="preserve">80 </w:instrText>
            </w:r>
            <w:r>
              <w:rPr>
                <w:rFonts w:ascii="Cambria Math" w:hAnsi="Cambria Math" w:cs="Cambria Math"/>
                <w:sz w:val="20"/>
                <w:szCs w:val="20"/>
              </w:rPr>
              <w:instrText>∼</w:instrText>
            </w:r>
            <w:r>
              <w:rPr>
                <w:rFonts w:ascii="Times New Roman" w:hAnsi="Times New Roman" w:cs="Times New Roman"/>
                <w:sz w:val="20"/>
                <w:szCs w:val="20"/>
              </w:rPr>
              <w:instrText xml:space="preserve"> 90 GW) and short-term heat storage (330 GWh) in the heat sector. Importantly, it demonstrated the crucial roles of LAES and other energy storage in the UK energy transition from a techno-economic view. Specifically, only </w:instrText>
            </w:r>
            <w:r>
              <w:rPr>
                <w:rFonts w:ascii="Cambria Math" w:hAnsi="Cambria Math" w:cs="Cambria Math"/>
                <w:sz w:val="20"/>
                <w:szCs w:val="20"/>
              </w:rPr>
              <w:instrText>∼</w:instrText>
            </w:r>
            <w:r>
              <w:rPr>
                <w:rFonts w:ascii="Times New Roman" w:hAnsi="Times New Roman" w:cs="Times New Roman"/>
                <w:sz w:val="20"/>
                <w:szCs w:val="20"/>
              </w:rPr>
              <w:instrText xml:space="preserve"> 10–12 % of storage investment can reduce the annual renewable curtailments by more than 80 % and the system annual costs by </w:instrText>
            </w:r>
            <w:r>
              <w:rPr>
                <w:rFonts w:ascii="Cambria Math" w:hAnsi="Cambria Math" w:cs="Cambria Math"/>
                <w:sz w:val="20"/>
                <w:szCs w:val="20"/>
              </w:rPr>
              <w:instrText>∼</w:instrText>
            </w:r>
            <w:r>
              <w:rPr>
                <w:rFonts w:ascii="Times New Roman" w:hAnsi="Times New Roman" w:cs="Times New Roman"/>
                <w:sz w:val="20"/>
                <w:szCs w:val="20"/>
              </w:rPr>
              <w:instrText xml:space="preserve"> 15.1 % − 28 % depending on different scenarios. The optimal capacity ratios of LAES and renewables are </w:instrText>
            </w:r>
            <w:r>
              <w:rPr>
                <w:rFonts w:ascii="Cambria Math" w:hAnsi="Cambria Math" w:cs="Cambria Math"/>
                <w:sz w:val="20"/>
                <w:szCs w:val="20"/>
              </w:rPr>
              <w:instrText>∼</w:instrText>
            </w:r>
            <w:r>
              <w:rPr>
                <w:rFonts w:ascii="Times New Roman" w:hAnsi="Times New Roman" w:cs="Times New Roman"/>
                <w:sz w:val="20"/>
                <w:szCs w:val="20"/>
              </w:rPr>
              <w:instrText xml:space="preserve"> 16 % − 25 % in different zones. The last notable observation suggested that the LAESs with charge durations at 8 </w:instrText>
            </w:r>
            <w:r>
              <w:rPr>
                <w:rFonts w:ascii="Cambria Math" w:hAnsi="Cambria Math" w:cs="Cambria Math"/>
                <w:sz w:val="20"/>
                <w:szCs w:val="20"/>
              </w:rPr>
              <w:instrText>∼</w:instrText>
            </w:r>
            <w:r>
              <w:rPr>
                <w:rFonts w:ascii="Times New Roman" w:hAnsi="Times New Roman" w:cs="Times New Roman"/>
                <w:sz w:val="20"/>
                <w:szCs w:val="20"/>
              </w:rPr>
              <w:instrText xml:space="preserve"> 10 h and discharge durations at 12 </w:instrText>
            </w:r>
            <w:r>
              <w:rPr>
                <w:rFonts w:ascii="Cambria Math" w:hAnsi="Cambria Math" w:cs="Cambria Math"/>
                <w:sz w:val="20"/>
                <w:szCs w:val="20"/>
              </w:rPr>
              <w:instrText>∼</w:instrText>
            </w:r>
            <w:r>
              <w:rPr>
                <w:rFonts w:ascii="Times New Roman" w:hAnsi="Times New Roman" w:cs="Times New Roman"/>
                <w:sz w:val="20"/>
                <w:szCs w:val="20"/>
              </w:rPr>
              <w:instrText xml:space="preserve"> 15 h are more suitable for the wind-dominated case (like the UK) than short-duration batteries (</w:instrText>
            </w:r>
            <w:r>
              <w:rPr>
                <w:rFonts w:ascii="Cambria Math" w:hAnsi="Cambria Math" w:cs="Cambria Math"/>
                <w:sz w:val="20"/>
                <w:szCs w:val="20"/>
              </w:rPr>
              <w:instrText>∼</w:instrText>
            </w:r>
            <w:r>
              <w:rPr>
                <w:rFonts w:ascii="Times New Roman" w:hAnsi="Times New Roman" w:cs="Times New Roman"/>
                <w:sz w:val="20"/>
                <w:szCs w:val="20"/>
              </w:rPr>
              <w:instrText>4/5h). Overall, the developed energy expansion framework can facilitate the planning of conventional energy and storage technologies to absorb renewable energies, and the meaningful results can provide policymakers with enlightening views about developing policies relating to achieving carbon mitigation ambitions.","author":[{"dropping-particle":"","family":"Liang","given":"Ting","non-dropping-particle":"","parse-names":false,"suffix":""},{"dropping-particle":"","family":"Li","given":"Yongliang","non-dropping-particle":"","parse-names":false,"suffix":""},{"dropping-particle":"","family":"Nie","given":"Binjian","non-dropping-particle":"","parse-names":false,"suffix":""},{"dropping-particle":"","family":"Ahmad","given":"Abdalqader","non-dropping-particle":"","parse-names":false,"suffix":""},{"dropping-particle":"","family":"Ding","given":"Yulong","non-dropping-particle":"","parse-names":false,"suffix":""}],"container-title":"Energy Conversion and Management","id":"ITEM-1","issue":"January","issued":{"date-parts":[["2025"]]},"page":"119524","publisher":"Elsevier Ltd","title":"Achieving a net-zero-carbon energy system in the UK by 2050 with liquid air energy storage","type":"article-journal","volume":"327"},"uris":["http://www.mendeley.com/documents/?uuid=4ac0f14e-72fa-4444-9b47-b47ff2da9ebb"]}],"mendeley":{"formattedCitation":"&lt;sup&gt;4&lt;/sup&gt;","plainTextFormattedCitation":"4","previouslyFormattedCitation":"&lt;sup&gt;4&lt;/sup&gt;"},"properties":{"noteIndex":0},"schema":"https://github.com/citation-style-language/schema/raw/master/csl-citation.json"}</w:instrText>
            </w:r>
            <w:r w:rsidRPr="004F051F">
              <w:rPr>
                <w:rFonts w:ascii="Times New Roman" w:hAnsi="Times New Roman" w:cs="Times New Roman"/>
                <w:sz w:val="20"/>
                <w:szCs w:val="20"/>
              </w:rPr>
              <w:fldChar w:fldCharType="separate"/>
            </w:r>
            <w:r w:rsidRPr="00243124">
              <w:rPr>
                <w:rFonts w:ascii="Times New Roman" w:hAnsi="Times New Roman" w:cs="Times New Roman"/>
                <w:noProof/>
                <w:sz w:val="20"/>
                <w:szCs w:val="20"/>
                <w:vertAlign w:val="superscript"/>
              </w:rPr>
              <w:t>4</w:t>
            </w:r>
            <w:r w:rsidRPr="004F051F">
              <w:rPr>
                <w:rFonts w:ascii="Times New Roman" w:hAnsi="Times New Roman" w:cs="Times New Roman"/>
                <w:sz w:val="20"/>
                <w:szCs w:val="20"/>
              </w:rPr>
              <w:fldChar w:fldCharType="end"/>
            </w:r>
            <w:r w:rsidRPr="004F051F">
              <w:rPr>
                <w:rFonts w:ascii="Times New Roman" w:hAnsi="Times New Roman" w:cs="Times New Roman"/>
                <w:sz w:val="20"/>
                <w:szCs w:val="20"/>
              </w:rPr>
              <w:t>,</w:t>
            </w:r>
          </w:p>
        </w:tc>
        <w:tc>
          <w:tcPr>
            <w:tcW w:w="422" w:type="pct"/>
          </w:tcPr>
          <w:p w14:paraId="67A9E991" w14:textId="4212552C" w:rsidR="00AF4560"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hAnsi="Times New Roman" w:cs="Times New Roman"/>
                <w:sz w:val="20"/>
                <w:szCs w:val="20"/>
              </w:rPr>
              <w:t>0</w:t>
            </w:r>
          </w:p>
        </w:tc>
        <w:tc>
          <w:tcPr>
            <w:tcW w:w="307" w:type="pct"/>
          </w:tcPr>
          <w:p w14:paraId="7C72402E" w14:textId="2E4087F1" w:rsidR="00AF4560" w:rsidRPr="004F051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hint="eastAsia"/>
                <w:sz w:val="20"/>
                <w:szCs w:val="20"/>
              </w:rPr>
            </w:pPr>
            <w:r>
              <w:rPr>
                <w:rFonts w:ascii="Times New Roman" w:hAnsi="Times New Roman" w:cs="Times New Roman" w:hint="eastAsia"/>
                <w:sz w:val="20"/>
                <w:szCs w:val="20"/>
              </w:rPr>
              <w:t>\</w:t>
            </w:r>
          </w:p>
        </w:tc>
        <w:tc>
          <w:tcPr>
            <w:tcW w:w="453" w:type="pct"/>
          </w:tcPr>
          <w:p w14:paraId="4615231D" w14:textId="0F9E935B" w:rsidR="00AF4560" w:rsidRPr="004F051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hint="eastAsia"/>
                <w:sz w:val="20"/>
                <w:szCs w:val="20"/>
              </w:rPr>
              <w:t>\</w:t>
            </w:r>
          </w:p>
        </w:tc>
        <w:tc>
          <w:tcPr>
            <w:tcW w:w="401" w:type="pct"/>
          </w:tcPr>
          <w:p w14:paraId="33F0F9DC" w14:textId="577BD2A3" w:rsidR="00AF4560" w:rsidRPr="004F051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0"/>
                <w:szCs w:val="20"/>
              </w:rPr>
            </w:pPr>
            <w:r>
              <w:rPr>
                <w:rFonts w:ascii="Times New Roman" w:eastAsia="DengXian" w:hAnsi="Times New Roman" w:cs="Times New Roman"/>
                <w:sz w:val="20"/>
                <w:szCs w:val="20"/>
              </w:rPr>
              <w:t>41</w:t>
            </w:r>
            <w:r>
              <w:rPr>
                <w:rFonts w:ascii="Times New Roman" w:eastAsia="DengXian" w:hAnsi="Times New Roman" w:cs="Times New Roman"/>
                <w:sz w:val="20"/>
                <w:szCs w:val="20"/>
              </w:rPr>
              <w:fldChar w:fldCharType="begin" w:fldLock="1"/>
            </w:r>
            <w:r>
              <w:rPr>
                <w:rFonts w:ascii="Times New Roman" w:eastAsia="DengXian" w:hAnsi="Times New Roman" w:cs="Times New Roman"/>
                <w:sz w:val="20"/>
                <w:szCs w:val="20"/>
              </w:rPr>
              <w:instrText>ADDIN CSL_CITATION {"citationItems":[{"id":"ITEM-1","itemData":{"DOI":"10.1016/j.rser.2025.116133","ISSN":"18790690","abstract":"Thermal energy storage (TES) stands out as a key solution for advancing energy conservation and enhancing system efficiency, especially when paired with local renewable energy sources (RES). As the global shift toward sustainability accelerates, TES technologies hold the potential to play a central role in mitigating the challenges posed by increasing energy demands. However, despite its demonstrated efficacy and promise, TES has not yet achieved widespread adoption. This gap underscores the need for greater collaboration among experts, coupled with initiatives to raise public awareness and enhance education on the benefits and applications of TES. In this review, we take a comprehensive approach to explore the latest developments in TES systems, with a specific focus on their integration with renewable energy and HVAC&amp;R applications. In addition, this review includes a comparative analysis of TES technologies focusing on costs, environmental aspects and selection criteria. This work's main objective is to provide an in-depth analysis of TES technologies and to create a valuable resource for the renewable energy community. To this end, we have compiled a detailed and structured dataset that categorizes TES technologies by type and forms the foundation of a unique, user-friendly database. A key innovation of this review is the creation of a dynamic online platform that offers free and open access to this database. Built using “Looker Studio,” the platform provides a seamless, interactive experience where users can easily search and filter information based on TES type, application, temperature range, efficiency, lifetime, and other relevant parameters. This continuously updated database addresses the long-standing need for a centralized, accessible repository of TES information, offering researchers, industry professionals, and stakeholders a powerful tool for informed decision-making. This novel platform distinguishes our review from previous studies by making the vast landscape of TES technologies not only more accessible but also adaptable to the specific needs of users. By offering this free, searchable resource to the renewable energy community, we aim to facilitate the adoption of TES technologies and support the global transition toward sustainable energy solutions.","author":[{"dropping-particle":"","family":"Vallese","given":"Laura","non-dropping-particle":"","parse-names":false,"suffix":""},{"dropping-particle":"","family":"Javadi","given":"Hossein","non-dropping-particle":"","parse-names":false,"suffix":""},{"dropping-particle":"","family":"Badenes","given":"Borja","non-dropping-particle":"","parse-names":false,"suffix":""},{"dropping-particle":"","family":"Urchueguia","given":"Javier F.","non-dropping-particle":"","parse-names":false,"suffix":""},{"dropping-particle":"","family":"Lombardo","given":"Giulia","non-dropping-particle":"","parse-names":false,"suffix":""},{"dropping-particle":"","family":"Menegazzo","given":"Davide","non-dropping-particle":"","parse-names":false,"suffix":""},{"dropping-particle":"","family":"Ure","given":"Zafer","non-dropping-particle":"","parse-names":false,"suffix":""},{"dropping-particle":"","family":"Cesari","given":"Silvia","non-dropping-particle":"","parse-names":false,"suffix":""},{"dropping-particle":"","family":"Bottarelli","given":"Michele","non-dropping-particle":"","parse-names":false,"suffix":""},{"dropping-particle":"","family":"Baccega","given":"Eleonora","non-dropping-particle":"","parse-names":false,"suffix":""},{"dropping-particle":"","family":"Carli","given":"Michele","non-dropping-particle":"De","parse-names":false,"suffix":""},{"dropping-particle":"","family":"Lopez","given":"Arantza","non-dropping-particle":"","parse-names":false,"suffix":""},{"dropping-particle":"","family":"Sánchez","given":"Beatriz","non-dropping-particle":"","parse-names":false,"suffix":""},{"dropping-particle":"","family":"Mabe","given":"Lara","non-dropping-particle":"","parse-names":false,"suffix":""},{"dropping-particle":"","family":"Aydın","given":"Ahmet Alper","non-dropping-particle":"","parse-names":false,"suffix":""},{"dropping-particle":"","family":"Bobbo","given":"Sergio","non-dropping-particle":"","parse-names":false,"suffix":""},{"dropping-particle":"","family":"Fedele","given":"Laura","non-dropping-particle":"","parse-names":false,"suffix":""}],"container-title":"Renewable and Sustainable Energy Reviews","id":"ITEM-1","issue":"June 2025","issued":{"date-parts":[["2026"]]},"title":"A comprehensive review of thermal energy storage technologies and their applications: Creation of a database","type":"article-journal","volume":"225"},"uris":["http://www.mendeley.com/documents/?uuid=de496726-41b1-4dbe-9b6d-e589d979af10"]}],"mendeley":{"formattedCitation":"&lt;sup&gt;15&lt;/sup&gt;","plainTextFormattedCitation":"15"},"properties":{"noteIndex":0},"schema":"https://github.com/citation-style-language/schema/raw/master/csl-citation.json"}</w:instrText>
            </w:r>
            <w:r>
              <w:rPr>
                <w:rFonts w:ascii="Times New Roman" w:eastAsia="DengXian" w:hAnsi="Times New Roman" w:cs="Times New Roman"/>
                <w:sz w:val="20"/>
                <w:szCs w:val="20"/>
              </w:rPr>
              <w:fldChar w:fldCharType="separate"/>
            </w:r>
            <w:r w:rsidRPr="00404868">
              <w:rPr>
                <w:rFonts w:ascii="Times New Roman" w:eastAsia="DengXian" w:hAnsi="Times New Roman" w:cs="Times New Roman"/>
                <w:noProof/>
                <w:sz w:val="20"/>
                <w:szCs w:val="20"/>
                <w:vertAlign w:val="superscript"/>
              </w:rPr>
              <w:t>15</w:t>
            </w:r>
            <w:r>
              <w:rPr>
                <w:rFonts w:ascii="Times New Roman" w:eastAsia="DengXian" w:hAnsi="Times New Roman" w:cs="Times New Roman"/>
                <w:sz w:val="20"/>
                <w:szCs w:val="20"/>
              </w:rPr>
              <w:fldChar w:fldCharType="end"/>
            </w:r>
          </w:p>
        </w:tc>
        <w:tc>
          <w:tcPr>
            <w:tcW w:w="463" w:type="pct"/>
          </w:tcPr>
          <w:p w14:paraId="3EAE3D18" w14:textId="02243330" w:rsidR="00AF4560" w:rsidRPr="004F051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20"/>
                <w:szCs w:val="20"/>
              </w:rPr>
            </w:pPr>
            <w:r>
              <w:rPr>
                <w:rFonts w:ascii="Times New Roman" w:hAnsi="Times New Roman" w:cs="Times New Roman" w:hint="eastAsia"/>
                <w:sz w:val="20"/>
                <w:szCs w:val="20"/>
              </w:rPr>
              <w:t>\</w:t>
            </w:r>
          </w:p>
        </w:tc>
        <w:tc>
          <w:tcPr>
            <w:tcW w:w="407" w:type="pct"/>
          </w:tcPr>
          <w:p w14:paraId="3D6AA932" w14:textId="11F9FDDF" w:rsidR="00AF4560" w:rsidRPr="00C12F6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25</w:t>
            </w:r>
          </w:p>
        </w:tc>
        <w:tc>
          <w:tcPr>
            <w:tcW w:w="356" w:type="pct"/>
          </w:tcPr>
          <w:p w14:paraId="3FE9B716" w14:textId="2C486C55" w:rsidR="00AF4560" w:rsidRPr="00C12F6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0.1</w:t>
            </w:r>
          </w:p>
        </w:tc>
        <w:tc>
          <w:tcPr>
            <w:tcW w:w="406" w:type="pct"/>
          </w:tcPr>
          <w:p w14:paraId="521F6A21" w14:textId="1F635D07" w:rsidR="00AF4560" w:rsidRPr="00C12F6F"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hAnsi="Times New Roman" w:cs="Times New Roman" w:hint="eastAsia"/>
                <w:sz w:val="20"/>
                <w:szCs w:val="20"/>
              </w:rPr>
              <w:t>\</w:t>
            </w:r>
          </w:p>
        </w:tc>
        <w:tc>
          <w:tcPr>
            <w:tcW w:w="428" w:type="pct"/>
          </w:tcPr>
          <w:p w14:paraId="3A3669F9" w14:textId="448BD72A" w:rsidR="00AF4560"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hint="eastAsia"/>
                <w:color w:val="000000"/>
                <w:kern w:val="0"/>
                <w:sz w:val="20"/>
                <w:szCs w:val="20"/>
                <w14:ligatures w14:val="none"/>
              </w:rPr>
              <w:t>2</w:t>
            </w:r>
            <w:r>
              <w:rPr>
                <w:rFonts w:ascii="Times New Roman" w:hAnsi="Times New Roman" w:cs="Times New Roman"/>
                <w:color w:val="000000"/>
                <w:kern w:val="0"/>
                <w:sz w:val="20"/>
                <w:szCs w:val="20"/>
                <w14:ligatures w14:val="none"/>
              </w:rPr>
              <w:t>5</w:t>
            </w:r>
            <w:r>
              <w:rPr>
                <w:rFonts w:ascii="Times New Roman" w:hAnsi="Times New Roman" w:cs="Times New Roman" w:hint="eastAsia"/>
                <w:color w:val="000000"/>
                <w:kern w:val="0"/>
                <w:sz w:val="20"/>
                <w:szCs w:val="20"/>
                <w14:ligatures w14:val="none"/>
              </w:rPr>
              <w:t>,</w:t>
            </w:r>
          </w:p>
          <w:p w14:paraId="19F8EC5A" w14:textId="548C4F38" w:rsidR="00AF4560" w:rsidRPr="00590B1D" w:rsidRDefault="00AF4560" w:rsidP="00AF45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hint="eastAsia"/>
                <w:color w:val="000000" w:themeColor="text1"/>
                <w:kern w:val="0"/>
                <w:sz w:val="20"/>
                <w:szCs w:val="20"/>
                <w14:ligatures w14:val="none"/>
              </w:rPr>
              <w:t>E/H</w:t>
            </w:r>
          </w:p>
        </w:tc>
      </w:tr>
    </w:tbl>
    <w:p w14:paraId="145C74D4" w14:textId="77777777" w:rsidR="0027552C" w:rsidRPr="004F051F" w:rsidRDefault="0027552C" w:rsidP="0027552C">
      <w:pPr>
        <w:rPr>
          <w:rFonts w:ascii="Times New Roman" w:hAnsi="Times New Roman" w:cs="Times New Roman"/>
          <w:b/>
          <w:bCs/>
        </w:rPr>
      </w:pPr>
      <w:r w:rsidRPr="004F051F">
        <w:rPr>
          <w:rFonts w:ascii="Times New Roman" w:hAnsi="Times New Roman" w:cs="Times New Roman"/>
          <w:b/>
          <w:bCs/>
        </w:rPr>
        <w:t>Notes:</w:t>
      </w:r>
    </w:p>
    <w:p w14:paraId="39FA9526" w14:textId="0FC3DD7B" w:rsidR="0027552C" w:rsidRPr="004F051F" w:rsidRDefault="0027552C" w:rsidP="0027552C">
      <w:pPr>
        <w:pStyle w:val="ListParagraph"/>
        <w:numPr>
          <w:ilvl w:val="0"/>
          <w:numId w:val="1"/>
        </w:numPr>
        <w:rPr>
          <w:rFonts w:ascii="Times New Roman" w:hAnsi="Times New Roman" w:cs="Times New Roman"/>
        </w:rPr>
      </w:pPr>
      <w:r w:rsidRPr="004F051F">
        <w:rPr>
          <w:rFonts w:ascii="Times New Roman" w:hAnsi="Times New Roman" w:cs="Times New Roman"/>
        </w:rPr>
        <w:t>In the work</w:t>
      </w:r>
      <w:r w:rsidRPr="004F051F">
        <w:rPr>
          <w:rFonts w:ascii="Times New Roman" w:eastAsia="DengXian" w:hAnsi="Times New Roman" w:cs="Times New Roman"/>
          <w:sz w:val="20"/>
          <w:szCs w:val="20"/>
        </w:rPr>
        <w:fldChar w:fldCharType="begin" w:fldLock="1"/>
      </w:r>
      <w:r w:rsidR="00404868">
        <w:rPr>
          <w:rFonts w:ascii="Times New Roman" w:eastAsia="DengXian" w:hAnsi="Times New Roman" w:cs="Times New Roman"/>
          <w:sz w:val="20"/>
          <w:szCs w:val="20"/>
        </w:rPr>
        <w:instrText>ADDIN CSL_CITATION {"citationItems":[{"id":"ITEM-1","itemData":{"ISBN":"9781782526704","abstract":"This policy briefing considers the role large-scale electricity storage will need to play in a GB electricity system supplied largely by wind and solar. The analysis of the amount and type of storage that will be needed allows for baseload nuclear power or gas with CCS. Ultimately, the optimum mix will depend on costs, security and sovereignty of supply and the level of carbon and methane emissions considered acceptable. Resilient planning assumptions will need to be made to reach net zero by 2050 cost effectively.","author":[{"dropping-particle":"","family":"Smith","given":"Chris Llewellyn","non-dropping-particle":"","parse-names":false,"suffix":""}],"id":"ITEM-1","issued":{"date-parts":[["2023"]]},"title":"Large-scale electricity storage policy briefing","type":"book"},"uris":["http://www.mendeley.com/documents/?uuid=20d9c2e8-71f1-4879-a860-b559be383563"]}],"mendeley":{"formattedCitation":"&lt;sup&gt;13&lt;/sup&gt;","plainTextFormattedCitation":"13","previouslyFormattedCitation":"&lt;sup&gt;13&lt;/sup&gt;"},"properties":{"noteIndex":0},"schema":"https://github.com/citation-style-language/schema/raw/master/csl-citation.json"}</w:instrText>
      </w:r>
      <w:r w:rsidRPr="004F051F">
        <w:rPr>
          <w:rFonts w:ascii="Times New Roman" w:eastAsia="DengXian" w:hAnsi="Times New Roman" w:cs="Times New Roman"/>
          <w:sz w:val="20"/>
          <w:szCs w:val="20"/>
        </w:rPr>
        <w:fldChar w:fldCharType="separate"/>
      </w:r>
      <w:r w:rsidR="00226444" w:rsidRPr="00226444">
        <w:rPr>
          <w:rFonts w:ascii="Times New Roman" w:eastAsia="DengXian" w:hAnsi="Times New Roman" w:cs="Times New Roman"/>
          <w:noProof/>
          <w:sz w:val="20"/>
          <w:szCs w:val="20"/>
          <w:vertAlign w:val="superscript"/>
        </w:rPr>
        <w:t>13</w:t>
      </w:r>
      <w:r w:rsidRPr="004F051F">
        <w:rPr>
          <w:rFonts w:ascii="Times New Roman" w:eastAsia="DengXian" w:hAnsi="Times New Roman" w:cs="Times New Roman"/>
          <w:sz w:val="20"/>
          <w:szCs w:val="20"/>
        </w:rPr>
        <w:fldChar w:fldCharType="end"/>
      </w:r>
      <w:r w:rsidRPr="004F051F">
        <w:rPr>
          <w:rFonts w:ascii="Times New Roman" w:hAnsi="Times New Roman" w:cs="Times New Roman"/>
        </w:rPr>
        <w:t xml:space="preserve">, the average cost of electricity fed into the grid by hydrogen storage ranges from £52/MWh to £92/MWh. OPEX of hydrogen storage and CAES are assumed as and 1.5% and 4% of CPAEX. </w:t>
      </w:r>
    </w:p>
    <w:p w14:paraId="5D38AC1E" w14:textId="2E78B4BE" w:rsidR="0027552C" w:rsidRDefault="0027552C" w:rsidP="0027552C">
      <w:pPr>
        <w:pStyle w:val="ListParagraph"/>
        <w:numPr>
          <w:ilvl w:val="0"/>
          <w:numId w:val="1"/>
        </w:numPr>
        <w:rPr>
          <w:rFonts w:ascii="Times New Roman" w:hAnsi="Times New Roman" w:cs="Times New Roman"/>
        </w:rPr>
      </w:pPr>
      <w:r w:rsidRPr="004F051F">
        <w:rPr>
          <w:rFonts w:ascii="Times New Roman" w:hAnsi="Times New Roman" w:cs="Times New Roman"/>
        </w:rPr>
        <w:t xml:space="preserve">CAES has a typical construction time of three years, 95% availability, and 99% reliability at starting time </w:t>
      </w:r>
      <w:r w:rsidRPr="004F051F">
        <w:rPr>
          <w:rFonts w:ascii="Times New Roman" w:hAnsi="Times New Roman" w:cs="Times New Roman"/>
        </w:rPr>
        <w:fldChar w:fldCharType="begin" w:fldLock="1"/>
      </w:r>
      <w:r w:rsidR="00404868">
        <w:rPr>
          <w:rFonts w:ascii="Times New Roman" w:hAnsi="Times New Roman" w:cs="Times New Roman"/>
        </w:rPr>
        <w:instrText>ADDIN CSL_CITATION {"citationItems":[{"id":"ITEM-1","itemData":{"DOI":"10.1016/j.rser.2014.10.011","ISSN":"18790690","abstract":"Large-scale deployment of intermittent renewable energy (namely wind energy and solar PV) may entail new challenges in power systems and more volatility in power prices in liberalized electricity markets. Energy storage can diminish this imbalance, relieving the grid congestion, and promoting distributed generation. The economic implications of grid-scale electrical energy storage technologies are however obscure for the experts, power grid operators, regulators, and power producers. A meticulous technoeconomic or cost-benefit analysis of electricity storage systems requires consistent, updated cost data and a holistic cost analysis framework. To this end, this study critically examines the existing literature in the analysis of life cycle costs of utility-scale electricity storage systems, providing an updated database for the cost elements (capital costs, operational and maintenance costs, and replacement costs). Moreover, life cycle costs and levelized cost of electricity delivered by electrical energy storage is analyzed, employing Monte Carlo method to consider uncertainties. The examined energy storage technologies include pumped hydropower storage, compressed air energy storage (CAES), flywheel, electrochemical batteries (e.g. lead-acid, NaS, Li-ion, and Ni-Cd), flow batteries (e.g. vanadium-redox), superconducting magnetic energy storage, supercapacitors, and hydrogen energy storage (power to gas technologies). The results illustrate the economy of different storage systems for three main applications: bulk energy storage, T&amp;D support services, and frequency regulation.","author":[{"dropping-particle":"","family":"Zakeri","given":"Behnam","non-dropping-particle":"","parse-names":false,"suffix":""},{"dropping-particle":"","family":"Syri","given":"Sanna","non-dropping-particle":"","parse-names":false,"suffix":""}],"container-title":"Renewable and Sustainable Energy Reviews","id":"ITEM-1","issued":{"date-parts":[["2015"]]},"page":"569-596","publisher":"Elsevier","title":"Electrical energy storage systems: A comparative life cycle cost analysis","type":"article-journal","volume":"42"},"uris":["http://www.mendeley.com/documents/?uuid=9dd5fca1-10f8-4756-8ae1-9d397b7eb5a9"]}],"mendeley":{"formattedCitation":"&lt;sup&gt;16&lt;/sup&gt;","plainTextFormattedCitation":"16","previouslyFormattedCitation":"&lt;sup&gt;15&lt;/sup&gt;"},"properties":{"noteIndex":0},"schema":"https://github.com/citation-style-language/schema/raw/master/csl-citation.json"}</w:instrText>
      </w:r>
      <w:r w:rsidRPr="004F051F">
        <w:rPr>
          <w:rFonts w:ascii="Times New Roman" w:hAnsi="Times New Roman" w:cs="Times New Roman"/>
        </w:rPr>
        <w:fldChar w:fldCharType="separate"/>
      </w:r>
      <w:r w:rsidR="00404868" w:rsidRPr="00404868">
        <w:rPr>
          <w:rFonts w:ascii="Times New Roman" w:hAnsi="Times New Roman" w:cs="Times New Roman"/>
          <w:noProof/>
          <w:vertAlign w:val="superscript"/>
        </w:rPr>
        <w:t>16</w:t>
      </w:r>
      <w:r w:rsidRPr="004F051F">
        <w:rPr>
          <w:rFonts w:ascii="Times New Roman" w:hAnsi="Times New Roman" w:cs="Times New Roman"/>
        </w:rPr>
        <w:fldChar w:fldCharType="end"/>
      </w:r>
      <w:r w:rsidRPr="004F051F">
        <w:rPr>
          <w:rFonts w:ascii="Times New Roman" w:hAnsi="Times New Roman" w:cs="Times New Roman"/>
        </w:rPr>
        <w:t>.</w:t>
      </w:r>
    </w:p>
    <w:p w14:paraId="08308A30" w14:textId="77777777" w:rsidR="004B1321" w:rsidRDefault="004B1321" w:rsidP="00F87029">
      <w:pPr>
        <w:rPr>
          <w:rFonts w:ascii="Times New Roman" w:hAnsi="Times New Roman" w:cs="Times New Roman"/>
        </w:rPr>
      </w:pPr>
    </w:p>
    <w:p w14:paraId="4B1E2757" w14:textId="77777777" w:rsidR="00F87029" w:rsidRDefault="00F87029" w:rsidP="00F87029">
      <w:pPr>
        <w:rPr>
          <w:rFonts w:ascii="Times New Roman" w:hAnsi="Times New Roman" w:cs="Times New Roman"/>
        </w:rPr>
      </w:pPr>
    </w:p>
    <w:p w14:paraId="1FF45101" w14:textId="77777777" w:rsidR="00F87029" w:rsidRDefault="00F87029" w:rsidP="00F87029">
      <w:pPr>
        <w:rPr>
          <w:rFonts w:ascii="Times New Roman" w:hAnsi="Times New Roman" w:cs="Times New Roman"/>
        </w:rPr>
      </w:pPr>
    </w:p>
    <w:p w14:paraId="6FB46937" w14:textId="77777777" w:rsidR="00F87029" w:rsidRDefault="00F87029" w:rsidP="00F87029">
      <w:pPr>
        <w:rPr>
          <w:rFonts w:ascii="Times New Roman" w:hAnsi="Times New Roman" w:cs="Times New Roman"/>
        </w:rPr>
        <w:sectPr w:rsidR="00F87029" w:rsidSect="009933E7">
          <w:pgSz w:w="16838" w:h="11906" w:orient="landscape"/>
          <w:pgMar w:top="1440" w:right="1440" w:bottom="1440" w:left="1440" w:header="708" w:footer="708" w:gutter="0"/>
          <w:cols w:space="708"/>
          <w:docGrid w:linePitch="360"/>
        </w:sectPr>
      </w:pPr>
    </w:p>
    <w:p w14:paraId="4539C1CA" w14:textId="4F4AA27D" w:rsidR="0027552C" w:rsidRDefault="00086CA5">
      <w:pPr>
        <w:rPr>
          <w:rFonts w:ascii="Times New Roman" w:hAnsi="Times New Roman" w:cs="Times New Roman"/>
          <w:b/>
          <w:bCs/>
        </w:rPr>
      </w:pPr>
      <w:r>
        <w:rPr>
          <w:rFonts w:ascii="Times New Roman" w:hAnsi="Times New Roman" w:cs="Times New Roman" w:hint="eastAsia"/>
          <w:b/>
          <w:bCs/>
        </w:rPr>
        <w:lastRenderedPageBreak/>
        <w:t xml:space="preserve">Table </w:t>
      </w:r>
      <w:r w:rsidR="00D0363A">
        <w:rPr>
          <w:rFonts w:ascii="Times New Roman" w:hAnsi="Times New Roman" w:cs="Times New Roman" w:hint="eastAsia"/>
          <w:b/>
          <w:bCs/>
        </w:rPr>
        <w:t>3</w:t>
      </w:r>
      <w:r>
        <w:rPr>
          <w:rFonts w:ascii="Times New Roman" w:hAnsi="Times New Roman" w:cs="Times New Roman" w:hint="eastAsia"/>
          <w:b/>
          <w:bCs/>
        </w:rPr>
        <w:t xml:space="preserve"> TEA of Key ESS</w:t>
      </w:r>
      <w:r w:rsidRPr="001448B9">
        <w:rPr>
          <w:rFonts w:ascii="Times New Roman" w:hAnsi="Times New Roman" w:cs="Times New Roman"/>
          <w:b/>
          <w:bCs/>
        </w:rPr>
        <w:t xml:space="preserve"> </w:t>
      </w:r>
      <w:r>
        <w:rPr>
          <w:rFonts w:ascii="Times New Roman" w:hAnsi="Times New Roman" w:cs="Times New Roman" w:hint="eastAsia"/>
          <w:b/>
          <w:bCs/>
        </w:rPr>
        <w:t>for modelling</w:t>
      </w:r>
      <w:r w:rsidR="00D96525">
        <w:rPr>
          <w:rFonts w:ascii="Times New Roman" w:hAnsi="Times New Roman" w:cs="Times New Roman"/>
          <w:b/>
          <w:bCs/>
        </w:rPr>
        <w:t xml:space="preserve"> - 2030</w:t>
      </w:r>
    </w:p>
    <w:tbl>
      <w:tblPr>
        <w:tblStyle w:val="GridTable4-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5"/>
        <w:gridCol w:w="1632"/>
        <w:gridCol w:w="1870"/>
        <w:gridCol w:w="1822"/>
        <w:gridCol w:w="1024"/>
        <w:gridCol w:w="1201"/>
        <w:gridCol w:w="1051"/>
        <w:gridCol w:w="1043"/>
        <w:gridCol w:w="2480"/>
      </w:tblGrid>
      <w:tr w:rsidR="000C0181" w:rsidRPr="000B002C" w14:paraId="589784F4" w14:textId="77777777" w:rsidTr="000C0181">
        <w:trPr>
          <w:cnfStyle w:val="100000000000" w:firstRow="1" w:lastRow="0" w:firstColumn="0" w:lastColumn="0" w:oddVBand="0" w:evenVBand="0" w:oddHBand="0"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FFFFFF" w:themeFill="background1"/>
            <w:hideMark/>
          </w:tcPr>
          <w:p w14:paraId="7CEF9DD9" w14:textId="77777777" w:rsidR="000C0181" w:rsidRPr="000B002C" w:rsidRDefault="000C0181" w:rsidP="000C0181">
            <w:pPr>
              <w:jc w:val="center"/>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Energy Storage Technologies</w:t>
            </w:r>
          </w:p>
        </w:tc>
        <w:tc>
          <w:tcPr>
            <w:tcW w:w="0" w:type="auto"/>
            <w:tcBorders>
              <w:top w:val="none" w:sz="0" w:space="0" w:color="auto"/>
              <w:left w:val="none" w:sz="0" w:space="0" w:color="auto"/>
              <w:bottom w:val="none" w:sz="0" w:space="0" w:color="auto"/>
              <w:right w:val="none" w:sz="0" w:space="0" w:color="auto"/>
            </w:tcBorders>
            <w:shd w:val="clear" w:color="auto" w:fill="FFFFFF" w:themeFill="background1"/>
            <w:hideMark/>
          </w:tcPr>
          <w:p w14:paraId="0F877D1B" w14:textId="77777777" w:rsidR="000C0181" w:rsidRPr="000B002C" w:rsidRDefault="000C0181" w:rsidP="000C01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Energy density (kWh/m</w:t>
            </w:r>
            <w:r w:rsidRPr="000B002C">
              <w:rPr>
                <w:rFonts w:ascii="Times New Roman" w:eastAsia="Times New Roman" w:hAnsi="Times New Roman" w:cs="Times New Roman"/>
                <w:color w:val="000000" w:themeColor="text1"/>
                <w:kern w:val="0"/>
                <w:sz w:val="20"/>
                <w:szCs w:val="20"/>
                <w:vertAlign w:val="superscript"/>
                <w14:ligatures w14:val="none"/>
              </w:rPr>
              <w:t>3</w:t>
            </w:r>
            <w:r w:rsidRPr="000B002C">
              <w:rPr>
                <w:rFonts w:ascii="Times New Roman" w:eastAsia="Times New Roman" w:hAnsi="Times New Roman" w:cs="Times New Roman"/>
                <w:color w:val="000000" w:themeColor="text1"/>
                <w:kern w:val="0"/>
                <w:sz w:val="20"/>
                <w:szCs w:val="20"/>
                <w14:ligatures w14:val="none"/>
              </w:rPr>
              <w:t>)</w:t>
            </w:r>
          </w:p>
        </w:tc>
        <w:tc>
          <w:tcPr>
            <w:tcW w:w="1870" w:type="dxa"/>
            <w:tcBorders>
              <w:top w:val="none" w:sz="0" w:space="0" w:color="auto"/>
              <w:left w:val="none" w:sz="0" w:space="0" w:color="auto"/>
              <w:bottom w:val="none" w:sz="0" w:space="0" w:color="auto"/>
              <w:right w:val="none" w:sz="0" w:space="0" w:color="auto"/>
            </w:tcBorders>
            <w:shd w:val="clear" w:color="auto" w:fill="FFFFFF" w:themeFill="background1"/>
          </w:tcPr>
          <w:p w14:paraId="770CF780" w14:textId="77777777" w:rsidR="000C0181" w:rsidRPr="000B002C" w:rsidRDefault="000C0181" w:rsidP="000C01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LCOS-power</w:t>
            </w:r>
          </w:p>
          <w:p w14:paraId="1F1311DC" w14:textId="477FF0AC" w:rsidR="000C0181" w:rsidRPr="000B002C" w:rsidRDefault="000C0181" w:rsidP="000C01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$/kW</w:t>
            </w:r>
          </w:p>
        </w:tc>
        <w:tc>
          <w:tcPr>
            <w:tcW w:w="1748" w:type="dxa"/>
            <w:tcBorders>
              <w:top w:val="none" w:sz="0" w:space="0" w:color="auto"/>
              <w:left w:val="none" w:sz="0" w:space="0" w:color="auto"/>
              <w:bottom w:val="none" w:sz="0" w:space="0" w:color="auto"/>
              <w:right w:val="none" w:sz="0" w:space="0" w:color="auto"/>
            </w:tcBorders>
            <w:shd w:val="clear" w:color="auto" w:fill="FFFFFF" w:themeFill="background1"/>
          </w:tcPr>
          <w:p w14:paraId="28357689" w14:textId="59AD6708" w:rsidR="000C0181" w:rsidRPr="000B002C" w:rsidRDefault="000C0181" w:rsidP="000C01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LCOS-energy $/kWh</w:t>
            </w:r>
          </w:p>
        </w:tc>
        <w:tc>
          <w:tcPr>
            <w:tcW w:w="0" w:type="auto"/>
            <w:tcBorders>
              <w:top w:val="none" w:sz="0" w:space="0" w:color="auto"/>
              <w:left w:val="none" w:sz="0" w:space="0" w:color="auto"/>
              <w:bottom w:val="none" w:sz="0" w:space="0" w:color="auto"/>
              <w:right w:val="none" w:sz="0" w:space="0" w:color="auto"/>
            </w:tcBorders>
            <w:shd w:val="clear" w:color="auto" w:fill="FFFFFF" w:themeFill="background1"/>
          </w:tcPr>
          <w:p w14:paraId="6A38D71F" w14:textId="09CE823B" w:rsidR="000C0181" w:rsidRPr="000B002C" w:rsidRDefault="000C0181" w:rsidP="000C01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0"/>
                <w:szCs w:val="20"/>
                <w14:ligatures w14:val="none"/>
              </w:rPr>
            </w:pPr>
            <w:r>
              <w:rPr>
                <w:rFonts w:ascii="Times New Roman" w:hAnsi="Times New Roman" w:cs="Times New Roman" w:hint="eastAsia"/>
                <w:color w:val="000000" w:themeColor="text1"/>
                <w:kern w:val="0"/>
                <w:sz w:val="20"/>
                <w:szCs w:val="20"/>
                <w14:ligatures w14:val="none"/>
              </w:rPr>
              <w:t>Rated c</w:t>
            </w:r>
            <w:r w:rsidRPr="000B002C">
              <w:rPr>
                <w:rFonts w:ascii="Times New Roman" w:hAnsi="Times New Roman" w:cs="Times New Roman" w:hint="eastAsia"/>
                <w:color w:val="000000" w:themeColor="text1"/>
                <w:kern w:val="0"/>
                <w:sz w:val="20"/>
                <w:szCs w:val="20"/>
                <w14:ligatures w14:val="none"/>
              </w:rPr>
              <w:t>harge hours/h</w:t>
            </w:r>
          </w:p>
        </w:tc>
        <w:tc>
          <w:tcPr>
            <w:tcW w:w="0" w:type="auto"/>
            <w:tcBorders>
              <w:top w:val="none" w:sz="0" w:space="0" w:color="auto"/>
              <w:left w:val="none" w:sz="0" w:space="0" w:color="auto"/>
              <w:bottom w:val="none" w:sz="0" w:space="0" w:color="auto"/>
              <w:right w:val="none" w:sz="0" w:space="0" w:color="auto"/>
            </w:tcBorders>
            <w:shd w:val="clear" w:color="auto" w:fill="FFFFFF" w:themeFill="background1"/>
          </w:tcPr>
          <w:p w14:paraId="21A1B2AE" w14:textId="2D21489B" w:rsidR="000C0181" w:rsidRPr="000B002C" w:rsidRDefault="000C0181" w:rsidP="000C01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0"/>
                <w:szCs w:val="20"/>
                <w14:ligatures w14:val="none"/>
              </w:rPr>
            </w:pPr>
            <w:r>
              <w:rPr>
                <w:rFonts w:ascii="Times New Roman" w:hAnsi="Times New Roman" w:cs="Times New Roman" w:hint="eastAsia"/>
                <w:color w:val="000000" w:themeColor="text1"/>
                <w:kern w:val="0"/>
                <w:sz w:val="20"/>
                <w:szCs w:val="20"/>
                <w14:ligatures w14:val="none"/>
              </w:rPr>
              <w:t>Rated</w:t>
            </w:r>
            <w:r w:rsidRPr="000B002C">
              <w:rPr>
                <w:rFonts w:ascii="Times New Roman" w:hAnsi="Times New Roman" w:cs="Times New Roman" w:hint="eastAsia"/>
                <w:color w:val="000000" w:themeColor="text1"/>
                <w:kern w:val="0"/>
                <w:sz w:val="20"/>
                <w:szCs w:val="20"/>
                <w14:ligatures w14:val="none"/>
              </w:rPr>
              <w:t xml:space="preserve"> </w:t>
            </w:r>
            <w:r>
              <w:rPr>
                <w:rFonts w:ascii="Times New Roman" w:hAnsi="Times New Roman" w:cs="Times New Roman" w:hint="eastAsia"/>
                <w:color w:val="000000" w:themeColor="text1"/>
                <w:kern w:val="0"/>
                <w:sz w:val="20"/>
                <w:szCs w:val="20"/>
                <w14:ligatures w14:val="none"/>
              </w:rPr>
              <w:t>disc</w:t>
            </w:r>
            <w:r w:rsidRPr="000B002C">
              <w:rPr>
                <w:rFonts w:ascii="Times New Roman" w:hAnsi="Times New Roman" w:cs="Times New Roman" w:hint="eastAsia"/>
                <w:color w:val="000000" w:themeColor="text1"/>
                <w:kern w:val="0"/>
                <w:sz w:val="20"/>
                <w:szCs w:val="20"/>
                <w14:ligatures w14:val="none"/>
              </w:rPr>
              <w:t>harge hours/h</w:t>
            </w:r>
          </w:p>
        </w:tc>
        <w:tc>
          <w:tcPr>
            <w:tcW w:w="0" w:type="auto"/>
            <w:tcBorders>
              <w:top w:val="none" w:sz="0" w:space="0" w:color="auto"/>
              <w:left w:val="none" w:sz="0" w:space="0" w:color="auto"/>
              <w:bottom w:val="none" w:sz="0" w:space="0" w:color="auto"/>
              <w:right w:val="none" w:sz="0" w:space="0" w:color="auto"/>
            </w:tcBorders>
            <w:shd w:val="clear" w:color="auto" w:fill="FFFFFF" w:themeFill="background1"/>
            <w:hideMark/>
          </w:tcPr>
          <w:p w14:paraId="53507EB3" w14:textId="77777777" w:rsidR="000C0181" w:rsidRPr="000B002C" w:rsidRDefault="000C0181" w:rsidP="000C01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Storage duration</w:t>
            </w:r>
          </w:p>
        </w:tc>
        <w:tc>
          <w:tcPr>
            <w:tcW w:w="0" w:type="auto"/>
            <w:tcBorders>
              <w:top w:val="none" w:sz="0" w:space="0" w:color="auto"/>
              <w:left w:val="none" w:sz="0" w:space="0" w:color="auto"/>
              <w:bottom w:val="none" w:sz="0" w:space="0" w:color="auto"/>
              <w:right w:val="none" w:sz="0" w:space="0" w:color="auto"/>
            </w:tcBorders>
            <w:shd w:val="clear" w:color="auto" w:fill="FFFFFF" w:themeFill="background1"/>
            <w:hideMark/>
          </w:tcPr>
          <w:p w14:paraId="5219696D" w14:textId="03226C8F" w:rsidR="000C0181" w:rsidRPr="000B002C" w:rsidRDefault="000C0181" w:rsidP="000C01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Lifespan (years)</w:t>
            </w:r>
          </w:p>
        </w:tc>
        <w:tc>
          <w:tcPr>
            <w:tcW w:w="0" w:type="auto"/>
            <w:tcBorders>
              <w:top w:val="none" w:sz="0" w:space="0" w:color="auto"/>
              <w:left w:val="none" w:sz="0" w:space="0" w:color="auto"/>
              <w:bottom w:val="none" w:sz="0" w:space="0" w:color="auto"/>
              <w:right w:val="none" w:sz="0" w:space="0" w:color="auto"/>
            </w:tcBorders>
            <w:shd w:val="clear" w:color="auto" w:fill="FFFFFF" w:themeFill="background1"/>
            <w:hideMark/>
          </w:tcPr>
          <w:p w14:paraId="62BF585E" w14:textId="77777777" w:rsidR="000C0181" w:rsidRDefault="000C0181" w:rsidP="000C01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kern w:val="0"/>
                <w:sz w:val="20"/>
                <w:szCs w:val="20"/>
                <w14:ligatures w14:val="none"/>
              </w:rPr>
            </w:pPr>
            <w:r w:rsidRPr="000C0181">
              <w:rPr>
                <w:rFonts w:ascii="Times New Roman" w:hAnsi="Times New Roman" w:cs="Times New Roman" w:hint="eastAsia"/>
                <w:color w:val="000000" w:themeColor="text1"/>
                <w:kern w:val="0"/>
                <w:sz w:val="20"/>
                <w:szCs w:val="20"/>
                <w14:ligatures w14:val="none"/>
              </w:rPr>
              <w:t>TRL</w:t>
            </w:r>
          </w:p>
          <w:p w14:paraId="33EE509E" w14:textId="6875BD66" w:rsidR="000C0181" w:rsidRPr="000C0181" w:rsidRDefault="000C0181" w:rsidP="000C01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20"/>
                <w:szCs w:val="20"/>
                <w14:ligatures w14:val="none"/>
              </w:rPr>
            </w:pPr>
            <w:r w:rsidRPr="000B002C">
              <w:rPr>
                <w:rFonts w:ascii="Times New Roman" w:hAnsi="Times New Roman" w:cs="Times New Roman" w:hint="eastAsia"/>
                <w:color w:val="000000" w:themeColor="text1"/>
                <w:kern w:val="0"/>
                <w:sz w:val="20"/>
                <w:szCs w:val="20"/>
                <w14:ligatures w14:val="none"/>
              </w:rPr>
              <w:t>Charge hours/h</w:t>
            </w:r>
          </w:p>
        </w:tc>
      </w:tr>
      <w:tr w:rsidR="000C0181" w:rsidRPr="00C12F6F" w14:paraId="487202DE" w14:textId="77777777" w:rsidTr="000C0181">
        <w:trPr>
          <w:cnfStyle w:val="000000100000" w:firstRow="0" w:lastRow="0" w:firstColumn="0" w:lastColumn="0" w:oddVBand="0" w:evenVBand="0" w:oddHBand="1" w:evenHBand="0" w:firstRowFirstColumn="0" w:firstRowLastColumn="0" w:lastRowFirstColumn="0" w:lastRowLastColumn="0"/>
          <w:trHeight w:val="1768"/>
        </w:trPr>
        <w:tc>
          <w:tcPr>
            <w:cnfStyle w:val="001000000000" w:firstRow="0" w:lastRow="0" w:firstColumn="1" w:lastColumn="0" w:oddVBand="0" w:evenVBand="0" w:oddHBand="0" w:evenHBand="0" w:firstRowFirstColumn="0" w:firstRowLastColumn="0" w:lastRowFirstColumn="0" w:lastRowLastColumn="0"/>
            <w:tcW w:w="0" w:type="auto"/>
            <w:hideMark/>
          </w:tcPr>
          <w:p w14:paraId="0A7DCC23" w14:textId="77777777" w:rsidR="000C0181" w:rsidRPr="000B002C" w:rsidRDefault="000C0181" w:rsidP="000C0181">
            <w:pPr>
              <w:jc w:val="center"/>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Compressed air energy storage</w:t>
            </w:r>
            <w:r w:rsidRPr="000B002C">
              <w:rPr>
                <w:rFonts w:ascii="Times New Roman" w:eastAsia="Times New Roman" w:hAnsi="Times New Roman" w:cs="Times New Roman"/>
                <w:color w:val="000000" w:themeColor="text1"/>
                <w:kern w:val="0"/>
                <w:sz w:val="20"/>
                <w:szCs w:val="20"/>
                <w:vertAlign w:val="superscript"/>
                <w14:ligatures w14:val="none"/>
              </w:rPr>
              <w:t>5</w:t>
            </w:r>
          </w:p>
        </w:tc>
        <w:tc>
          <w:tcPr>
            <w:tcW w:w="0" w:type="auto"/>
            <w:hideMark/>
          </w:tcPr>
          <w:p w14:paraId="170D1264" w14:textId="2C7EFFF8"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 xml:space="preserve">3 - 15 </w:t>
            </w:r>
            <w:r w:rsidRPr="00C12F6F">
              <w:rPr>
                <w:rFonts w:ascii="Times New Roman" w:eastAsia="Times New Roman" w:hAnsi="Times New Roman" w:cs="Times New Roman"/>
                <w:color w:val="000000"/>
                <w:kern w:val="0"/>
                <w:sz w:val="20"/>
                <w:szCs w:val="20"/>
                <w:lang w:eastAsia="zh-TW"/>
                <w14:ligatures w14:val="none"/>
              </w:rPr>
              <w:br/>
              <w:t>0.5- 20</w:t>
            </w:r>
            <w:r w:rsidRPr="00C12F6F">
              <w:rPr>
                <w:rFonts w:ascii="Times New Roman" w:eastAsia="Times New Roman" w:hAnsi="Times New Roman" w:cs="Times New Roman"/>
                <w:color w:val="000000"/>
                <w:kern w:val="0"/>
                <w:sz w:val="20"/>
                <w:szCs w:val="20"/>
                <w:lang w:eastAsia="zh-TW"/>
                <w14:ligatures w14:val="none"/>
              </w:rPr>
              <w:br/>
              <w:t xml:space="preserve">3 </w:t>
            </w:r>
            <w:r>
              <w:rPr>
                <w:rFonts w:ascii="Times New Roman" w:eastAsia="Times New Roman" w:hAnsi="Times New Roman" w:cs="Times New Roman"/>
                <w:color w:val="000000"/>
                <w:kern w:val="0"/>
                <w:sz w:val="20"/>
                <w:szCs w:val="20"/>
                <w:lang w:eastAsia="zh-TW"/>
                <w14:ligatures w14:val="none"/>
              </w:rPr>
              <w:t>–</w:t>
            </w:r>
            <w:r w:rsidRPr="00C12F6F">
              <w:rPr>
                <w:rFonts w:ascii="Times New Roman" w:eastAsia="Times New Roman" w:hAnsi="Times New Roman" w:cs="Times New Roman"/>
                <w:color w:val="000000"/>
                <w:kern w:val="0"/>
                <w:sz w:val="20"/>
                <w:szCs w:val="20"/>
                <w:lang w:eastAsia="zh-TW"/>
                <w14:ligatures w14:val="none"/>
              </w:rPr>
              <w:t xml:space="preserve"> 6</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{"citationItems":[{"id":"ITEM-1","itemData":{"DOI":"10.1016/j.est.2019.101047","ISSN":"2352152X","abstract":"Energy storage technologies, including storage types, categorizations and comparisons, are critically reviewed. Most energy storage technologies are considered, including electrochemical and battery energy storage, thermal energy storage, thermochemical energy storage, flywheel energy storage, compressed air energy storage, pumped energy storage, magnetic energy storage, chemical and hydrogen energy storage. Recent research on new energy storage types as well as important advances and developments in energy storage, are also included throughout.","author":[{"dropping-particle":"","family":"Koohi-Fayegh","given":"S.","non-dropping-particle":"","parse-names":false,"suffix":""},{"dropping-particle":"","family":"Rosen","given":"M. A.","non-dropping-particle":"","parse-names":false,"suffix":""}],"container-title":"Journal of Energy Storage","id":"ITEM-1","issued":{"date-parts":[["2020","2"]]},"page":"101047","publisher":"Elsevier Ltd","title":"A review of energy storage types, applications and recent developments","type":"article","volume":"27"},"uris":["http://www.mendeley.com/documents/?uuid=46a0d9d3-d899-4fd8-8dd4-2559ecf51078"]}],"mendeley":{"formattedCitation":"&lt;sup&gt;17&lt;/sup&gt;","plainTextFormattedCitation":"17","previouslyFormattedCitation":"&lt;sup&gt;16&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17</w:t>
            </w:r>
            <w:r>
              <w:rPr>
                <w:rFonts w:ascii="Times New Roman" w:eastAsia="Times New Roman" w:hAnsi="Times New Roman" w:cs="Times New Roman"/>
                <w:color w:val="000000"/>
                <w:kern w:val="0"/>
                <w:sz w:val="20"/>
                <w:szCs w:val="20"/>
                <w:lang w:eastAsia="zh-TW"/>
                <w14:ligatures w14:val="none"/>
              </w:rPr>
              <w:fldChar w:fldCharType="end"/>
            </w:r>
            <w:r>
              <w:rPr>
                <w:rFonts w:ascii="Times New Roman" w:hAnsi="Times New Roman" w:cs="Times New Roman" w:hint="eastAsia"/>
                <w:color w:val="000000"/>
                <w:kern w:val="0"/>
                <w:sz w:val="20"/>
                <w:szCs w:val="20"/>
                <w14:ligatures w14:val="none"/>
              </w:rPr>
              <w:t>, 2.9</w:t>
            </w:r>
            <w:r>
              <w:rPr>
                <w:rFonts w:ascii="Times New Roman" w:hAnsi="Times New Roman" w:cs="Times New Roman"/>
                <w:color w:val="000000"/>
                <w:kern w:val="0"/>
                <w:sz w:val="20"/>
                <w:szCs w:val="20"/>
                <w14:ligatures w14:val="none"/>
              </w:rPr>
              <w:fldChar w:fldCharType="begin" w:fldLock="1"/>
            </w:r>
            <w:r w:rsidR="00404868">
              <w:rPr>
                <w:rFonts w:ascii="Times New Roman" w:hAnsi="Times New Roman" w:cs="Times New Roman"/>
                <w:color w:val="000000"/>
                <w:kern w:val="0"/>
                <w:sz w:val="20"/>
                <w:szCs w:val="20"/>
                <w14:ligatures w14:val="none"/>
              </w:rPr>
              <w:instrText>ADDIN CSL_CITATION {"citationItems":[{"id":"ITEM-1","itemData":{"DOI":"10.1016/j.rser.2017.07.062","ISSN":"18790690","abstract":"A review of more than 60 studies (plus more than 65 studies on P2G) on power and energy models based on simulation and optimization was done. Based on these, for power systems with up to 95% renewables, the electricity storage size is found to be below 1.5% of the annual demand (in energy terms). While for 100% renewables energy systems (power, heat, mobility), it can remain below 6% of the annual energy demand. Combination of sectors and diverting the electricity to another sector can play a large role in reducing the storage size. From the potential alternatives to satisfy this demand, pumped hydro storage (PHS) global potential is not enough and new technologies with a higher energy density are needed. Hydrogen, with more than 250 times the energy density of PHS is a potential option to satisfy the storage need. However, changes needed in infrastructure to deal with high hydrogen content and the suitability of salt caverns for its storage can pose limitations for this technology. Power to Gas (P2G) arises as possible alternative overcoming both the facilities and the energy density issues. The global storage requirement would represent only 2% of the global annual natural gas production or 10% of the gas storage facilities (in energy equivalent). The more options considered to deal with intermittent sources, the lower the storage requirement will be. Therefore, future studies aiming to quantify storage needs should focus on the entire energy system including technology vectors (e.g. Power to Heat, Liquid, Gas, Chemicals) to avoid overestimating the amount of storage needed.","author":[{"dropping-particle":"","family":"Blanco","given":"Herib","non-dropping-particle":"","parse-names":false,"suffix":""},{"dropping-particle":"","family":"Faaij","given":"André","non-dropping-particle":"","parse-names":false,"suffix":""}],"container-title":"Renewable and Sustainable Energy Reviews","id":"ITEM-1","issue":"May 2017","issued":{"date-parts":[["2018"]]},"page":"1049-1086","publisher":"Elsevier Ltd","title":"A review at the role of storage in energy systems with a focus on Power to Gas and long-term storage","type":"article-journal","volume":"81"},"uris":["http://www.mendeley.com/documents/?uuid=fbe9906d-a343-4e2d-b4a6-891c6b8d0bda"]}],"mendeley":{"formattedCitation":"&lt;sup&gt;18&lt;/sup&gt;","plainTextFormattedCitation":"18","previouslyFormattedCitation":"&lt;sup&gt;17&lt;/sup&gt;"},"properties":{"noteIndex":0},"schema":"https://github.com/citation-style-language/schema/raw/master/csl-citation.json"}</w:instrText>
            </w:r>
            <w:r>
              <w:rPr>
                <w:rFonts w:ascii="Times New Roman" w:hAnsi="Times New Roman" w:cs="Times New Roman"/>
                <w:color w:val="000000"/>
                <w:kern w:val="0"/>
                <w:sz w:val="20"/>
                <w:szCs w:val="20"/>
                <w14:ligatures w14:val="none"/>
              </w:rPr>
              <w:fldChar w:fldCharType="separate"/>
            </w:r>
            <w:r w:rsidR="00404868" w:rsidRPr="00404868">
              <w:rPr>
                <w:rFonts w:ascii="Times New Roman" w:hAnsi="Times New Roman" w:cs="Times New Roman"/>
                <w:noProof/>
                <w:color w:val="000000"/>
                <w:kern w:val="0"/>
                <w:sz w:val="20"/>
                <w:szCs w:val="20"/>
                <w:vertAlign w:val="superscript"/>
                <w14:ligatures w14:val="none"/>
              </w:rPr>
              <w:t>18</w:t>
            </w:r>
            <w:r>
              <w:rPr>
                <w:rFonts w:ascii="Times New Roman" w:hAnsi="Times New Roman" w:cs="Times New Roman"/>
                <w:color w:val="000000"/>
                <w:kern w:val="0"/>
                <w:sz w:val="20"/>
                <w:szCs w:val="20"/>
                <w14:ligatures w14:val="none"/>
              </w:rPr>
              <w:fldChar w:fldCharType="end"/>
            </w:r>
            <w:r>
              <w:rPr>
                <w:rFonts w:ascii="Times New Roman" w:hAnsi="Times New Roman" w:cs="Times New Roman" w:hint="eastAsia"/>
                <w:color w:val="000000"/>
                <w:kern w:val="0"/>
                <w:sz w:val="20"/>
                <w:szCs w:val="20"/>
                <w14:ligatures w14:val="none"/>
              </w:rPr>
              <w:t>,</w:t>
            </w:r>
          </w:p>
        </w:tc>
        <w:tc>
          <w:tcPr>
            <w:tcW w:w="1870" w:type="dxa"/>
          </w:tcPr>
          <w:p w14:paraId="6C568EF8" w14:textId="77777777"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1,047-1,481</w:t>
            </w:r>
            <w:r w:rsidRPr="00C12F6F">
              <w:rPr>
                <w:rFonts w:ascii="Times New Roman" w:eastAsia="Times New Roman" w:hAnsi="Times New Roman" w:cs="Times New Roman"/>
                <w:color w:val="000000"/>
                <w:kern w:val="0"/>
                <w:sz w:val="20"/>
                <w:szCs w:val="20"/>
                <w:lang w:eastAsia="zh-TW"/>
                <w14:ligatures w14:val="none"/>
              </w:rPr>
              <w:br/>
              <w:t>970-1,200</w:t>
            </w:r>
            <w:r>
              <w:rPr>
                <w:rFonts w:ascii="Times New Roman" w:hAnsi="Times New Roman" w:cs="Times New Roman" w:hint="eastAsia"/>
                <w:color w:val="000000"/>
                <w:kern w:val="0"/>
                <w:sz w:val="20"/>
                <w:szCs w:val="20"/>
                <w14:ligatures w14:val="none"/>
              </w:rPr>
              <w:t xml:space="preserve">, </w:t>
            </w:r>
            <w:r w:rsidRPr="00C12F6F">
              <w:rPr>
                <w:rFonts w:ascii="Times New Roman" w:eastAsia="Times New Roman" w:hAnsi="Times New Roman" w:cs="Times New Roman"/>
                <w:color w:val="000000"/>
                <w:kern w:val="0"/>
                <w:sz w:val="20"/>
                <w:szCs w:val="20"/>
                <w:lang w:eastAsia="zh-TW"/>
                <w14:ligatures w14:val="none"/>
              </w:rPr>
              <w:t>893-1315€/kW2,</w:t>
            </w:r>
          </w:p>
          <w:p w14:paraId="6B87383A" w14:textId="67BC1F9B" w:rsidR="00780008" w:rsidRPr="00780008" w:rsidRDefault="000C0181" w:rsidP="0078000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hint="eastAsia"/>
                <w:color w:val="000000"/>
                <w:kern w:val="0"/>
                <w:sz w:val="20"/>
                <w:szCs w:val="20"/>
                <w14:ligatures w14:val="none"/>
              </w:rPr>
              <w:t>1600-2300</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{"citationItems":[{"id":"ITEM-1","itemData":{"abstract":"This report defines and evaluatescost and performance parameters of six battery energy storage technologies (BESS)(lithium-ion batteries, lead-acid batteries, redox flow batteries, sodium-sulfur batteries, sodium metal halide batteries,and zinc-hybrid cathode batteries) and four non-BESS storage technologies (pumped storage hydropower, flywheels, compressed air energy storage, and ultracapacitors).Data for combustion turbines are also presented. Cost information was procured for the most recent year for which data were available based on an extensive literature review, conversations with vendors and stakeholders, and summaries of actual costs provided from specific projects at sites across the United States. Detailed cost and performance estimates were presented for 2018 and projected out to 2025.","author":[{"dropping-particle":"","family":"Mongird","given":"K","non-dropping-particle":"","parse-names":false,"suffix":""},{"dropping-particle":"","family":"Viswanathan","given":"V","non-dropping-particle":"","parse-names":false,"suffix":""},{"dropping-particle":"","family":"Balducci","given":"P","non-dropping-particle":"","parse-names":false,"suffix":""},{"dropping-particle":"","family":"Alam","given":"J","non-dropping-particle":"","parse-names":false,"suffix":""},{"dropping-particle":"","family":"Fotedar","given":"V","non-dropping-particle":"","parse-names":false,"suffix":""},{"dropping-particle":"","family":"Koritarov","given":"V","non-dropping-particle":"","parse-names":false,"suffix":""},{"dropping-particle":"","family":"Hadjerioua","given":"B","non-dropping-particle":"","parse-names":false,"suffix":""}],"container-title":"US Department of Energy","id":"ITEM-1","issue":"July","issued":{"date-parts":[["2019"]]},"page":"1-120","title":"Energy Storage Technology and Cost Characterization Report | Department of Energy","type":"article-journal"},"uris":["http://www.mendeley.com/documents/?uuid=d3c2ad72-063f-4b91-8d93-0b7dfb306830"]}],"mendeley":{"formattedCitation":"&lt;sup&gt;19&lt;/sup&gt;","plainTextFormattedCitation":"19","previouslyFormattedCitation":"&lt;sup&gt;18&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19</w:t>
            </w:r>
            <w:r>
              <w:rPr>
                <w:rFonts w:ascii="Times New Roman" w:eastAsia="Times New Roman" w:hAnsi="Times New Roman" w:cs="Times New Roman"/>
                <w:color w:val="000000"/>
                <w:kern w:val="0"/>
                <w:sz w:val="20"/>
                <w:szCs w:val="20"/>
                <w:lang w:eastAsia="zh-TW"/>
                <w14:ligatures w14:val="none"/>
              </w:rPr>
              <w:fldChar w:fldCharType="end"/>
            </w:r>
            <w:r>
              <w:rPr>
                <w:rFonts w:ascii="Times New Roman" w:hAnsi="Times New Roman" w:cs="Times New Roman" w:hint="eastAsia"/>
                <w:color w:val="000000"/>
                <w:kern w:val="0"/>
                <w:sz w:val="20"/>
                <w:szCs w:val="20"/>
                <w14:ligatures w14:val="none"/>
              </w:rPr>
              <w:t>, 1669</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{"citationItems":[{"id":"ITEM-1","itemData":{"abstract":"This report defines and evaluatescost and performance parameters of six battery energy storage technologies (BESS)(lithium-ion batteries, lead-acid batteries, redox flow batteries, sodium-sulfur batteries, sodium metal halide batteries,and zinc-hybrid cathode batteries) and four non-BESS storage technologies (pumped storage hydropower, flywheels, compressed air energy storage, and ultracapacitors).Data for combustion turbines are also presented. Cost information was procured for the most recent year for which data were available based on an extensive literature review, conversations with vendors and stakeholders, and summaries of actual costs provided from specific projects at sites across the United States. Detailed cost and performance estimates were presented for 2018 and projected out to 2025.","author":[{"dropping-particle":"","family":"Mongird","given":"K","non-dropping-particle":"","parse-names":false,"suffix":""},{"dropping-particle":"","family":"Viswanathan","given":"V","non-dropping-particle":"","parse-names":false,"suffix":""},{"dropping-particle":"","family":"Balducci","given":"P","non-dropping-particle":"","parse-names":false,"suffix":""},{"dropping-particle":"","family":"Alam","given":"J","non-dropping-particle":"","parse-names":false,"suffix":""},{"dropping-particle":"","family":"Fotedar","given":"V","non-dropping-particle":"","parse-names":false,"suffix":""},{"dropping-particle":"","family":"Koritarov","given":"V","non-dropping-particle":"","parse-names":false,"suffix":""},{"dropping-particle":"","family":"Hadjerioua","given":"B","non-dropping-particle":"","parse-names":false,"suffix":""}],"container-title":"US Department of Energy","id":"ITEM-1","issue":"July","issued":{"date-parts":[["2019"]]},"page":"1-120","title":"Energy Storage Technology and Cost Characterization Report | Department of Energy","type":"article-journal"},"uris":["http://www.mendeley.com/documents/?uuid=d3c2ad72-063f-4b91-8d93-0b7dfb306830"]}],"mendeley":{"formattedCitation":"&lt;sup&gt;19&lt;/sup&gt;","plainTextFormattedCitation":"19","previouslyFormattedCitation":"&lt;sup&gt;18&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19</w:t>
            </w:r>
            <w:r>
              <w:rPr>
                <w:rFonts w:ascii="Times New Roman" w:eastAsia="Times New Roman" w:hAnsi="Times New Roman" w:cs="Times New Roman"/>
                <w:color w:val="000000"/>
                <w:kern w:val="0"/>
                <w:sz w:val="20"/>
                <w:szCs w:val="20"/>
                <w:lang w:eastAsia="zh-TW"/>
                <w14:ligatures w14:val="none"/>
              </w:rPr>
              <w:fldChar w:fldCharType="end"/>
            </w:r>
            <w:r>
              <w:rPr>
                <w:rFonts w:ascii="Times New Roman" w:hAnsi="Times New Roman" w:cs="Times New Roman" w:hint="eastAsia"/>
                <w:color w:val="000000"/>
                <w:kern w:val="0"/>
                <w:sz w:val="20"/>
                <w:szCs w:val="20"/>
                <w14:ligatures w14:val="none"/>
              </w:rPr>
              <w:t>(2017),</w:t>
            </w:r>
            <w:r w:rsidR="00780008">
              <w:rPr>
                <w:rFonts w:ascii="Times New Roman" w:hAnsi="Times New Roman" w:cs="Times New Roman"/>
                <w:color w:val="000000"/>
                <w:kern w:val="0"/>
                <w:sz w:val="20"/>
                <w:szCs w:val="20"/>
                <w14:ligatures w14:val="none"/>
              </w:rPr>
              <w:t xml:space="preserve"> 1381</w:t>
            </w:r>
            <w:r w:rsidR="00780008">
              <w:rPr>
                <w:rFonts w:ascii="Times New Roman" w:eastAsia="DengXian" w:hAnsi="Times New Roman" w:cs="Times New Roman"/>
                <w:sz w:val="20"/>
                <w:szCs w:val="20"/>
              </w:rPr>
              <w:fldChar w:fldCharType="begin" w:fldLock="1"/>
            </w:r>
            <w:r w:rsidR="00B04B53">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sidR="00780008">
              <w:rPr>
                <w:rFonts w:ascii="Times New Roman" w:eastAsia="DengXian" w:hAnsi="Times New Roman" w:cs="Times New Roman"/>
                <w:sz w:val="20"/>
                <w:szCs w:val="20"/>
              </w:rPr>
              <w:fldChar w:fldCharType="separate"/>
            </w:r>
            <w:r w:rsidR="00243124" w:rsidRPr="00243124">
              <w:rPr>
                <w:rFonts w:ascii="Times New Roman" w:eastAsia="DengXian" w:hAnsi="Times New Roman" w:cs="Times New Roman"/>
                <w:noProof/>
                <w:sz w:val="20"/>
                <w:szCs w:val="20"/>
                <w:vertAlign w:val="superscript"/>
              </w:rPr>
              <w:t>2</w:t>
            </w:r>
            <w:r w:rsidR="00780008">
              <w:rPr>
                <w:rFonts w:ascii="Times New Roman" w:eastAsia="DengXian" w:hAnsi="Times New Roman" w:cs="Times New Roman"/>
                <w:sz w:val="20"/>
                <w:szCs w:val="20"/>
              </w:rPr>
              <w:fldChar w:fldCharType="end"/>
            </w:r>
            <w:r w:rsidR="00780008">
              <w:rPr>
                <w:rFonts w:ascii="Times New Roman" w:hAnsi="Times New Roman" w:cs="Times New Roman"/>
                <w:color w:val="000000"/>
                <w:kern w:val="0"/>
                <w:sz w:val="20"/>
                <w:szCs w:val="20"/>
                <w14:ligatures w14:val="none"/>
              </w:rPr>
              <w:t>,</w:t>
            </w:r>
          </w:p>
        </w:tc>
        <w:tc>
          <w:tcPr>
            <w:tcW w:w="1748" w:type="dxa"/>
          </w:tcPr>
          <w:p w14:paraId="57E5CEF1" w14:textId="77777777"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4-50</w:t>
            </w:r>
            <w:r w:rsidRPr="00C12F6F">
              <w:rPr>
                <w:rFonts w:ascii="Times New Roman" w:eastAsia="Times New Roman" w:hAnsi="Times New Roman" w:cs="Times New Roman"/>
                <w:color w:val="000000"/>
                <w:kern w:val="0"/>
                <w:sz w:val="20"/>
                <w:szCs w:val="20"/>
                <w:lang w:eastAsia="zh-TW"/>
                <w14:ligatures w14:val="none"/>
              </w:rPr>
              <w:br/>
              <w:t>20-220, 40(above ground)-109(underground)2,</w:t>
            </w:r>
          </w:p>
          <w:p w14:paraId="0F81B796" w14:textId="63FE1C10"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hAnsi="Times New Roman" w:cs="Times New Roman" w:hint="eastAsia"/>
                <w:color w:val="000000"/>
                <w:kern w:val="0"/>
                <w:sz w:val="20"/>
                <w:szCs w:val="20"/>
                <w14:ligatures w14:val="none"/>
              </w:rPr>
              <w:t>43-162</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{"citationItems":[{"id":"ITEM-1","itemData":{"abstract":"This report defines and evaluatescost and performance parameters of six battery energy storage technologies (BESS)(lithium-ion batteries, lead-acid batteries, redox flow batteries, sodium-sulfur batteries, sodium metal halide batteries,and zinc-hybrid cathode batteries) and four non-BESS storage technologies (pumped storage hydropower, flywheels, compressed air energy storage, and ultracapacitors).Data for combustion turbines are also presented. Cost information was procured for the most recent year for which data were available based on an extensive literature review, conversations with vendors and stakeholders, and summaries of actual costs provided from specific projects at sites across the United States. Detailed cost and performance estimates were presented for 2018 and projected out to 2025.","author":[{"dropping-particle":"","family":"Mongird","given":"K","non-dropping-particle":"","parse-names":false,"suffix":""},{"dropping-particle":"","family":"Viswanathan","given":"V","non-dropping-particle":"","parse-names":false,"suffix":""},{"dropping-particle":"","family":"Balducci","given":"P","non-dropping-particle":"","parse-names":false,"suffix":""},{"dropping-particle":"","family":"Alam","given":"J","non-dropping-particle":"","parse-names":false,"suffix":""},{"dropping-particle":"","family":"Fotedar","given":"V","non-dropping-particle":"","parse-names":false,"suffix":""},{"dropping-particle":"","family":"Koritarov","given":"V","non-dropping-particle":"","parse-names":false,"suffix":""},{"dropping-particle":"","family":"Hadjerioua","given":"B","non-dropping-particle":"","parse-names":false,"suffix":""}],"container-title":"US Department of Energy","id":"ITEM-1","issue":"July","issued":{"date-parts":[["2019"]]},"page":"1-120","title":"Energy Storage Technology and Cost Characterization Report | Department of Energy","type":"article-journal"},"uris":["http://www.mendeley.com/documents/?uuid=d3c2ad72-063f-4b91-8d93-0b7dfb306830"]}],"mendeley":{"formattedCitation":"&lt;sup&gt;19&lt;/sup&gt;","plainTextFormattedCitation":"19","previouslyFormattedCitation":"&lt;sup&gt;18&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19</w:t>
            </w:r>
            <w:r>
              <w:rPr>
                <w:rFonts w:ascii="Times New Roman" w:eastAsia="Times New Roman" w:hAnsi="Times New Roman" w:cs="Times New Roman"/>
                <w:color w:val="000000"/>
                <w:kern w:val="0"/>
                <w:sz w:val="20"/>
                <w:szCs w:val="20"/>
                <w:lang w:eastAsia="zh-TW"/>
                <w14:ligatures w14:val="none"/>
              </w:rPr>
              <w:fldChar w:fldCharType="end"/>
            </w:r>
            <w:r>
              <w:rPr>
                <w:rFonts w:ascii="Times New Roman" w:hAnsi="Times New Roman" w:cs="Times New Roman" w:hint="eastAsia"/>
                <w:color w:val="000000"/>
                <w:kern w:val="0"/>
                <w:sz w:val="20"/>
                <w:szCs w:val="20"/>
                <w14:ligatures w14:val="none"/>
              </w:rPr>
              <w:t>,</w:t>
            </w:r>
            <w:r w:rsidR="00780008">
              <w:rPr>
                <w:rFonts w:ascii="Times New Roman" w:hAnsi="Times New Roman" w:cs="Times New Roman"/>
                <w:color w:val="000000"/>
                <w:kern w:val="0"/>
                <w:sz w:val="20"/>
                <w:szCs w:val="20"/>
                <w14:ligatures w14:val="none"/>
              </w:rPr>
              <w:t xml:space="preserve"> 77</w:t>
            </w:r>
            <w:r w:rsidR="00780008">
              <w:rPr>
                <w:rFonts w:ascii="Times New Roman" w:eastAsia="DengXian" w:hAnsi="Times New Roman" w:cs="Times New Roman"/>
                <w:sz w:val="20"/>
                <w:szCs w:val="20"/>
              </w:rPr>
              <w:fldChar w:fldCharType="begin" w:fldLock="1"/>
            </w:r>
            <w:r w:rsidR="00B04B53">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sidR="00780008">
              <w:rPr>
                <w:rFonts w:ascii="Times New Roman" w:eastAsia="DengXian" w:hAnsi="Times New Roman" w:cs="Times New Roman"/>
                <w:sz w:val="20"/>
                <w:szCs w:val="20"/>
              </w:rPr>
              <w:fldChar w:fldCharType="separate"/>
            </w:r>
            <w:r w:rsidR="00243124" w:rsidRPr="00243124">
              <w:rPr>
                <w:rFonts w:ascii="Times New Roman" w:eastAsia="DengXian" w:hAnsi="Times New Roman" w:cs="Times New Roman"/>
                <w:noProof/>
                <w:sz w:val="20"/>
                <w:szCs w:val="20"/>
                <w:vertAlign w:val="superscript"/>
              </w:rPr>
              <w:t>2</w:t>
            </w:r>
            <w:r w:rsidR="00780008">
              <w:rPr>
                <w:rFonts w:ascii="Times New Roman" w:eastAsia="DengXian" w:hAnsi="Times New Roman" w:cs="Times New Roman"/>
                <w:sz w:val="20"/>
                <w:szCs w:val="20"/>
              </w:rPr>
              <w:fldChar w:fldCharType="end"/>
            </w:r>
            <w:r w:rsidR="00780008">
              <w:rPr>
                <w:rFonts w:ascii="Times New Roman" w:hAnsi="Times New Roman" w:cs="Times New Roman"/>
                <w:color w:val="000000"/>
                <w:kern w:val="0"/>
                <w:sz w:val="20"/>
                <w:szCs w:val="20"/>
                <w14:ligatures w14:val="none"/>
              </w:rPr>
              <w:t>,</w:t>
            </w:r>
          </w:p>
        </w:tc>
        <w:tc>
          <w:tcPr>
            <w:tcW w:w="0" w:type="auto"/>
          </w:tcPr>
          <w:p w14:paraId="339955FD" w14:textId="6B5E7D78" w:rsidR="000C0181" w:rsidRPr="00C12F6F" w:rsidRDefault="00780008" w:rsidP="000C01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color w:val="000000"/>
                <w:kern w:val="0"/>
                <w:sz w:val="20"/>
                <w:szCs w:val="20"/>
                <w14:ligatures w14:val="none"/>
              </w:rPr>
              <w:t>10-30</w:t>
            </w:r>
          </w:p>
        </w:tc>
        <w:tc>
          <w:tcPr>
            <w:tcW w:w="0" w:type="auto"/>
          </w:tcPr>
          <w:p w14:paraId="25D12105" w14:textId="6893192D" w:rsidR="000C0181" w:rsidRPr="00C12F6F" w:rsidRDefault="00780008" w:rsidP="000C01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color w:val="000000"/>
                <w:kern w:val="0"/>
                <w:sz w:val="20"/>
                <w:szCs w:val="20"/>
                <w14:ligatures w14:val="none"/>
              </w:rPr>
              <w:t>8-16</w:t>
            </w:r>
          </w:p>
        </w:tc>
        <w:tc>
          <w:tcPr>
            <w:tcW w:w="0" w:type="auto"/>
            <w:hideMark/>
          </w:tcPr>
          <w:p w14:paraId="62EC93E2" w14:textId="5B618406"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hint="eastAsia"/>
                <w:color w:val="000000"/>
                <w:kern w:val="0"/>
                <w:sz w:val="20"/>
                <w:szCs w:val="20"/>
                <w14:ligatures w14:val="none"/>
              </w:rPr>
              <w:t>10-40 h</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{"citationItems":[{"id":"ITEM-1","itemData":{"abstract":"This report defines and evaluatescost and performance parameters of six battery energy storage technologies (BESS)(lithium-ion batteries, lead-acid batteries, redox flow batteries, sodium-sulfur batteries, sodium metal halide batteries,and zinc-hybrid cathode batteries) and four non-BESS storage technologies (pumped storage hydropower, flywheels, compressed air energy storage, and ultracapacitors).Data for combustion turbines are also presented. Cost information was procured for the most recent year for which data were available based on an extensive literature review, conversations with vendors and stakeholders, and summaries of actual costs provided from specific projects at sites across the United States. Detailed cost and performance estimates were presented for 2018 and projected out to 2025.","author":[{"dropping-particle":"","family":"Mongird","given":"K","non-dropping-particle":"","parse-names":false,"suffix":""},{"dropping-particle":"","family":"Viswanathan","given":"V","non-dropping-particle":"","parse-names":false,"suffix":""},{"dropping-particle":"","family":"Balducci","given":"P","non-dropping-particle":"","parse-names":false,"suffix":""},{"dropping-particle":"","family":"Alam","given":"J","non-dropping-particle":"","parse-names":false,"suffix":""},{"dropping-particle":"","family":"Fotedar","given":"V","non-dropping-particle":"","parse-names":false,"suffix":""},{"dropping-particle":"","family":"Koritarov","given":"V","non-dropping-particle":"","parse-names":false,"suffix":""},{"dropping-particle":"","family":"Hadjerioua","given":"B","non-dropping-particle":"","parse-names":false,"suffix":""}],"container-title":"US Department of Energy","id":"ITEM-1","issue":"July","issued":{"date-parts":[["2019"]]},"page":"1-120","title":"Energy Storage Technology and Cost Characterization Report | Department of Energy","type":"article-journal"},"uris":["http://www.mendeley.com/documents/?uuid=d3c2ad72-063f-4b91-8d93-0b7dfb306830"]}],"mendeley":{"formattedCitation":"&lt;sup&gt;19&lt;/sup&gt;","plainTextFormattedCitation":"19","previouslyFormattedCitation":"&lt;sup&gt;18&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19</w:t>
            </w:r>
            <w:r>
              <w:rPr>
                <w:rFonts w:ascii="Times New Roman" w:eastAsia="Times New Roman" w:hAnsi="Times New Roman" w:cs="Times New Roman"/>
                <w:color w:val="000000"/>
                <w:kern w:val="0"/>
                <w:sz w:val="20"/>
                <w:szCs w:val="20"/>
                <w:lang w:eastAsia="zh-TW"/>
                <w14:ligatures w14:val="none"/>
              </w:rPr>
              <w:fldChar w:fldCharType="end"/>
            </w:r>
          </w:p>
          <w:p w14:paraId="28F2217D" w14:textId="0F824791" w:rsidR="000C0181" w:rsidRPr="007804E6"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hint="eastAsia"/>
                <w:color w:val="000000"/>
                <w:kern w:val="0"/>
                <w:sz w:val="20"/>
                <w:szCs w:val="20"/>
                <w14:ligatures w14:val="none"/>
              </w:rPr>
              <w:t>8-20</w:t>
            </w:r>
            <w:r>
              <w:rPr>
                <w:rFonts w:ascii="Times New Roman" w:hAnsi="Times New Roman" w:cs="Times New Roman"/>
                <w:color w:val="000000"/>
                <w:kern w:val="0"/>
                <w:sz w:val="20"/>
                <w:szCs w:val="20"/>
                <w14:ligatures w14:val="none"/>
              </w:rPr>
              <w:fldChar w:fldCharType="begin" w:fldLock="1"/>
            </w:r>
            <w:r w:rsidR="00404868">
              <w:rPr>
                <w:rFonts w:ascii="Times New Roman" w:hAnsi="Times New Roman" w:cs="Times New Roman"/>
                <w:color w:val="000000"/>
                <w:kern w:val="0"/>
                <w:sz w:val="20"/>
                <w:szCs w:val="20"/>
                <w14:ligatures w14:val="none"/>
              </w:rPr>
              <w:instrText>ADDIN CSL_CITATION {"citationItems":[{"id":"ITEM-1","itemData":{"DOI":"10.1016/j.apenergy.2018.02.110","ISSN":"03062619","abstract":"Previous studies have noted the importance of electricity storage and hydrogen technologies for enabling large-scale variable renewable energy (VRE) deployment in long-term climate change mitigation scenarios. However, global studies, which typically use integrated assessment models, assume a fixed cost trajectory for storage and hydrogen technologies; thereby ignoring the sensitivity of VRE deployment and/or mitigation costs to uncertainties in future storage and hydrogen technology costs. Yet there is vast uncertainty in the future costs of these technologies, as reflected in the range of projected costs in the literature. This study uses the integrated assessment model, MESSAGE, to explore the implications of future storage and hydrogen technology costs for low-carbon energy transitions across the reported range of projected technology costs. Techno-economic representations of electricity storage and hydrogen technologies, including utility-scale batteries, pumped hydro storage (PHS), compressed air energy storage (CAES), and hydrogen electrolysis, are introduced to MESSAGE and scenarios are used to assess the sensitivity of long-term VRE deployment and mitigation costs across the range of projected technology costs. The results demonstrate that large-scale deployment of electricity storage technologies only occurs when techno-economic assumptions are optimistic. Although pessimistic storage and hydrogen costs reduce the deployment of these technologies, large VRE shares are supported in carbon-constrained futures by the deployment of other low-carbon flexible technologies, such as hydrogen combustion turbines and concentrating solar power with thermal storage. However, the cost of the required energy transition is larger. In the absence of carbon policy, pessimistic hydrogen and storage costs significantly decrease VRE deployment while increasing coal-based electricity generation. Thus, R&amp;D investments that lower the costs of storage and hydrogen technologies are important for reducing emissions in the absence of climate policy and for reducing mitigation costs in the presence of climate policy.","author":[{"dropping-particle":"","family":"McPherson","given":"Madeleine","non-dropping-particle":"","parse-names":false,"suffix":""},{"dropping-particle":"","family":"Johnson","given":"Nils","non-dropping-particle":"","parse-names":false,"suffix":""},{"dropping-particle":"","family":"Strubegger","given":"Manfred","non-dropping-particle":"","parse-names":false,"suffix":""}],"container-title":"Applied Energy","id":"ITEM-1","issue":"December 2017","issued":{"date-parts":[["2018"]]},"page":"649-661","publisher":"Elsevier","title":"The role of electricity storage and hydrogen technologies in enabling global low-carbon energy transitions","type":"article-journal","volume":"216"},"uris":["http://www.mendeley.com/documents/?uuid=b8fe3b58-f33d-4173-8eb1-92ab71573ba8"]}],"mendeley":{"formattedCitation":"&lt;sup&gt;12&lt;/sup&gt;","plainTextFormattedCitation":"12","previouslyFormattedCitation":"&lt;sup&gt;12&lt;/sup&gt;"},"properties":{"noteIndex":0},"schema":"https://github.com/citation-style-language/schema/raw/master/csl-citation.json"}</w:instrText>
            </w:r>
            <w:r>
              <w:rPr>
                <w:rFonts w:ascii="Times New Roman" w:hAnsi="Times New Roman" w:cs="Times New Roman"/>
                <w:color w:val="000000"/>
                <w:kern w:val="0"/>
                <w:sz w:val="20"/>
                <w:szCs w:val="20"/>
                <w14:ligatures w14:val="none"/>
              </w:rPr>
              <w:fldChar w:fldCharType="separate"/>
            </w:r>
            <w:r w:rsidR="00226444" w:rsidRPr="00226444">
              <w:rPr>
                <w:rFonts w:ascii="Times New Roman" w:hAnsi="Times New Roman" w:cs="Times New Roman"/>
                <w:noProof/>
                <w:color w:val="000000"/>
                <w:kern w:val="0"/>
                <w:sz w:val="20"/>
                <w:szCs w:val="20"/>
                <w:vertAlign w:val="superscript"/>
                <w14:ligatures w14:val="none"/>
              </w:rPr>
              <w:t>12</w:t>
            </w:r>
            <w:r>
              <w:rPr>
                <w:rFonts w:ascii="Times New Roman" w:hAnsi="Times New Roman" w:cs="Times New Roman"/>
                <w:color w:val="000000"/>
                <w:kern w:val="0"/>
                <w:sz w:val="20"/>
                <w:szCs w:val="20"/>
                <w14:ligatures w14:val="none"/>
              </w:rPr>
              <w:fldChar w:fldCharType="end"/>
            </w:r>
            <w:r>
              <w:rPr>
                <w:rFonts w:ascii="Times New Roman" w:hAnsi="Times New Roman" w:cs="Times New Roman" w:hint="eastAsia"/>
                <w:color w:val="000000"/>
                <w:kern w:val="0"/>
                <w:sz w:val="20"/>
                <w:szCs w:val="20"/>
                <w14:ligatures w14:val="none"/>
              </w:rPr>
              <w:t>,</w:t>
            </w:r>
          </w:p>
          <w:p w14:paraId="6BFB90D3" w14:textId="77777777"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H - M</w:t>
            </w:r>
          </w:p>
        </w:tc>
        <w:tc>
          <w:tcPr>
            <w:tcW w:w="0" w:type="auto"/>
            <w:hideMark/>
          </w:tcPr>
          <w:p w14:paraId="2CEFD561" w14:textId="77777777"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20 - 40</w:t>
            </w:r>
          </w:p>
        </w:tc>
        <w:tc>
          <w:tcPr>
            <w:tcW w:w="0" w:type="auto"/>
            <w:hideMark/>
          </w:tcPr>
          <w:p w14:paraId="07D9C548" w14:textId="77777777"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Diabatic</w:t>
            </w:r>
            <w:r w:rsidRPr="00C12F6F">
              <w:rPr>
                <w:rFonts w:ascii="Times New Roman" w:eastAsia="Times New Roman" w:hAnsi="Times New Roman" w:cs="Times New Roman"/>
                <w:color w:val="000000"/>
                <w:kern w:val="0"/>
                <w:sz w:val="20"/>
                <w:szCs w:val="20"/>
                <w:lang w:eastAsia="zh-TW"/>
                <w14:ligatures w14:val="none"/>
              </w:rPr>
              <w:br/>
              <w:t>Adiabatic</w:t>
            </w:r>
            <w:r w:rsidRPr="00C12F6F">
              <w:rPr>
                <w:rFonts w:ascii="Times New Roman" w:eastAsia="Times New Roman" w:hAnsi="Times New Roman" w:cs="Times New Roman"/>
                <w:color w:val="000000"/>
                <w:kern w:val="0"/>
                <w:sz w:val="20"/>
                <w:szCs w:val="20"/>
                <w:lang w:eastAsia="zh-TW"/>
                <w14:ligatures w14:val="none"/>
              </w:rPr>
              <w:br/>
              <w:t>Isothermal</w:t>
            </w:r>
          </w:p>
        </w:tc>
      </w:tr>
      <w:tr w:rsidR="000C0181" w:rsidRPr="00C12F6F" w14:paraId="5E01EBF1" w14:textId="77777777" w:rsidTr="000C0181">
        <w:trPr>
          <w:trHeight w:val="860"/>
        </w:trPr>
        <w:tc>
          <w:tcPr>
            <w:cnfStyle w:val="001000000000" w:firstRow="0" w:lastRow="0" w:firstColumn="1" w:lastColumn="0" w:oddVBand="0" w:evenVBand="0" w:oddHBand="0" w:evenHBand="0" w:firstRowFirstColumn="0" w:firstRowLastColumn="0" w:lastRowFirstColumn="0" w:lastRowLastColumn="0"/>
            <w:tcW w:w="0" w:type="auto"/>
            <w:hideMark/>
          </w:tcPr>
          <w:p w14:paraId="1406EDAD" w14:textId="77777777" w:rsidR="000C0181" w:rsidRPr="000B002C" w:rsidRDefault="000C0181" w:rsidP="000C0181">
            <w:pPr>
              <w:jc w:val="center"/>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Vanadium redox battery</w:t>
            </w:r>
          </w:p>
        </w:tc>
        <w:tc>
          <w:tcPr>
            <w:tcW w:w="0" w:type="auto"/>
            <w:hideMark/>
          </w:tcPr>
          <w:p w14:paraId="68D8CEAD" w14:textId="77777777"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20-70</w:t>
            </w:r>
            <w:r w:rsidRPr="00C12F6F">
              <w:rPr>
                <w:rFonts w:ascii="Times New Roman" w:eastAsia="Times New Roman" w:hAnsi="Times New Roman" w:cs="Times New Roman"/>
                <w:color w:val="000000"/>
                <w:kern w:val="0"/>
                <w:sz w:val="20"/>
                <w:szCs w:val="20"/>
                <w:vertAlign w:val="superscript"/>
                <w:lang w:eastAsia="zh-TW"/>
                <w14:ligatures w14:val="none"/>
              </w:rPr>
              <w:t>1</w:t>
            </w:r>
            <w:r w:rsidRPr="00C12F6F">
              <w:rPr>
                <w:rFonts w:ascii="Times New Roman" w:eastAsia="Times New Roman" w:hAnsi="Times New Roman" w:cs="Times New Roman"/>
                <w:color w:val="000000"/>
                <w:kern w:val="0"/>
                <w:sz w:val="20"/>
                <w:szCs w:val="20"/>
                <w:lang w:eastAsia="zh-TW"/>
                <w14:ligatures w14:val="none"/>
              </w:rPr>
              <w:t xml:space="preserve">, 35-60 </w:t>
            </w:r>
            <w:proofErr w:type="spellStart"/>
            <w:r w:rsidRPr="00C12F6F">
              <w:rPr>
                <w:rFonts w:ascii="Times New Roman" w:eastAsia="Times New Roman" w:hAnsi="Times New Roman" w:cs="Times New Roman"/>
                <w:color w:val="000000"/>
                <w:kern w:val="0"/>
                <w:sz w:val="20"/>
                <w:szCs w:val="20"/>
                <w:lang w:eastAsia="zh-TW"/>
                <w14:ligatures w14:val="none"/>
              </w:rPr>
              <w:t>Wh</w:t>
            </w:r>
            <w:proofErr w:type="spellEnd"/>
            <w:r w:rsidRPr="00C12F6F">
              <w:rPr>
                <w:rFonts w:ascii="Times New Roman" w:eastAsia="Times New Roman" w:hAnsi="Times New Roman" w:cs="Times New Roman"/>
                <w:color w:val="000000"/>
                <w:kern w:val="0"/>
                <w:sz w:val="20"/>
                <w:szCs w:val="20"/>
                <w:lang w:eastAsia="zh-TW"/>
                <w14:ligatures w14:val="none"/>
              </w:rPr>
              <w:t>/kg</w:t>
            </w:r>
            <w:r w:rsidRPr="00C12F6F">
              <w:rPr>
                <w:rFonts w:ascii="Times New Roman" w:eastAsia="Times New Roman" w:hAnsi="Times New Roman" w:cs="Times New Roman"/>
                <w:color w:val="000000"/>
                <w:kern w:val="0"/>
                <w:sz w:val="20"/>
                <w:szCs w:val="20"/>
                <w:vertAlign w:val="superscript"/>
                <w:lang w:eastAsia="zh-TW"/>
                <w14:ligatures w14:val="none"/>
              </w:rPr>
              <w:t>8</w:t>
            </w:r>
            <w:r w:rsidRPr="00C12F6F">
              <w:rPr>
                <w:rFonts w:ascii="Times New Roman" w:eastAsia="Times New Roman" w:hAnsi="Times New Roman" w:cs="Times New Roman"/>
                <w:color w:val="000000"/>
                <w:kern w:val="0"/>
                <w:sz w:val="20"/>
                <w:szCs w:val="20"/>
                <w:lang w:eastAsia="zh-TW"/>
                <w14:ligatures w14:val="none"/>
              </w:rPr>
              <w:t xml:space="preserve">, 10-75 </w:t>
            </w:r>
            <w:proofErr w:type="spellStart"/>
            <w:r w:rsidRPr="00C12F6F">
              <w:rPr>
                <w:rFonts w:ascii="Times New Roman" w:eastAsia="Times New Roman" w:hAnsi="Times New Roman" w:cs="Times New Roman"/>
                <w:color w:val="000000"/>
                <w:kern w:val="0"/>
                <w:sz w:val="20"/>
                <w:szCs w:val="20"/>
                <w:lang w:eastAsia="zh-TW"/>
                <w14:ligatures w14:val="none"/>
              </w:rPr>
              <w:t>Wh</w:t>
            </w:r>
            <w:proofErr w:type="spellEnd"/>
            <w:r w:rsidRPr="00C12F6F">
              <w:rPr>
                <w:rFonts w:ascii="Times New Roman" w:eastAsia="Times New Roman" w:hAnsi="Times New Roman" w:cs="Times New Roman"/>
                <w:color w:val="000000"/>
                <w:kern w:val="0"/>
                <w:sz w:val="20"/>
                <w:szCs w:val="20"/>
                <w:lang w:eastAsia="zh-TW"/>
                <w14:ligatures w14:val="none"/>
              </w:rPr>
              <w:t>/kg</w:t>
            </w:r>
            <w:r w:rsidRPr="00C12F6F">
              <w:rPr>
                <w:rFonts w:ascii="Times New Roman" w:eastAsia="Times New Roman" w:hAnsi="Times New Roman" w:cs="Times New Roman"/>
                <w:color w:val="000000"/>
                <w:kern w:val="0"/>
                <w:sz w:val="20"/>
                <w:szCs w:val="20"/>
                <w:vertAlign w:val="superscript"/>
                <w:lang w:eastAsia="zh-TW"/>
                <w14:ligatures w14:val="none"/>
              </w:rPr>
              <w:t>2</w:t>
            </w:r>
            <w:r w:rsidRPr="00C12F6F">
              <w:rPr>
                <w:rFonts w:ascii="Times New Roman" w:eastAsia="Times New Roman" w:hAnsi="Times New Roman" w:cs="Times New Roman"/>
                <w:color w:val="000000"/>
                <w:kern w:val="0"/>
                <w:sz w:val="20"/>
                <w:szCs w:val="20"/>
                <w:lang w:eastAsia="zh-TW"/>
                <w14:ligatures w14:val="none"/>
              </w:rPr>
              <w:t>,</w:t>
            </w:r>
          </w:p>
        </w:tc>
        <w:tc>
          <w:tcPr>
            <w:tcW w:w="1870" w:type="dxa"/>
          </w:tcPr>
          <w:p w14:paraId="7B527621" w14:textId="2ED06064" w:rsidR="000C0181" w:rsidRDefault="00D96525" w:rsidP="000C01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eastAsia="Times New Roman" w:hAnsi="Times New Roman" w:cs="Times New Roman"/>
                <w:color w:val="000000"/>
                <w:kern w:val="0"/>
                <w:sz w:val="20"/>
                <w:szCs w:val="20"/>
                <w:lang w:eastAsia="zh-TW"/>
                <w14:ligatures w14:val="none"/>
              </w:rPr>
              <w:t>3994</w:t>
            </w:r>
            <w:r>
              <w:rPr>
                <w:rFonts w:ascii="Times New Roman" w:eastAsia="DengXian" w:hAnsi="Times New Roman" w:cs="Times New Roman"/>
                <w:sz w:val="20"/>
                <w:szCs w:val="20"/>
              </w:rPr>
              <w:t>(2020)</w:t>
            </w:r>
            <w:r>
              <w:rPr>
                <w:rFonts w:ascii="Times New Roman" w:eastAsia="DengXian" w:hAnsi="Times New Roman" w:cs="Times New Roman"/>
                <w:sz w:val="20"/>
                <w:szCs w:val="20"/>
              </w:rPr>
              <w:fldChar w:fldCharType="begin" w:fldLock="1"/>
            </w:r>
            <w:r w:rsidR="00B04B53">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43124"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hAnsi="Times New Roman" w:cs="Times New Roman"/>
                <w:sz w:val="20"/>
                <w:szCs w:val="20"/>
              </w:rPr>
              <w:t>,</w:t>
            </w:r>
          </w:p>
          <w:p w14:paraId="512138E1" w14:textId="3DA5CD28" w:rsidR="00D96525" w:rsidRPr="00C12F6F" w:rsidRDefault="00D96525" w:rsidP="000C01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hAnsi="Times New Roman" w:cs="Times New Roman"/>
                <w:color w:val="000000"/>
                <w:kern w:val="0"/>
                <w:sz w:val="20"/>
                <w:szCs w:val="20"/>
                <w14:ligatures w14:val="none"/>
              </w:rPr>
              <w:t>3187(2030)</w:t>
            </w:r>
            <w:r>
              <w:rPr>
                <w:rFonts w:ascii="Times New Roman" w:eastAsia="DengXian" w:hAnsi="Times New Roman" w:cs="Times New Roman"/>
                <w:sz w:val="20"/>
                <w:szCs w:val="20"/>
              </w:rPr>
              <w:fldChar w:fldCharType="begin" w:fldLock="1"/>
            </w:r>
            <w:r w:rsidR="00B04B53">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43124"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DengXian" w:hAnsi="Times New Roman" w:cs="Times New Roman"/>
                <w:sz w:val="20"/>
                <w:szCs w:val="20"/>
              </w:rPr>
              <w:t>,</w:t>
            </w:r>
          </w:p>
        </w:tc>
        <w:tc>
          <w:tcPr>
            <w:tcW w:w="1748" w:type="dxa"/>
          </w:tcPr>
          <w:p w14:paraId="2EE89936" w14:textId="7BC818A1" w:rsidR="000C0181" w:rsidRDefault="00D96525"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399(2020)</w:t>
            </w:r>
            <w:r>
              <w:rPr>
                <w:rFonts w:ascii="Times New Roman" w:eastAsia="DengXian" w:hAnsi="Times New Roman" w:cs="Times New Roman"/>
                <w:sz w:val="20"/>
                <w:szCs w:val="20"/>
              </w:rPr>
              <w:fldChar w:fldCharType="begin" w:fldLock="1"/>
            </w:r>
            <w:r w:rsidR="00B04B53">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43124"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Times New Roman" w:hAnsi="Times New Roman" w:cs="Times New Roman"/>
                <w:color w:val="000000"/>
                <w:kern w:val="0"/>
                <w:sz w:val="20"/>
                <w:szCs w:val="20"/>
                <w:lang w:eastAsia="zh-TW"/>
                <w14:ligatures w14:val="none"/>
              </w:rPr>
              <w:t>,</w:t>
            </w:r>
          </w:p>
          <w:p w14:paraId="26EF7C47" w14:textId="5BC14B3B" w:rsidR="00D96525" w:rsidRPr="00C12F6F" w:rsidRDefault="00D96525"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319(2030)</w:t>
            </w:r>
            <w:r>
              <w:rPr>
                <w:rFonts w:ascii="Times New Roman" w:eastAsia="DengXian" w:hAnsi="Times New Roman" w:cs="Times New Roman"/>
                <w:sz w:val="20"/>
                <w:szCs w:val="20"/>
              </w:rPr>
              <w:fldChar w:fldCharType="begin" w:fldLock="1"/>
            </w:r>
            <w:r w:rsidR="00B04B53">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43124"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Times New Roman" w:hAnsi="Times New Roman" w:cs="Times New Roman"/>
                <w:color w:val="000000"/>
                <w:kern w:val="0"/>
                <w:sz w:val="20"/>
                <w:szCs w:val="20"/>
                <w:lang w:eastAsia="zh-TW"/>
                <w14:ligatures w14:val="none"/>
              </w:rPr>
              <w:t>,</w:t>
            </w:r>
          </w:p>
        </w:tc>
        <w:tc>
          <w:tcPr>
            <w:tcW w:w="0" w:type="auto"/>
          </w:tcPr>
          <w:p w14:paraId="028FFC04" w14:textId="2C60B661" w:rsidR="000C0181" w:rsidRPr="00C12F6F" w:rsidRDefault="00D96525"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10</w:t>
            </w:r>
          </w:p>
        </w:tc>
        <w:tc>
          <w:tcPr>
            <w:tcW w:w="0" w:type="auto"/>
          </w:tcPr>
          <w:p w14:paraId="68C3C49F" w14:textId="0AB18895" w:rsidR="000C0181" w:rsidRPr="00C12F6F" w:rsidRDefault="00D96525"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10</w:t>
            </w:r>
          </w:p>
        </w:tc>
        <w:tc>
          <w:tcPr>
            <w:tcW w:w="0" w:type="auto"/>
            <w:hideMark/>
          </w:tcPr>
          <w:p w14:paraId="395AF72F" w14:textId="677058FC" w:rsidR="000C0181" w:rsidRPr="00C12F6F" w:rsidRDefault="00D96525"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lang w:eastAsia="zh-TW"/>
                <w14:ligatures w14:val="none"/>
              </w:rPr>
              <w:t xml:space="preserve">H - </w:t>
            </w:r>
            <w:r w:rsidR="000C0181" w:rsidRPr="00C12F6F">
              <w:rPr>
                <w:rFonts w:ascii="Times New Roman" w:eastAsia="Times New Roman" w:hAnsi="Times New Roman" w:cs="Times New Roman"/>
                <w:color w:val="000000"/>
                <w:kern w:val="0"/>
                <w:sz w:val="20"/>
                <w:szCs w:val="20"/>
                <w:lang w:eastAsia="zh-TW"/>
                <w14:ligatures w14:val="none"/>
              </w:rPr>
              <w:t>D</w:t>
            </w:r>
          </w:p>
        </w:tc>
        <w:tc>
          <w:tcPr>
            <w:tcW w:w="0" w:type="auto"/>
            <w:hideMark/>
          </w:tcPr>
          <w:p w14:paraId="5D4DF998" w14:textId="7705F77B" w:rsidR="000C0181" w:rsidRPr="00C12F6F" w:rsidRDefault="00D96525"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15</w:t>
            </w:r>
            <w:r>
              <w:rPr>
                <w:rFonts w:ascii="Times New Roman" w:eastAsia="DengXian" w:hAnsi="Times New Roman" w:cs="Times New Roman"/>
                <w:sz w:val="20"/>
                <w:szCs w:val="20"/>
              </w:rPr>
              <w:fldChar w:fldCharType="begin" w:fldLock="1"/>
            </w:r>
            <w:r w:rsidR="00B04B53">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43124"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Times New Roman" w:hAnsi="Times New Roman" w:cs="Times New Roman"/>
                <w:color w:val="000000"/>
                <w:kern w:val="0"/>
                <w:sz w:val="20"/>
                <w:szCs w:val="20"/>
                <w14:ligatures w14:val="none"/>
              </w:rPr>
              <w:t>,</w:t>
            </w:r>
          </w:p>
        </w:tc>
        <w:tc>
          <w:tcPr>
            <w:tcW w:w="0" w:type="auto"/>
            <w:hideMark/>
          </w:tcPr>
          <w:p w14:paraId="136D2A71" w14:textId="77777777"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TRL – 7~8</w:t>
            </w:r>
          </w:p>
        </w:tc>
      </w:tr>
      <w:tr w:rsidR="000C0181" w:rsidRPr="00C12F6F" w14:paraId="334E411C" w14:textId="77777777" w:rsidTr="000C0181">
        <w:trPr>
          <w:cnfStyle w:val="000000100000" w:firstRow="0" w:lastRow="0" w:firstColumn="0" w:lastColumn="0" w:oddVBand="0" w:evenVBand="0" w:oddHBand="1" w:evenHBand="0" w:firstRowFirstColumn="0" w:firstRowLastColumn="0" w:lastRowFirstColumn="0" w:lastRowLastColumn="0"/>
          <w:trHeight w:val="860"/>
        </w:trPr>
        <w:tc>
          <w:tcPr>
            <w:cnfStyle w:val="001000000000" w:firstRow="0" w:lastRow="0" w:firstColumn="1" w:lastColumn="0" w:oddVBand="0" w:evenVBand="0" w:oddHBand="0" w:evenHBand="0" w:firstRowFirstColumn="0" w:firstRowLastColumn="0" w:lastRowFirstColumn="0" w:lastRowLastColumn="0"/>
            <w:tcW w:w="0" w:type="auto"/>
          </w:tcPr>
          <w:p w14:paraId="7CA7EE0C" w14:textId="543E6477" w:rsidR="000C0181" w:rsidRPr="000B002C" w:rsidRDefault="000C0181" w:rsidP="000C0181">
            <w:pPr>
              <w:jc w:val="center"/>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Liquid air energy storage</w:t>
            </w:r>
            <w:r w:rsidRPr="000B002C">
              <w:rPr>
                <w:rFonts w:ascii="Times New Roman" w:eastAsia="Times New Roman" w:hAnsi="Times New Roman" w:cs="Times New Roman"/>
                <w:color w:val="000000" w:themeColor="text1"/>
                <w:kern w:val="0"/>
                <w:sz w:val="20"/>
                <w:szCs w:val="20"/>
                <w:vertAlign w:val="superscript"/>
                <w14:ligatures w14:val="none"/>
              </w:rPr>
              <w:t>5</w:t>
            </w:r>
          </w:p>
        </w:tc>
        <w:tc>
          <w:tcPr>
            <w:tcW w:w="0" w:type="auto"/>
          </w:tcPr>
          <w:p w14:paraId="51643560" w14:textId="5A1110F7"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50-80,</w:t>
            </w:r>
            <w:r>
              <w:rPr>
                <w:rFonts w:ascii="Times New Roman" w:eastAsia="Times New Roman" w:hAnsi="Times New Roman" w:cs="Times New Roman"/>
                <w:color w:val="000000"/>
                <w:kern w:val="0"/>
                <w:sz w:val="20"/>
                <w:szCs w:val="20"/>
                <w:lang w:eastAsia="zh-TW"/>
                <w14:ligatures w14:val="none"/>
              </w:rPr>
              <w:t xml:space="preserve"> 66</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lang w:eastAsia="zh-TW"/>
                <w14:ligatures w14:val="none"/>
              </w:rPr>
              <w:t>,</w:t>
            </w:r>
          </w:p>
        </w:tc>
        <w:tc>
          <w:tcPr>
            <w:tcW w:w="1870" w:type="dxa"/>
          </w:tcPr>
          <w:p w14:paraId="0C6076D3" w14:textId="722720E1"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900-6,000</w:t>
            </w:r>
            <w:r>
              <w:rPr>
                <w:rFonts w:ascii="Times New Roman" w:eastAsia="Times New Roman" w:hAnsi="Times New Roman" w:cs="Times New Roman"/>
                <w:color w:val="000000"/>
                <w:kern w:val="0"/>
                <w:sz w:val="20"/>
                <w:szCs w:val="20"/>
                <w:lang w:eastAsia="zh-TW"/>
                <w14:ligatures w14:val="none"/>
              </w:rPr>
              <w:t xml:space="preserve">, </w:t>
            </w:r>
            <w:r w:rsidRPr="003770C1">
              <w:rPr>
                <w:rFonts w:ascii="Times New Roman" w:eastAsia="Times New Roman" w:hAnsi="Times New Roman" w:cs="Times New Roman"/>
                <w:color w:val="000000"/>
                <w:kern w:val="0"/>
                <w:sz w:val="20"/>
                <w:szCs w:val="20"/>
                <w:lang w:eastAsia="zh-TW"/>
                <w14:ligatures w14:val="none"/>
              </w:rPr>
              <w:t>1270</w:t>
            </w:r>
            <w:r>
              <w:rPr>
                <w:rFonts w:ascii="Times New Roman" w:eastAsia="Times New Roman" w:hAnsi="Times New Roman" w:cs="Times New Roman"/>
                <w:color w:val="000000"/>
                <w:kern w:val="0"/>
                <w:sz w:val="20"/>
                <w:szCs w:val="20"/>
                <w:lang w:eastAsia="zh-TW"/>
                <w14:ligatures w14:val="none"/>
              </w:rPr>
              <w:t>-</w:t>
            </w:r>
            <w:r w:rsidRPr="003770C1">
              <w:rPr>
                <w:rFonts w:ascii="Times New Roman" w:eastAsia="Times New Roman" w:hAnsi="Times New Roman" w:cs="Times New Roman"/>
                <w:color w:val="000000"/>
                <w:kern w:val="0"/>
                <w:sz w:val="20"/>
                <w:szCs w:val="20"/>
                <w:lang w:eastAsia="zh-TW"/>
                <w14:ligatures w14:val="none"/>
              </w:rPr>
              <w:t>2090€/kW</w:t>
            </w:r>
            <w:r>
              <w:rPr>
                <w:rFonts w:ascii="Times New Roman" w:eastAsia="Times New Roman" w:hAnsi="Times New Roman" w:cs="Times New Roman"/>
                <w:color w:val="000000"/>
                <w:kern w:val="0"/>
                <w:sz w:val="20"/>
                <w:szCs w:val="20"/>
                <w:lang w:eastAsia="zh-TW"/>
                <w14:ligatures w14:val="none"/>
              </w:rPr>
              <w:t xml:space="preserve">, </w:t>
            </w:r>
            <w:r w:rsidRPr="00DA5F7D">
              <w:rPr>
                <w:rFonts w:ascii="Times New Roman" w:eastAsia="Times New Roman" w:hAnsi="Times New Roman" w:cs="Times New Roman"/>
                <w:color w:val="000000"/>
                <w:kern w:val="0"/>
                <w:sz w:val="20"/>
                <w:szCs w:val="20"/>
                <w:lang w:eastAsia="zh-TW"/>
                <w14:ligatures w14:val="none"/>
              </w:rPr>
              <w:t>700–3000</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lang w:eastAsia="zh-TW"/>
                <w14:ligatures w14:val="none"/>
              </w:rPr>
              <w:t>, 950</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lang w:eastAsia="zh-TW"/>
                <w14:ligatures w14:val="none"/>
              </w:rPr>
              <w:t>,</w:t>
            </w:r>
          </w:p>
        </w:tc>
        <w:tc>
          <w:tcPr>
            <w:tcW w:w="1748" w:type="dxa"/>
          </w:tcPr>
          <w:p w14:paraId="4ECAF755" w14:textId="22545A6A"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240-640</w:t>
            </w:r>
            <w:r>
              <w:rPr>
                <w:rFonts w:ascii="Times New Roman" w:eastAsia="Times New Roman" w:hAnsi="Times New Roman" w:cs="Times New Roman"/>
                <w:color w:val="000000"/>
                <w:kern w:val="0"/>
                <w:sz w:val="20"/>
                <w:szCs w:val="20"/>
                <w:lang w:eastAsia="zh-TW"/>
                <w14:ligatures w14:val="none"/>
              </w:rPr>
              <w:t>, 400-800</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lang w:eastAsia="zh-TW"/>
                <w14:ligatures w14:val="none"/>
              </w:rPr>
              <w:t>, 200-500</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lang w:eastAsia="zh-TW"/>
                <w14:ligatures w14:val="none"/>
              </w:rPr>
              <w:t>, 123</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lang w:eastAsia="zh-TW"/>
                <w14:ligatures w14:val="none"/>
              </w:rPr>
              <w:t>,</w:t>
            </w:r>
          </w:p>
        </w:tc>
        <w:tc>
          <w:tcPr>
            <w:tcW w:w="0" w:type="auto"/>
          </w:tcPr>
          <w:p w14:paraId="6BBB330C" w14:textId="140109C9"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p>
        </w:tc>
        <w:tc>
          <w:tcPr>
            <w:tcW w:w="0" w:type="auto"/>
          </w:tcPr>
          <w:p w14:paraId="07A24E9F" w14:textId="0442DC10"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p>
        </w:tc>
        <w:tc>
          <w:tcPr>
            <w:tcW w:w="0" w:type="auto"/>
          </w:tcPr>
          <w:p w14:paraId="78AED597" w14:textId="709E6BB9"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H - M</w:t>
            </w:r>
          </w:p>
        </w:tc>
        <w:tc>
          <w:tcPr>
            <w:tcW w:w="0" w:type="auto"/>
          </w:tcPr>
          <w:p w14:paraId="66450C05" w14:textId="08978D2C"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30 - 40</w:t>
            </w:r>
          </w:p>
        </w:tc>
        <w:tc>
          <w:tcPr>
            <w:tcW w:w="0" w:type="auto"/>
          </w:tcPr>
          <w:p w14:paraId="01EB19ED" w14:textId="390F994A"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LCOS 218 </w:t>
            </w:r>
            <w:r w:rsidRPr="004C186F">
              <w:rPr>
                <w:rFonts w:ascii="Times New Roman" w:eastAsia="Times New Roman" w:hAnsi="Times New Roman" w:cs="Times New Roman"/>
                <w:color w:val="000000"/>
                <w:kern w:val="0"/>
                <w:sz w:val="20"/>
                <w:szCs w:val="20"/>
                <w14:ligatures w14:val="none"/>
              </w:rPr>
              <w:t>$/MWh</w:t>
            </w:r>
          </w:p>
        </w:tc>
      </w:tr>
      <w:tr w:rsidR="000C0181" w14:paraId="77C2DA16" w14:textId="77777777" w:rsidTr="000C0181">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348D22CF" w14:textId="77777777" w:rsidR="000C0181" w:rsidRPr="000B002C" w:rsidRDefault="000C0181" w:rsidP="000C0181">
            <w:pPr>
              <w:jc w:val="center"/>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Rankine PTES</w:t>
            </w:r>
          </w:p>
          <w:p w14:paraId="257D2EB3" w14:textId="77777777" w:rsidR="000C0181" w:rsidRPr="000B002C" w:rsidRDefault="000C0181" w:rsidP="000C0181">
            <w:pPr>
              <w:jc w:val="center"/>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(CO2 based)</w:t>
            </w:r>
          </w:p>
        </w:tc>
        <w:tc>
          <w:tcPr>
            <w:tcW w:w="0" w:type="auto"/>
          </w:tcPr>
          <w:p w14:paraId="4E755827" w14:textId="6DBB5AF4"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15</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14:ligatures w14:val="none"/>
              </w:rPr>
              <w:t xml:space="preserve">, </w:t>
            </w:r>
            <w:r w:rsidRPr="00C12F6F">
              <w:rPr>
                <w:rFonts w:ascii="Times New Roman" w:eastAsia="Times New Roman" w:hAnsi="Times New Roman" w:cs="Times New Roman"/>
                <w:color w:val="000000"/>
                <w:kern w:val="0"/>
                <w:sz w:val="20"/>
                <w:szCs w:val="20"/>
                <w14:ligatures w14:val="none"/>
              </w:rPr>
              <w:t>12.7,</w:t>
            </w:r>
            <w:r>
              <w:rPr>
                <w:rFonts w:ascii="Times New Roman" w:eastAsia="Times New Roman" w:hAnsi="Times New Roman" w:cs="Times New Roman"/>
                <w:color w:val="000000"/>
                <w:kern w:val="0"/>
                <w:sz w:val="20"/>
                <w:szCs w:val="20"/>
                <w14:ligatures w14:val="none"/>
              </w:rPr>
              <w:t xml:space="preserve"> 50</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{"citationItems":[{"id":"ITEM-1","itemData":{"DOI":"10.1063/5.0032337","abstract":"Pumped Thermal Electricity Storage (PTES) is an energy storage device that uses grid electricity to drive a heat pump to generate hot and cold storage reservoirs. This thermal potential is later used to power a heat engine and return electricity to the grid. In this article, a PTES variant that uses supercritical carbon dioxide (sCO2) as the working fluid is introduced. sCO2-PTES cycles have higher work ratios and power densities than the systems based on ideal gases that have been investigated to date. Furthermore, sCO2-PTES cycles may achieve higher round-trip efficiencies for a given hot storage temperature (up to 78% at 560 degrees C). The sensitivity of PTES cycles to loss factors such as isentropic efficiencies and temperature differences between the power cycle and storage fluid is investigated. A second concept whereby an sCO2-PTES cycle is integrated with concentrating solar power (CSP) is introduced. This concept 'time-shifts' the recompression of an sCO2 recompression cycle to a period of lower electricity prices and stores the heat. When solar heat is dispatched, the recompressor may be avoided as the required heat is obtained from storage, thereby leading to increased heat engine efficiencies. The net work output of this integrated system is 10-18% greater than the conventional recompression cycle. Combining PTES with a CSP power cycle is therefore shown to improve the dispatch of solar heat as well as providing electricity storage services.","author":[{"dropping-particle":"","family":"McTigue","given":"Joshua","non-dropping-particle":"","parse-names":false,"suffix":""},{"dropping-particle":"","family":"Farres-Antunez","given":"Pau","non-dropping-particle":"","parse-names":false,"suffix":""},{"dropping-particle":"","family":"Ellingwood","given":"Kevin","non-dropping-particle":"","parse-names":false,"suffix":""},{"dropping-particle":"","family":"Neises","given":"Ty","non-dropping-particle":"","parse-names":false,"suffix":""},{"dropping-particle":"","family":"White","given":"Alexander","non-dropping-particle":"","parse-names":false,"suffix":""}],"container-title":"the Vii International Young Researchers’ Conference – Physics, Technology, Innovations (Pti-2020)","id":"ITEM-1","issue":"September","issued":{"date-parts":[["2020"]]},"page":"190024","title":"Pumped thermal electricity storage with supercritical CO2 cycles and solar heat input","type":"article-journal","volume":"2313"},"uris":["http://www.mendeley.com/documents/?uuid=a8a36d4d-e863-4648-99f5-cbe54b95ced3"]}],"mendeley":{"formattedCitation":"&lt;sup&gt;20&lt;/sup&gt;","plainTextFormattedCitation":"20","previouslyFormattedCitation":"&lt;sup&gt;19&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14:ligatures w14:val="none"/>
              </w:rPr>
              <w:t>20</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14:ligatures w14:val="none"/>
              </w:rPr>
              <w:t>,</w:t>
            </w:r>
          </w:p>
        </w:tc>
        <w:tc>
          <w:tcPr>
            <w:tcW w:w="1870" w:type="dxa"/>
          </w:tcPr>
          <w:p w14:paraId="485A8106" w14:textId="3C09EA00" w:rsidR="000C0181"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14:ligatures w14:val="none"/>
              </w:rPr>
            </w:pPr>
            <w:r w:rsidRPr="003770C1">
              <w:rPr>
                <w:rFonts w:ascii="Times New Roman" w:hAnsi="Times New Roman" w:cs="Times New Roman"/>
                <w:color w:val="000000"/>
                <w:kern w:val="0"/>
                <w:sz w:val="20"/>
                <w:szCs w:val="20"/>
                <w14:ligatures w14:val="none"/>
              </w:rPr>
              <w:t>550–753</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hAnsi="Times New Roman" w:cs="Times New Roman"/>
                <w:color w:val="000000"/>
                <w:kern w:val="0"/>
                <w:sz w:val="20"/>
                <w:szCs w:val="20"/>
                <w14:ligatures w14:val="none"/>
              </w:rPr>
              <w:t xml:space="preserve">, </w:t>
            </w:r>
            <w:r w:rsidRPr="00BA08CC">
              <w:rPr>
                <w:rFonts w:ascii="Times New Roman" w:hAnsi="Times New Roman" w:cs="Times New Roman"/>
                <w:color w:val="000000"/>
                <w:kern w:val="0"/>
                <w:sz w:val="20"/>
                <w:szCs w:val="20"/>
                <w14:ligatures w14:val="none"/>
              </w:rPr>
              <w:t>500–8000</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hAnsi="Times New Roman" w:cs="Times New Roman"/>
                <w:color w:val="000000"/>
                <w:kern w:val="0"/>
                <w:sz w:val="20"/>
                <w:szCs w:val="20"/>
                <w14:ligatures w14:val="none"/>
              </w:rPr>
              <w:t>,</w:t>
            </w:r>
          </w:p>
          <w:p w14:paraId="1A49ECD1" w14:textId="4F374F56" w:rsidR="000C0181" w:rsidRPr="005D38A7"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0"/>
                <w:szCs w:val="20"/>
                <w14:ligatures w14:val="none"/>
              </w:rPr>
            </w:pPr>
            <w:r>
              <w:rPr>
                <w:rFonts w:ascii="Times New Roman" w:hAnsi="Times New Roman" w:cs="Times New Roman" w:hint="eastAsia"/>
                <w:color w:val="000000"/>
                <w:kern w:val="0"/>
                <w:sz w:val="20"/>
                <w:szCs w:val="20"/>
                <w14:ligatures w14:val="none"/>
              </w:rPr>
              <w:t>750-1500</w:t>
            </w:r>
            <w:r>
              <w:rPr>
                <w:rFonts w:ascii="Times New Roman" w:hAnsi="Times New Roman" w:cs="Times New Roman"/>
                <w:color w:val="000000"/>
                <w:kern w:val="0"/>
                <w:sz w:val="20"/>
                <w:szCs w:val="20"/>
                <w14:ligatures w14:val="none"/>
              </w:rPr>
              <w:fldChar w:fldCharType="begin" w:fldLock="1"/>
            </w:r>
            <w:r w:rsidR="00404868">
              <w:rPr>
                <w:rFonts w:ascii="Times New Roman" w:hAnsi="Times New Roman" w:cs="Times New Roman"/>
                <w:color w:val="000000"/>
                <w:kern w:val="0"/>
                <w:sz w:val="20"/>
                <w:szCs w:val="20"/>
                <w14:ligatures w14:val="none"/>
              </w:rPr>
              <w:instrText>ADDIN CSL_CITATION {"citationItems":[{"id":"ITEM-1","itemData":{"DOI":"10.1016/j.rser.2023.114245","ISSN":"18790690","abstract":"Energy transition requires a high penetration of reliable and flexible renewable energy. To do so, low-cost, efficient, high capacity and environmentally friendly storage technologies to manage the mismatch between energy production and demand are required. Carnot Batteries are considered as promising energy storage solutions tackling these requirements and storing electrical energy as thermal energy and releasing it whenever necessary while operating on reversible thermodynamic cycles. In Carnot Batteries, power is managed through rotating machines, such as compressors and turbines, and energy is stored as heat in thermal energy storages. In recent years, thermal cycles exploiting Carbon Dioxide (CO2) as operating fluid, in sub-critical, trans-critical and supercritical conditions, are gaining major interest, thanks to their versatility and high performance, especially for large scale applications. This paper provides an in-depth review on the state of the art of global R&amp;D activities on the use of carbon dioxide for large scale Carnot Battery application, while providing preliminary market and technology maturity breakdown. Different studies on CO2-Carnot Batteries at industrial and academic levels are discussed in detail while highlighting the novelty and improvement methods. Detailed information on battery parameters of charging, discharging and storage have been listed and critically analysed, finally concluding with SWOT (Strength, Weakness, Opportunity, Threats) and TRL (Technology Readiness Level) analyses for future developments.","author":[{"dropping-particle":"","family":"Shamsi","given":"Syed Safeer Mehdi","non-dropping-particle":"","parse-names":false,"suffix":""},{"dropping-particle":"","family":"Barberis","given":"Stefano","non-dropping-particle":"","parse-names":false,"suffix":""},{"dropping-particle":"","family":"Maccarini","given":"Simone","non-dropping-particle":"","parse-names":false,"suffix":""},{"dropping-particle":"","family":"Traverso","given":"Alberto","non-dropping-particle":"","parse-names":false,"suffix":""}],"container-title":"Renewable and Sustainable Energy Reviews","id":"ITEM-1","issue":"June 2023","issued":{"date-parts":[["2024"]]},"page":"114245","publisher":"Elsevier Ltd","title":"Large scale energy storage systems based on carbon dioxide thermal cycles: A critical review","type":"article-journal","volume":"192"},"uris":["http://www.mendeley.com/documents/?uuid=f228d25f-4d61-4742-bda1-87ffcb9052fd"]}],"mendeley":{"formattedCitation":"&lt;sup&gt;14&lt;/sup&gt;","plainTextFormattedCitation":"14","previouslyFormattedCitation":"&lt;sup&gt;14&lt;/sup&gt;"},"properties":{"noteIndex":0},"schema":"https://github.com/citation-style-language/schema/raw/master/csl-citation.json"}</w:instrText>
            </w:r>
            <w:r>
              <w:rPr>
                <w:rFonts w:ascii="Times New Roman" w:hAnsi="Times New Roman" w:cs="Times New Roman"/>
                <w:color w:val="000000"/>
                <w:kern w:val="0"/>
                <w:sz w:val="20"/>
                <w:szCs w:val="20"/>
                <w14:ligatures w14:val="none"/>
              </w:rPr>
              <w:fldChar w:fldCharType="separate"/>
            </w:r>
            <w:r w:rsidR="00226444" w:rsidRPr="00226444">
              <w:rPr>
                <w:rFonts w:ascii="Times New Roman" w:hAnsi="Times New Roman" w:cs="Times New Roman"/>
                <w:noProof/>
                <w:color w:val="000000"/>
                <w:kern w:val="0"/>
                <w:sz w:val="20"/>
                <w:szCs w:val="20"/>
                <w:vertAlign w:val="superscript"/>
                <w14:ligatures w14:val="none"/>
              </w:rPr>
              <w:t>14</w:t>
            </w:r>
            <w:r>
              <w:rPr>
                <w:rFonts w:ascii="Times New Roman" w:hAnsi="Times New Roman" w:cs="Times New Roman"/>
                <w:color w:val="000000"/>
                <w:kern w:val="0"/>
                <w:sz w:val="20"/>
                <w:szCs w:val="20"/>
                <w14:ligatures w14:val="none"/>
              </w:rPr>
              <w:fldChar w:fldCharType="end"/>
            </w:r>
            <w:r>
              <w:rPr>
                <w:rFonts w:ascii="Times New Roman" w:hAnsi="Times New Roman" w:cs="Times New Roman" w:hint="eastAsia"/>
                <w:color w:val="000000"/>
                <w:kern w:val="0"/>
                <w:sz w:val="20"/>
                <w:szCs w:val="20"/>
                <w14:ligatures w14:val="none"/>
              </w:rPr>
              <w:t>，</w:t>
            </w:r>
            <w:r>
              <w:rPr>
                <w:rFonts w:ascii="Times New Roman" w:hAnsi="Times New Roman" w:cs="Times New Roman"/>
                <w:color w:val="000000"/>
                <w:kern w:val="0"/>
                <w:sz w:val="20"/>
                <w:szCs w:val="20"/>
                <w14:ligatures w14:val="none"/>
              </w:rPr>
              <w:t>300-2800</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{"citationItems":[{"id":"ITEM-1","itemData":{"DOI":"10.1063/5.0032337","abstract":"Pumped Thermal Electricity Storage (PTES) is an energy storage device that uses grid electricity to drive a heat pump to generate hot and cold storage reservoirs. This thermal potential is later used to power a heat engine and return electricity to the grid. In this article, a PTES variant that uses supercritical carbon dioxide (sCO2) as the working fluid is introduced. sCO2-PTES cycles have higher work ratios and power densities than the systems based on ideal gases that have been investigated to date. Furthermore, sCO2-PTES cycles may achieve higher round-trip efficiencies for a given hot storage temperature (up to 78% at 560 degrees C). The sensitivity of PTES cycles to loss factors such as isentropic efficiencies and temperature differences between the power cycle and storage fluid is investigated. A second concept whereby an sCO2-PTES cycle is integrated with concentrating solar power (CSP) is introduced. This concept 'time-shifts' the recompression of an sCO2 recompression cycle to a period of lower electricity prices and stores the heat. When solar heat is dispatched, the recompressor may be avoided as the required heat is obtained from storage, thereby leading to increased heat engine efficiencies. The net work output of this integrated system is 10-18% greater than the conventional recompression cycle. Combining PTES with a CSP power cycle is therefore shown to improve the dispatch of solar heat as well as providing electricity storage services.","author":[{"dropping-particle":"","family":"McTigue","given":"Joshua","non-dropping-particle":"","parse-names":false,"suffix":""},{"dropping-particle":"","family":"Farres-Antunez","given":"Pau","non-dropping-particle":"","parse-names":false,"suffix":""},{"dropping-particle":"","family":"Ellingwood","given":"Kevin","non-dropping-particle":"","parse-names":false,"suffix":""},{"dropping-particle":"","family":"Neises","given":"Ty","non-dropping-particle":"","parse-names":false,"suffix":""},{"dropping-particle":"","family":"White","given":"Alexander","non-dropping-particle":"","parse-names":false,"suffix":""}],"container-title":"the Vii International Young Researchers’ Conference – Physics, Technology, Innovations (Pti-2020)","id":"ITEM-1","issue":"September","issued":{"date-parts":[["2020"]]},"page":"190024","title":"Pumped thermal electricity storage with supercritical CO2 cycles and solar heat input","type":"article-journal","volume":"2313"},"uris":["http://www.mendeley.com/documents/?uuid=a8a36d4d-e863-4648-99f5-cbe54b95ced3"]}],"mendeley":{"formattedCitation":"&lt;sup&gt;20&lt;/sup&gt;","plainTextFormattedCitation":"20","previouslyFormattedCitation":"&lt;sup&gt;19&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14:ligatures w14:val="none"/>
              </w:rPr>
              <w:t>20</w:t>
            </w:r>
            <w:r>
              <w:rPr>
                <w:rFonts w:ascii="Times New Roman" w:eastAsia="Times New Roman" w:hAnsi="Times New Roman" w:cs="Times New Roman"/>
                <w:color w:val="000000"/>
                <w:kern w:val="0"/>
                <w:sz w:val="20"/>
                <w:szCs w:val="20"/>
                <w14:ligatures w14:val="none"/>
              </w:rPr>
              <w:fldChar w:fldCharType="end"/>
            </w:r>
            <w:r>
              <w:rPr>
                <w:rFonts w:ascii="Times New Roman" w:hAnsi="Times New Roman" w:cs="Times New Roman"/>
                <w:color w:val="000000"/>
                <w:kern w:val="0"/>
                <w:sz w:val="20"/>
                <w:szCs w:val="20"/>
                <w14:ligatures w14:val="none"/>
              </w:rPr>
              <w:t>,</w:t>
            </w:r>
          </w:p>
        </w:tc>
        <w:tc>
          <w:tcPr>
            <w:tcW w:w="1748" w:type="dxa"/>
          </w:tcPr>
          <w:p w14:paraId="3E777121" w14:textId="655E0961" w:rsidR="000C0181" w:rsidRPr="003770C1"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14:ligatures w14:val="none"/>
              </w:rPr>
            </w:pPr>
            <w:r w:rsidRPr="003770C1">
              <w:rPr>
                <w:rFonts w:ascii="Times New Roman" w:eastAsia="Times New Roman" w:hAnsi="Times New Roman" w:cs="Times New Roman"/>
                <w:color w:val="000000"/>
                <w:kern w:val="0"/>
                <w:sz w:val="20"/>
                <w:szCs w:val="20"/>
                <w14:ligatures w14:val="none"/>
              </w:rPr>
              <w:t>275–376</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14:ligatures w14:val="none"/>
              </w:rPr>
              <w:t xml:space="preserve">, </w:t>
            </w:r>
            <w:r w:rsidRPr="00DA5F7D">
              <w:rPr>
                <w:rFonts w:ascii="Times New Roman" w:eastAsia="Times New Roman" w:hAnsi="Times New Roman" w:cs="Times New Roman"/>
                <w:color w:val="000000"/>
                <w:kern w:val="0"/>
                <w:sz w:val="20"/>
                <w:szCs w:val="20"/>
                <w14:ligatures w14:val="none"/>
              </w:rPr>
              <w:t>250–1000</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14:ligatures w14:val="none"/>
              </w:rPr>
              <w:t xml:space="preserve">, </w:t>
            </w:r>
            <w:r w:rsidRPr="00C12F6F">
              <w:rPr>
                <w:rFonts w:ascii="Times New Roman" w:eastAsia="Times New Roman" w:hAnsi="Times New Roman" w:cs="Times New Roman"/>
                <w:color w:val="000000"/>
                <w:kern w:val="0"/>
                <w:sz w:val="20"/>
                <w:szCs w:val="20"/>
                <w14:ligatures w14:val="none"/>
              </w:rPr>
              <w:t>0.22</w:t>
            </w:r>
            <w:r w:rsidRPr="00C12F6F">
              <w:rPr>
                <w:rFonts w:ascii="Times New Roman" w:eastAsia="Times New Roman" w:hAnsi="Times New Roman" w:cs="Times New Roman"/>
                <w:color w:val="000000"/>
                <w:kern w:val="0"/>
                <w:sz w:val="20"/>
                <w:szCs w:val="20"/>
                <w:vertAlign w:val="superscript"/>
                <w14:ligatures w14:val="none"/>
              </w:rPr>
              <w:t>6</w:t>
            </w:r>
            <w:r w:rsidRPr="00C12F6F">
              <w:rPr>
                <w:rFonts w:ascii="Times New Roman" w:eastAsia="Times New Roman" w:hAnsi="Times New Roman" w:cs="Times New Roman"/>
                <w:color w:val="000000"/>
                <w:kern w:val="0"/>
                <w:sz w:val="20"/>
                <w:szCs w:val="20"/>
                <w14:ligatures w14:val="none"/>
              </w:rPr>
              <w:t>,</w:t>
            </w:r>
            <w:r>
              <w:rPr>
                <w:rFonts w:ascii="Times New Roman" w:eastAsia="Times New Roman" w:hAnsi="Times New Roman" w:cs="Times New Roman"/>
                <w:color w:val="000000"/>
                <w:kern w:val="0"/>
                <w:sz w:val="20"/>
                <w:szCs w:val="20"/>
                <w14:ligatures w14:val="none"/>
              </w:rPr>
              <w:t xml:space="preserve"> 25-250</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{"citationItems":[{"id":"ITEM-1","itemData":{"DOI":"10.1063/5.0032337","abstract":"Pumped Thermal Electricity Storage (PTES) is an energy storage device that uses grid electricity to drive a heat pump to generate hot and cold storage reservoirs. This thermal potential is later used to power a heat engine and return electricity to the grid. In this article, a PTES variant that uses supercritical carbon dioxide (sCO2) as the working fluid is introduced. sCO2-PTES cycles have higher work ratios and power densities than the systems based on ideal gases that have been investigated to date. Furthermore, sCO2-PTES cycles may achieve higher round-trip efficiencies for a given hot storage temperature (up to 78% at 560 degrees C). The sensitivity of PTES cycles to loss factors such as isentropic efficiencies and temperature differences between the power cycle and storage fluid is investigated. A second concept whereby an sCO2-PTES cycle is integrated with concentrating solar power (CSP) is introduced. This concept 'time-shifts' the recompression of an sCO2 recompression cycle to a period of lower electricity prices and stores the heat. When solar heat is dispatched, the recompressor may be avoided as the required heat is obtained from storage, thereby leading to increased heat engine efficiencies. The net work output of this integrated system is 10-18% greater than the conventional recompression cycle. Combining PTES with a CSP power cycle is therefore shown to improve the dispatch of solar heat as well as providing electricity storage services.","author":[{"dropping-particle":"","family":"McTigue","given":"Joshua","non-dropping-particle":"","parse-names":false,"suffix":""},{"dropping-particle":"","family":"Farres-Antunez","given":"Pau","non-dropping-particle":"","parse-names":false,"suffix":""},{"dropping-particle":"","family":"Ellingwood","given":"Kevin","non-dropping-particle":"","parse-names":false,"suffix":""},{"dropping-particle":"","family":"Neises","given":"Ty","non-dropping-particle":"","parse-names":false,"suffix":""},{"dropping-particle":"","family":"White","given":"Alexander","non-dropping-particle":"","parse-names":false,"suffix":""}],"container-title":"the Vii International Young Researchers’ Conference – Physics, Technology, Innovations (Pti-2020)","id":"ITEM-1","issue":"September","issued":{"date-parts":[["2020"]]},"page":"190024","title":"Pumped thermal electricity storage with supercritical CO2 cycles and solar heat input","type":"article-journal","volume":"2313"},"uris":["http://www.mendeley.com/documents/?uuid=a8a36d4d-e863-4648-99f5-cbe54b95ced3"]}],"mendeley":{"formattedCitation":"&lt;sup&gt;20&lt;/sup&gt;","plainTextFormattedCitation":"20","previouslyFormattedCitation":"&lt;sup&gt;19&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14:ligatures w14:val="none"/>
              </w:rPr>
              <w:t>20</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14:ligatures w14:val="none"/>
              </w:rPr>
              <w:t>,</w:t>
            </w:r>
          </w:p>
        </w:tc>
        <w:tc>
          <w:tcPr>
            <w:tcW w:w="0" w:type="auto"/>
          </w:tcPr>
          <w:p w14:paraId="4FD90A2C" w14:textId="0840276B" w:rsidR="000C0181"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14:ligatures w14:val="none"/>
              </w:rPr>
            </w:pPr>
          </w:p>
        </w:tc>
        <w:tc>
          <w:tcPr>
            <w:tcW w:w="0" w:type="auto"/>
          </w:tcPr>
          <w:p w14:paraId="546824E8" w14:textId="06E131CD"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0" w:type="auto"/>
          </w:tcPr>
          <w:p w14:paraId="3A5CB9D7" w14:textId="77777777"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H - M</w:t>
            </w:r>
          </w:p>
        </w:tc>
        <w:tc>
          <w:tcPr>
            <w:tcW w:w="0" w:type="auto"/>
          </w:tcPr>
          <w:p w14:paraId="1252339E" w14:textId="77777777"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&gt;25</w:t>
            </w:r>
          </w:p>
        </w:tc>
        <w:tc>
          <w:tcPr>
            <w:tcW w:w="0" w:type="auto"/>
          </w:tcPr>
          <w:p w14:paraId="7692E4F3" w14:textId="77777777" w:rsidR="000C0181"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LCOS </w:t>
            </w:r>
            <w:r w:rsidRPr="004C186F">
              <w:rPr>
                <w:rFonts w:ascii="Times New Roman" w:eastAsia="Times New Roman" w:hAnsi="Times New Roman" w:cs="Times New Roman"/>
                <w:color w:val="000000"/>
                <w:kern w:val="0"/>
                <w:sz w:val="20"/>
                <w:szCs w:val="20"/>
                <w14:ligatures w14:val="none"/>
              </w:rPr>
              <w:t>230</w:t>
            </w:r>
            <w:r>
              <w:rPr>
                <w:rFonts w:ascii="Times New Roman" w:eastAsia="Times New Roman" w:hAnsi="Times New Roman" w:cs="Times New Roman"/>
                <w:color w:val="000000"/>
                <w:kern w:val="0"/>
                <w:sz w:val="20"/>
                <w:szCs w:val="20"/>
                <w14:ligatures w14:val="none"/>
              </w:rPr>
              <w:t xml:space="preserve"> or 180-440 </w:t>
            </w:r>
            <w:r w:rsidRPr="004C186F">
              <w:rPr>
                <w:rFonts w:ascii="Times New Roman" w:eastAsia="Times New Roman" w:hAnsi="Times New Roman" w:cs="Times New Roman"/>
                <w:color w:val="000000"/>
                <w:kern w:val="0"/>
                <w:sz w:val="20"/>
                <w:szCs w:val="20"/>
                <w14:ligatures w14:val="none"/>
              </w:rPr>
              <w:t>$/MWh</w:t>
            </w:r>
            <w:r>
              <w:rPr>
                <w:rFonts w:ascii="Times New Roman" w:eastAsia="Times New Roman" w:hAnsi="Times New Roman" w:cs="Times New Roman"/>
                <w:color w:val="000000"/>
                <w:kern w:val="0"/>
                <w:sz w:val="20"/>
                <w:szCs w:val="20"/>
                <w14:ligatures w14:val="none"/>
              </w:rPr>
              <w:t>,</w:t>
            </w:r>
          </w:p>
          <w:p w14:paraId="7C663316" w14:textId="338D65B8" w:rsidR="000C0181"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TRL 4-7</w:t>
            </w:r>
            <w:r>
              <w:rPr>
                <w:rFonts w:ascii="Times New Roman" w:hAnsi="Times New Roman" w:cs="Times New Roman"/>
                <w:color w:val="000000"/>
                <w:kern w:val="0"/>
                <w:sz w:val="20"/>
                <w:szCs w:val="20"/>
                <w14:ligatures w14:val="none"/>
              </w:rPr>
              <w:fldChar w:fldCharType="begin" w:fldLock="1"/>
            </w:r>
            <w:r w:rsidR="00404868">
              <w:rPr>
                <w:rFonts w:ascii="Times New Roman" w:hAnsi="Times New Roman" w:cs="Times New Roman"/>
                <w:color w:val="000000"/>
                <w:kern w:val="0"/>
                <w:sz w:val="20"/>
                <w:szCs w:val="20"/>
                <w14:ligatures w14:val="none"/>
              </w:rPr>
              <w:instrText>ADDIN CSL_CITATION {"citationItems":[{"id":"ITEM-1","itemData":{"DOI":"10.1016/j.rser.2023.114245","ISSN":"18790690","abstract":"Energy transition requires a high penetration of reliable and flexible renewable energy. To do so, low-cost, efficient, high capacity and environmentally friendly storage technologies to manage the mismatch between energy production and demand are required. Carnot Batteries are considered as promising energy storage solutions tackling these requirements and storing electrical energy as thermal energy and releasing it whenever necessary while operating on reversible thermodynamic cycles. In Carnot Batteries, power is managed through rotating machines, such as compressors and turbines, and energy is stored as heat in thermal energy storages. In recent years, thermal cycles exploiting Carbon Dioxide (CO2) as operating fluid, in sub-critical, trans-critical and supercritical conditions, are gaining major interest, thanks to their versatility and high performance, especially for large scale applications. This paper provides an in-depth review on the state of the art of global R&amp;D activities on the use of carbon dioxide for large scale Carnot Battery application, while providing preliminary market and technology maturity breakdown. Different studies on CO2-Carnot Batteries at industrial and academic levels are discussed in detail while highlighting the novelty and improvement methods. Detailed information on battery parameters of charging, discharging and storage have been listed and critically analysed, finally concluding with SWOT (Strength, Weakness, Opportunity, Threats) and TRL (Technology Readiness Level) analyses for future developments.","author":[{"dropping-particle":"","family":"Shamsi","given":"Syed Safeer Mehdi","non-dropping-particle":"","parse-names":false,"suffix":""},{"dropping-particle":"","family":"Barberis","given":"Stefano","non-dropping-particle":"","parse-names":false,"suffix":""},{"dropping-particle":"","family":"Maccarini","given":"Simone","non-dropping-particle":"","parse-names":false,"suffix":""},{"dropping-particle":"","family":"Traverso","given":"Alberto","non-dropping-particle":"","parse-names":false,"suffix":""}],"container-title":"Renewable and Sustainable Energy Reviews","id":"ITEM-1","issue":"June 2023","issued":{"date-parts":[["2024"]]},"page":"114245","publisher":"Elsevier Ltd","title":"Large scale energy storage systems based on carbon dioxide thermal cycles: A critical review","type":"article-journal","volume":"192"},"uris":["http://www.mendeley.com/documents/?uuid=f228d25f-4d61-4742-bda1-87ffcb9052fd"]}],"mendeley":{"formattedCitation":"&lt;sup&gt;14&lt;/sup&gt;","plainTextFormattedCitation":"14","previouslyFormattedCitation":"&lt;sup&gt;14&lt;/sup&gt;"},"properties":{"noteIndex":0},"schema":"https://github.com/citation-style-language/schema/raw/master/csl-citation.json"}</w:instrText>
            </w:r>
            <w:r>
              <w:rPr>
                <w:rFonts w:ascii="Times New Roman" w:hAnsi="Times New Roman" w:cs="Times New Roman"/>
                <w:color w:val="000000"/>
                <w:kern w:val="0"/>
                <w:sz w:val="20"/>
                <w:szCs w:val="20"/>
                <w14:ligatures w14:val="none"/>
              </w:rPr>
              <w:fldChar w:fldCharType="separate"/>
            </w:r>
            <w:r w:rsidR="00226444" w:rsidRPr="00226444">
              <w:rPr>
                <w:rFonts w:ascii="Times New Roman" w:hAnsi="Times New Roman" w:cs="Times New Roman"/>
                <w:noProof/>
                <w:color w:val="000000"/>
                <w:kern w:val="0"/>
                <w:sz w:val="20"/>
                <w:szCs w:val="20"/>
                <w:vertAlign w:val="superscript"/>
                <w14:ligatures w14:val="none"/>
              </w:rPr>
              <w:t>14</w:t>
            </w:r>
            <w:r>
              <w:rPr>
                <w:rFonts w:ascii="Times New Roman" w:hAnsi="Times New Roman" w:cs="Times New Roman"/>
                <w:color w:val="000000"/>
                <w:kern w:val="0"/>
                <w:sz w:val="20"/>
                <w:szCs w:val="20"/>
                <w14:ligatures w14:val="none"/>
              </w:rPr>
              <w:fldChar w:fldCharType="end"/>
            </w:r>
          </w:p>
        </w:tc>
      </w:tr>
      <w:tr w:rsidR="000C0181" w:rsidRPr="00C12F6F" w14:paraId="460BB18F" w14:textId="77777777" w:rsidTr="000C018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319DB2B4" w14:textId="5A3506BF" w:rsidR="000C0181" w:rsidRPr="000B002C" w:rsidRDefault="000C0181" w:rsidP="000C0181">
            <w:pPr>
              <w:jc w:val="center"/>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Resistive heat CB</w:t>
            </w:r>
          </w:p>
        </w:tc>
        <w:tc>
          <w:tcPr>
            <w:tcW w:w="0" w:type="auto"/>
          </w:tcPr>
          <w:p w14:paraId="09DD6B2D" w14:textId="77777777"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1870" w:type="dxa"/>
          </w:tcPr>
          <w:p w14:paraId="0E655147" w14:textId="276C54DE"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1300-1500</w:t>
            </w:r>
            <w:r>
              <w:rPr>
                <w:rFonts w:ascii="Times New Roman" w:eastAsia="DengXian" w:hAnsi="Times New Roman" w:cs="Times New Roman"/>
                <w:sz w:val="20"/>
                <w:szCs w:val="20"/>
              </w:rPr>
              <w:fldChar w:fldCharType="begin" w:fldLock="1"/>
            </w:r>
            <w:r w:rsidR="00404868">
              <w:rPr>
                <w:rFonts w:ascii="Times New Roman" w:eastAsia="DengXian" w:hAnsi="Times New Roman" w:cs="Times New Roman"/>
                <w:sz w:val="20"/>
                <w:szCs w:val="20"/>
              </w:rPr>
              <w:instrText>ADDIN CSL_CITATION {"citationItems":[{"id":"ITEM-1","itemData":{"DOI":"10.1016/j.energy.2024.133500","ISSN":"18736785","abstract":"To enable the widespread exploitation of intermittent, low-cost, and non-dispatchable renewable energy technologies, energy storage plays a key role in providing the required flexibility. This study introduces maps of optimal combination of Thermal Energy Storage (TES) and power cycles, supporting decision-making in power-to-heat-to-power applications. These maps span a wide temperature range from 200 to 1200 °C and are proposed for different charging costs, installed capacities, and storage durations. For thermal-to-electricity reconversion, this study explores power blocks including steam Rankine cycle, supercritical CO2 (sCO2) Brayton cycle, Organic Rankine Cycle (ORC), and combined gas turbine with Rankine and sCO2. Results highlight that, in a grid-based plant with a 50 EUR/MWh charging cost, the most cost-effective pairing involves sCO2 cycles with recompression and intercooling, with particle TES at 600–800 °C. Air packed-bed suits scenarios where TES contributes significantly to capital costs or involves low charging costs. Molten salt TES is the optimal choice when the design temperatures align with salt temperature limitations. Particle TES proves cost-effective across a broad temperature range and scales (10–200 MW). For solar-based systems, the integration of molten salt TES with simple sCO2 recuperated cycles demonstrates market potential for southern European locations.","author":[{"dropping-particle":"","family":"Guccione","given":"Salvatore","non-dropping-particle":"","parse-names":false,"suffix":""},{"dropping-particle":"","family":"Guedez","given":"Rafael","non-dropping-particle":"","parse-names":false,"suffix":""}],"container-title":"Energy","id":"ITEM-1","issue":"February","issued":{"date-parts":[["2024"]]},"page":"133500","publisher":"Elsevier Ltd","title":"Techno-economic analysis of power-to-heat-to-power plants: Mapping optimal combinations of thermal energy storage and power cycles","type":"article-journal","volume":"312"},"uris":["http://www.mendeley.com/documents/?uuid=c8e553cb-1bab-4cd6-b400-4eb816db584c"]}],"mendeley":{"formattedCitation":"&lt;sup&gt;10&lt;/sup&gt;","plainTextFormattedCitation":"10","previouslyFormattedCitation":"&lt;sup&gt;10&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26444" w:rsidRPr="00226444">
              <w:rPr>
                <w:rFonts w:ascii="Times New Roman" w:eastAsia="DengXian" w:hAnsi="Times New Roman" w:cs="Times New Roman"/>
                <w:noProof/>
                <w:sz w:val="20"/>
                <w:szCs w:val="20"/>
                <w:vertAlign w:val="superscript"/>
              </w:rPr>
              <w:t>10</w:t>
            </w:r>
            <w:r>
              <w:rPr>
                <w:rFonts w:ascii="Times New Roman" w:eastAsia="DengXian" w:hAnsi="Times New Roman" w:cs="Times New Roman"/>
                <w:sz w:val="20"/>
                <w:szCs w:val="20"/>
              </w:rPr>
              <w:fldChar w:fldCharType="end"/>
            </w:r>
            <w:r>
              <w:rPr>
                <w:rFonts w:ascii="Times New Roman" w:eastAsia="Times New Roman" w:hAnsi="Times New Roman" w:cs="Times New Roman"/>
                <w:color w:val="000000"/>
                <w:kern w:val="0"/>
                <w:sz w:val="20"/>
                <w:szCs w:val="20"/>
                <w14:ligatures w14:val="none"/>
              </w:rPr>
              <w:t>,</w:t>
            </w:r>
          </w:p>
        </w:tc>
        <w:tc>
          <w:tcPr>
            <w:tcW w:w="1748" w:type="dxa"/>
          </w:tcPr>
          <w:p w14:paraId="1C0E84CE" w14:textId="49C1457E" w:rsidR="000C0181" w:rsidRPr="00951975"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186</w:t>
            </w:r>
            <w:r>
              <w:rPr>
                <w:rFonts w:ascii="Times New Roman" w:eastAsia="DengXian" w:hAnsi="Times New Roman" w:cs="Times New Roman"/>
                <w:sz w:val="20"/>
                <w:szCs w:val="20"/>
              </w:rPr>
              <w:fldChar w:fldCharType="begin" w:fldLock="1"/>
            </w:r>
            <w:r w:rsidR="00404868">
              <w:rPr>
                <w:rFonts w:ascii="Times New Roman" w:eastAsia="DengXian" w:hAnsi="Times New Roman" w:cs="Times New Roman"/>
                <w:sz w:val="20"/>
                <w:szCs w:val="20"/>
              </w:rPr>
              <w:instrText>ADDIN CSL_CITATION {"citationItems":[{"id":"ITEM-1","itemData":{"DOI":"10.1016/j.energy.2024.133500","ISSN":"18736785","abstract":"To enable the widespread exploitation of intermittent, low-cost, and non-dispatchable renewable energy technologies, energy storage plays a key role in providing the required flexibility. This study introduces maps of optimal combination of Thermal Energy Storage (TES) and power cycles, supporting decision-making in power-to-heat-to-power applications. These maps span a wide temperature range from 200 to 1200 °C and are proposed for different charging costs, installed capacities, and storage durations. For thermal-to-electricity reconversion, this study explores power blocks including steam Rankine cycle, supercritical CO2 (sCO2) Brayton cycle, Organic Rankine Cycle (ORC), and combined gas turbine with Rankine and sCO2. Results highlight that, in a grid-based plant with a 50 EUR/MWh charging cost, the most cost-effective pairing involves sCO2 cycles with recompression and intercooling, with particle TES at 600–800 °C. Air packed-bed suits scenarios where TES contributes significantly to capital costs or involves low charging costs. Molten salt TES is the optimal choice when the design temperatures align with salt temperature limitations. Particle TES proves cost-effective across a broad temperature range and scales (10–200 MW). For solar-based systems, the integration of molten salt TES with simple sCO2 recuperated cycles demonstrates market potential for southern European locations.","author":[{"dropping-particle":"","family":"Guccione","given":"Salvatore","non-dropping-particle":"","parse-names":false,"suffix":""},{"dropping-particle":"","family":"Guedez","given":"Rafael","non-dropping-particle":"","parse-names":false,"suffix":""}],"container-title":"Energy","id":"ITEM-1","issue":"February","issued":{"date-parts":[["2024"]]},"page":"133500","publisher":"Elsevier Ltd","title":"Techno-economic analysis of power-to-heat-to-power plants: Mapping optimal combinations of thermal energy storage and power cycles","type":"article-journal","volume":"312"},"uris":["http://www.mendeley.com/documents/?uuid=c8e553cb-1bab-4cd6-b400-4eb816db584c"]}],"mendeley":{"formattedCitation":"&lt;sup&gt;10&lt;/sup&gt;","plainTextFormattedCitation":"10","previouslyFormattedCitation":"&lt;sup&gt;10&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26444" w:rsidRPr="00226444">
              <w:rPr>
                <w:rFonts w:ascii="Times New Roman" w:eastAsia="DengXian" w:hAnsi="Times New Roman" w:cs="Times New Roman"/>
                <w:noProof/>
                <w:sz w:val="20"/>
                <w:szCs w:val="20"/>
                <w:vertAlign w:val="superscript"/>
              </w:rPr>
              <w:t>10</w:t>
            </w:r>
            <w:r>
              <w:rPr>
                <w:rFonts w:ascii="Times New Roman" w:eastAsia="DengXian" w:hAnsi="Times New Roman" w:cs="Times New Roman"/>
                <w:sz w:val="20"/>
                <w:szCs w:val="20"/>
              </w:rPr>
              <w:fldChar w:fldCharType="end"/>
            </w:r>
            <w:r>
              <w:rPr>
                <w:rFonts w:ascii="Times New Roman" w:eastAsia="Times New Roman" w:hAnsi="Times New Roman" w:cs="Times New Roman"/>
                <w:color w:val="000000"/>
                <w:kern w:val="0"/>
                <w:sz w:val="20"/>
                <w:szCs w:val="20"/>
                <w14:ligatures w14:val="none"/>
              </w:rPr>
              <w:t>,</w:t>
            </w:r>
          </w:p>
        </w:tc>
        <w:tc>
          <w:tcPr>
            <w:tcW w:w="0" w:type="auto"/>
          </w:tcPr>
          <w:p w14:paraId="5FEBBF8C" w14:textId="2A3CE041"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0" w:type="auto"/>
          </w:tcPr>
          <w:p w14:paraId="722044E2" w14:textId="2034F237"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0" w:type="auto"/>
          </w:tcPr>
          <w:p w14:paraId="5AFF88F0" w14:textId="25B43BBF"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H - M</w:t>
            </w:r>
          </w:p>
        </w:tc>
        <w:tc>
          <w:tcPr>
            <w:tcW w:w="0" w:type="auto"/>
          </w:tcPr>
          <w:p w14:paraId="18353C53" w14:textId="0E64E622"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&gt;25</w:t>
            </w:r>
          </w:p>
        </w:tc>
        <w:tc>
          <w:tcPr>
            <w:tcW w:w="0" w:type="auto"/>
          </w:tcPr>
          <w:p w14:paraId="4FDD4E5D" w14:textId="77777777"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LCOS 186 $/MWh</w:t>
            </w:r>
          </w:p>
          <w:p w14:paraId="4D580D86" w14:textId="78141F79"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TRL 7-8 </w:t>
            </w:r>
          </w:p>
        </w:tc>
      </w:tr>
      <w:tr w:rsidR="000C0181" w:rsidRPr="00C12F6F" w14:paraId="210250AC" w14:textId="77777777" w:rsidTr="000C0181">
        <w:trPr>
          <w:trHeight w:val="60"/>
        </w:trPr>
        <w:tc>
          <w:tcPr>
            <w:cnfStyle w:val="001000000000" w:firstRow="0" w:lastRow="0" w:firstColumn="1" w:lastColumn="0" w:oddVBand="0" w:evenVBand="0" w:oddHBand="0" w:evenHBand="0" w:firstRowFirstColumn="0" w:firstRowLastColumn="0" w:lastRowFirstColumn="0" w:lastRowLastColumn="0"/>
            <w:tcW w:w="0" w:type="auto"/>
          </w:tcPr>
          <w:p w14:paraId="0E686BE5" w14:textId="77777777" w:rsidR="000C0181" w:rsidRPr="000B002C" w:rsidRDefault="000C0181" w:rsidP="000C0181">
            <w:pPr>
              <w:jc w:val="center"/>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Sensible heat</w:t>
            </w:r>
          </w:p>
        </w:tc>
        <w:tc>
          <w:tcPr>
            <w:tcW w:w="0" w:type="auto"/>
          </w:tcPr>
          <w:p w14:paraId="56FFDF18" w14:textId="310928E2"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15-80</w:t>
            </w:r>
            <w:r w:rsidRPr="00C12F6F">
              <w:rPr>
                <w:rFonts w:ascii="Times New Roman" w:eastAsia="Times New Roman" w:hAnsi="Times New Roman" w:cs="Times New Roman"/>
                <w:color w:val="000000"/>
                <w:kern w:val="0"/>
                <w:sz w:val="20"/>
                <w:szCs w:val="20"/>
                <w:lang w:eastAsia="zh-TW"/>
                <w14:ligatures w14:val="none"/>
              </w:rPr>
              <w:br/>
              <w:t>25-85</w:t>
            </w:r>
            <w:r w:rsidRPr="00C12F6F">
              <w:rPr>
                <w:rFonts w:ascii="Times New Roman" w:eastAsia="Times New Roman" w:hAnsi="Times New Roman" w:cs="Times New Roman"/>
                <w:color w:val="000000"/>
                <w:kern w:val="0"/>
                <w:sz w:val="20"/>
                <w:szCs w:val="20"/>
                <w:lang w:eastAsia="zh-TW"/>
                <w14:ligatures w14:val="none"/>
              </w:rPr>
              <w:br/>
              <w:t>70-200, 82(water),</w:t>
            </w:r>
            <w:r>
              <w:rPr>
                <w:rFonts w:ascii="Times New Roman" w:hAnsi="Times New Roman" w:cs="Times New Roman" w:hint="eastAsia"/>
                <w:color w:val="000000"/>
                <w:kern w:val="0"/>
                <w:sz w:val="20"/>
                <w:szCs w:val="20"/>
                <w14:ligatures w14:val="none"/>
              </w:rPr>
              <w:t xml:space="preserve"> 25-120</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{"citationItems":[{"id":"ITEM-1","itemData":{"DOI":"10.1016/j.est.2019.101047","ISSN":"2352152X","abstract":"Energy storage technologies, including storage types, categorizations and comparisons, are critically reviewed. Most energy storage technologies are considered, including electrochemical and battery energy storage, thermal energy storage, thermochemical energy storage, flywheel energy storage, compressed air energy storage, pumped energy storage, magnetic energy storage, chemical and hydrogen energy storage. Recent research on new energy storage types as well as important advances and developments in energy storage, are also included throughout.","author":[{"dropping-particle":"","family":"Koohi-Fayegh","given":"S.","non-dropping-particle":"","parse-names":false,"suffix":""},{"dropping-particle":"","family":"Rosen","given":"M. A.","non-dropping-particle":"","parse-names":false,"suffix":""}],"container-title":"Journal of Energy Storage","id":"ITEM-1","issued":{"date-parts":[["2020","2"]]},"page":"101047","publisher":"Elsevier Ltd","title":"A review of energy storage types, applications and recent developments","type":"article","volume":"27"},"uris":["http://www.mendeley.com/documents/?uuid=46a0d9d3-d899-4fd8-8dd4-2559ecf51078"]}],"mendeley":{"formattedCitation":"&lt;sup&gt;17&lt;/sup&gt;","plainTextFormattedCitation":"17","previouslyFormattedCitation":"&lt;sup&gt;16&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17</w:t>
            </w:r>
            <w:r>
              <w:rPr>
                <w:rFonts w:ascii="Times New Roman" w:eastAsia="Times New Roman" w:hAnsi="Times New Roman" w:cs="Times New Roman"/>
                <w:color w:val="000000"/>
                <w:kern w:val="0"/>
                <w:sz w:val="20"/>
                <w:szCs w:val="20"/>
                <w:lang w:eastAsia="zh-TW"/>
                <w14:ligatures w14:val="none"/>
              </w:rPr>
              <w:fldChar w:fldCharType="end"/>
            </w:r>
            <w:r>
              <w:rPr>
                <w:rFonts w:ascii="Times New Roman" w:hAnsi="Times New Roman" w:cs="Times New Roman" w:hint="eastAsia"/>
                <w:color w:val="000000"/>
                <w:kern w:val="0"/>
                <w:sz w:val="20"/>
                <w:szCs w:val="20"/>
                <w14:ligatures w14:val="none"/>
              </w:rPr>
              <w:t xml:space="preserve">, 10-120 </w:t>
            </w:r>
            <w:proofErr w:type="spellStart"/>
            <w:r>
              <w:rPr>
                <w:rFonts w:ascii="Times New Roman" w:hAnsi="Times New Roman" w:cs="Times New Roman" w:hint="eastAsia"/>
                <w:color w:val="000000"/>
                <w:kern w:val="0"/>
                <w:sz w:val="20"/>
                <w:szCs w:val="20"/>
                <w14:ligatures w14:val="none"/>
              </w:rPr>
              <w:t>Wh</w:t>
            </w:r>
            <w:proofErr w:type="spellEnd"/>
            <w:r>
              <w:rPr>
                <w:rFonts w:ascii="Times New Roman" w:hAnsi="Times New Roman" w:cs="Times New Roman" w:hint="eastAsia"/>
                <w:color w:val="000000"/>
                <w:kern w:val="0"/>
                <w:sz w:val="20"/>
                <w:szCs w:val="20"/>
                <w14:ligatures w14:val="none"/>
              </w:rPr>
              <w:t>/kg</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{"citationItems":[{"id":"ITEM-1","itemData":{"DOI":"10.1016/j.est.2019.101047","ISSN":"2352152X","abstract":"Energy storage technologies, including storage types, categorizations and comparisons, are critically reviewed. Most energy storage technologies are considered, including electrochemical and battery energy storage, thermal energy storage, thermochemical energy storage, flywheel energy storage, compressed air energy storage, pumped energy storage, magnetic energy storage, chemical and hydrogen energy storage. Recent research on new energy storage types as well as important advances and developments in energy storage, are also included throughout.","author":[{"dropping-particle":"","family":"Koohi-Fayegh","given":"S.","non-dropping-particle":"","parse-names":false,"suffix":""},{"dropping-particle":"","family":"Rosen","given":"M. A.","non-dropping-particle":"","parse-names":false,"suffix":""}],"container-title":"Journal of Energy Storage","id":"ITEM-1","issued":{"date-parts":[["2020","2"]]},"page":"101047","publisher":"Elsevier Ltd","title":"A review of energy storage types, applications and recent developments","type":"article","volume":"27"},"uris":["http://www.mendeley.com/documents/?uuid=46a0d9d3-d899-4fd8-8dd4-2559ecf51078"]}],"mendeley":{"formattedCitation":"&lt;sup&gt;17&lt;/sup&gt;","plainTextFormattedCitation":"17","previouslyFormattedCitation":"&lt;sup&gt;16&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17</w:t>
            </w:r>
            <w:r>
              <w:rPr>
                <w:rFonts w:ascii="Times New Roman" w:eastAsia="Times New Roman" w:hAnsi="Times New Roman" w:cs="Times New Roman"/>
                <w:color w:val="000000"/>
                <w:kern w:val="0"/>
                <w:sz w:val="20"/>
                <w:szCs w:val="20"/>
                <w:lang w:eastAsia="zh-TW"/>
                <w14:ligatures w14:val="none"/>
              </w:rPr>
              <w:fldChar w:fldCharType="end"/>
            </w:r>
            <w:r>
              <w:rPr>
                <w:rFonts w:ascii="Times New Roman" w:hAnsi="Times New Roman" w:cs="Times New Roman" w:hint="eastAsia"/>
                <w:color w:val="000000"/>
                <w:kern w:val="0"/>
                <w:sz w:val="20"/>
                <w:szCs w:val="20"/>
                <w14:ligatures w14:val="none"/>
              </w:rPr>
              <w:t>,</w:t>
            </w:r>
            <w:r>
              <w:rPr>
                <w:rFonts w:ascii="Times New Roman" w:hAnsi="Times New Roman" w:cs="Times New Roman"/>
                <w:color w:val="000000"/>
                <w:kern w:val="0"/>
                <w:sz w:val="20"/>
                <w:szCs w:val="20"/>
                <w14:ligatures w14:val="none"/>
              </w:rPr>
              <w:t xml:space="preserve"> 23.2</w:t>
            </w:r>
            <w:r>
              <w:rPr>
                <w:rFonts w:ascii="Times New Roman" w:hAnsi="Times New Roman" w:cs="Times New Roman"/>
                <w:color w:val="000000"/>
                <w:kern w:val="0"/>
                <w:sz w:val="20"/>
                <w:szCs w:val="20"/>
                <w14:ligatures w14:val="none"/>
              </w:rPr>
              <w:fldChar w:fldCharType="begin" w:fldLock="1"/>
            </w:r>
            <w:r w:rsidR="00404868">
              <w:rPr>
                <w:rFonts w:ascii="Times New Roman" w:hAnsi="Times New Roman" w:cs="Times New Roman"/>
                <w:color w:val="000000"/>
                <w:kern w:val="0"/>
                <w:sz w:val="20"/>
                <w:szCs w:val="20"/>
                <w14:ligatures w14:val="none"/>
              </w:rPr>
              <w:instrText>ADDIN CSL_CITATION {"citationItems":[{"id":"ITEM-1","itemData":{"DOI":"10.1016/j.energy.2021.121496","ISSN":"03605442","abstract":"The combined use of thermal energy storage (TES) technologies and heat pumps in building energy systems has been approved to achieve demand-side management. Although there is an increasing number of case studies about the TES applications, crosswise techno-economic evaluations of different technologies are rare, especially for applications in individual heating systems where the storage temperature range is less than 20 K. Hence, in this study, three TES options; water tank (WT), phase change material tank, and building thermal mass (BTM) are simulated and compared. A systematic analysis approach was proposed to assure impartial comparisons of the energy performance and the life-cycle costs (LCC). Special focus was paid on practical issues such as restricted charging power for different TES technologies. It was found that the majority of LCC savings arises from the peak load reduction. The study also shows that BTM is the most cost-effective TES technology while the WT is the least attractive option, due to larger heat loss and lower storage density. Moreover, less discharged energy and cost savings were found in well-insulated buildings due to the restricted discharging power. Still, there could be more incentives for household TES technologies if additional prices or policies are implemented.","author":[{"dropping-particle":"","family":"Zhang","given":"Yichi","non-dropping-particle":"","parse-names":false,"suffix":""},{"dropping-particle":"","family":"Johansson","given":"Pär","non-dropping-particle":"","parse-names":false,"suffix":""},{"dropping-particle":"","family":"Kalagasidis","given":"Angela Sasic","non-dropping-particle":"","parse-names":false,"suffix":""}],"container-title":"Energy","id":"ITEM-1","issued":{"date-parts":[["2021"]]},"title":"Techno-economic assessment of thermal energy storage technologies for demand-side management in low-temperature individual heating systems","type":"article-journal","volume":"236"},"uris":["http://www.mendeley.com/documents/?uuid=f4147a05-18d0-4656-9578-be280fcbbf70"]}],"mendeley":{"formattedCitation":"&lt;sup&gt;21&lt;/sup&gt;","plainTextFormattedCitation":"21","previouslyFormattedCitation":"&lt;sup&gt;20&lt;/sup&gt;"},"properties":{"noteIndex":0},"schema":"https://github.com/citation-style-language/schema/raw/master/csl-citation.json"}</w:instrText>
            </w:r>
            <w:r>
              <w:rPr>
                <w:rFonts w:ascii="Times New Roman" w:hAnsi="Times New Roman" w:cs="Times New Roman"/>
                <w:color w:val="000000"/>
                <w:kern w:val="0"/>
                <w:sz w:val="20"/>
                <w:szCs w:val="20"/>
                <w14:ligatures w14:val="none"/>
              </w:rPr>
              <w:fldChar w:fldCharType="separate"/>
            </w:r>
            <w:r w:rsidR="00404868" w:rsidRPr="00404868">
              <w:rPr>
                <w:rFonts w:ascii="Times New Roman" w:hAnsi="Times New Roman" w:cs="Times New Roman"/>
                <w:noProof/>
                <w:color w:val="000000"/>
                <w:kern w:val="0"/>
                <w:sz w:val="20"/>
                <w:szCs w:val="20"/>
                <w:vertAlign w:val="superscript"/>
                <w14:ligatures w14:val="none"/>
              </w:rPr>
              <w:t>21</w:t>
            </w:r>
            <w:r>
              <w:rPr>
                <w:rFonts w:ascii="Times New Roman" w:hAnsi="Times New Roman" w:cs="Times New Roman"/>
                <w:color w:val="000000"/>
                <w:kern w:val="0"/>
                <w:sz w:val="20"/>
                <w:szCs w:val="20"/>
                <w14:ligatures w14:val="none"/>
              </w:rPr>
              <w:fldChar w:fldCharType="end"/>
            </w:r>
          </w:p>
        </w:tc>
        <w:tc>
          <w:tcPr>
            <w:tcW w:w="1870" w:type="dxa"/>
          </w:tcPr>
          <w:p w14:paraId="311E90AF" w14:textId="5FC3F7F2" w:rsidR="000C0181"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400-700</w:t>
            </w:r>
            <w:r w:rsidRPr="00C12F6F">
              <w:rPr>
                <w:rFonts w:ascii="Times New Roman" w:eastAsia="Times New Roman" w:hAnsi="Times New Roman" w:cs="Times New Roman"/>
                <w:color w:val="000000"/>
                <w:kern w:val="0"/>
                <w:sz w:val="20"/>
                <w:szCs w:val="20"/>
                <w:vertAlign w:val="superscript"/>
                <w:lang w:eastAsia="zh-TW"/>
                <w14:ligatures w14:val="none"/>
              </w:rPr>
              <w:t>3</w:t>
            </w:r>
          </w:p>
        </w:tc>
        <w:tc>
          <w:tcPr>
            <w:tcW w:w="1748" w:type="dxa"/>
          </w:tcPr>
          <w:p w14:paraId="2E808512" w14:textId="77777777" w:rsidR="000C0181" w:rsidRPr="00951975" w:rsidRDefault="000C0181" w:rsidP="000C01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14:ligatures w14:val="none"/>
              </w:rPr>
            </w:pPr>
          </w:p>
        </w:tc>
        <w:tc>
          <w:tcPr>
            <w:tcW w:w="0" w:type="auto"/>
          </w:tcPr>
          <w:p w14:paraId="7CA151CD" w14:textId="7C73E0E5"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p>
        </w:tc>
        <w:tc>
          <w:tcPr>
            <w:tcW w:w="0" w:type="auto"/>
          </w:tcPr>
          <w:p w14:paraId="53CC2992" w14:textId="77777777" w:rsidR="000C0181"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0" w:type="auto"/>
          </w:tcPr>
          <w:p w14:paraId="5A63A8DE" w14:textId="77777777"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H - M</w:t>
            </w:r>
            <w:r w:rsidRPr="00C12F6F">
              <w:rPr>
                <w:rFonts w:ascii="Times New Roman" w:eastAsia="Times New Roman" w:hAnsi="Times New Roman" w:cs="Times New Roman"/>
                <w:color w:val="000000"/>
                <w:kern w:val="0"/>
                <w:sz w:val="20"/>
                <w:szCs w:val="20"/>
                <w:lang w:eastAsia="zh-TW"/>
                <w14:ligatures w14:val="none"/>
              </w:rPr>
              <w:br/>
              <w:t>W - M</w:t>
            </w:r>
            <w:r w:rsidRPr="00C12F6F">
              <w:rPr>
                <w:rFonts w:ascii="Times New Roman" w:eastAsia="Times New Roman" w:hAnsi="Times New Roman" w:cs="Times New Roman"/>
                <w:color w:val="000000"/>
                <w:kern w:val="0"/>
                <w:sz w:val="20"/>
                <w:szCs w:val="20"/>
                <w:lang w:eastAsia="zh-TW"/>
                <w14:ligatures w14:val="none"/>
              </w:rPr>
              <w:br/>
              <w:t>H - M</w:t>
            </w:r>
            <w:r w:rsidRPr="00C12F6F">
              <w:rPr>
                <w:rFonts w:ascii="Times New Roman" w:eastAsia="Times New Roman" w:hAnsi="Times New Roman" w:cs="Times New Roman"/>
                <w:color w:val="000000"/>
                <w:kern w:val="0"/>
                <w:sz w:val="20"/>
                <w:szCs w:val="20"/>
                <w:lang w:eastAsia="zh-TW"/>
                <w14:ligatures w14:val="none"/>
              </w:rPr>
              <w:br/>
              <w:t>H – D</w:t>
            </w:r>
          </w:p>
        </w:tc>
        <w:tc>
          <w:tcPr>
            <w:tcW w:w="0" w:type="auto"/>
          </w:tcPr>
          <w:p w14:paraId="3C523CE4" w14:textId="77777777"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15-40</w:t>
            </w:r>
            <w:r w:rsidRPr="00C12F6F">
              <w:rPr>
                <w:rFonts w:ascii="Times New Roman" w:eastAsia="Times New Roman" w:hAnsi="Times New Roman" w:cs="Times New Roman"/>
                <w:color w:val="000000"/>
                <w:kern w:val="0"/>
                <w:sz w:val="20"/>
                <w:szCs w:val="20"/>
                <w:lang w:eastAsia="zh-TW"/>
                <w14:ligatures w14:val="none"/>
              </w:rPr>
              <w:br/>
              <w:t>50</w:t>
            </w:r>
            <w:r w:rsidRPr="00C12F6F">
              <w:rPr>
                <w:rFonts w:ascii="Times New Roman" w:eastAsia="Times New Roman" w:hAnsi="Times New Roman" w:cs="Times New Roman"/>
                <w:color w:val="000000"/>
                <w:kern w:val="0"/>
                <w:sz w:val="20"/>
                <w:szCs w:val="20"/>
                <w:lang w:eastAsia="zh-TW"/>
                <w14:ligatures w14:val="none"/>
              </w:rPr>
              <w:br/>
              <w:t>&gt;5000 cycles</w:t>
            </w:r>
          </w:p>
        </w:tc>
        <w:tc>
          <w:tcPr>
            <w:tcW w:w="0" w:type="auto"/>
          </w:tcPr>
          <w:p w14:paraId="39F6D46A" w14:textId="77777777" w:rsidR="000C0181"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WTTES</w:t>
            </w:r>
            <w:r w:rsidRPr="00C12F6F">
              <w:rPr>
                <w:rFonts w:ascii="Times New Roman" w:eastAsia="Times New Roman" w:hAnsi="Times New Roman" w:cs="Times New Roman"/>
                <w:color w:val="000000"/>
                <w:kern w:val="0"/>
                <w:sz w:val="20"/>
                <w:szCs w:val="20"/>
                <w:lang w:eastAsia="zh-TW"/>
                <w14:ligatures w14:val="none"/>
              </w:rPr>
              <w:br/>
              <w:t>UTES</w:t>
            </w:r>
            <w:r w:rsidRPr="00C12F6F">
              <w:rPr>
                <w:rFonts w:ascii="Times New Roman" w:eastAsia="Times New Roman" w:hAnsi="Times New Roman" w:cs="Times New Roman"/>
                <w:color w:val="000000"/>
                <w:kern w:val="0"/>
                <w:sz w:val="20"/>
                <w:szCs w:val="20"/>
                <w:lang w:eastAsia="zh-TW"/>
                <w14:ligatures w14:val="none"/>
              </w:rPr>
              <w:br/>
              <w:t>Solid state</w:t>
            </w:r>
            <w:r w:rsidRPr="00C12F6F">
              <w:rPr>
                <w:rFonts w:ascii="Times New Roman" w:eastAsia="Times New Roman" w:hAnsi="Times New Roman" w:cs="Times New Roman"/>
                <w:color w:val="000000"/>
                <w:kern w:val="0"/>
                <w:sz w:val="20"/>
                <w:szCs w:val="20"/>
                <w:lang w:eastAsia="zh-TW"/>
                <w14:ligatures w14:val="none"/>
              </w:rPr>
              <w:br/>
              <w:t>Molten salts</w:t>
            </w:r>
          </w:p>
          <w:p w14:paraId="4D3FBB53" w14:textId="77777777"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0.4-0.9</w:t>
            </w:r>
            <w:r w:rsidRPr="00C12F6F">
              <w:rPr>
                <w:rFonts w:ascii="Times New Roman" w:eastAsia="Times New Roman" w:hAnsi="Times New Roman" w:cs="Times New Roman"/>
                <w:color w:val="000000"/>
                <w:kern w:val="0"/>
                <w:sz w:val="20"/>
                <w:szCs w:val="20"/>
                <w:lang w:eastAsia="zh-TW"/>
                <w14:ligatures w14:val="none"/>
              </w:rPr>
              <w:br/>
              <w:t>kWh/m3·K</w:t>
            </w:r>
            <w:r w:rsidRPr="00C12F6F">
              <w:rPr>
                <w:rFonts w:ascii="Times New Roman" w:eastAsia="Times New Roman" w:hAnsi="Times New Roman" w:cs="Times New Roman"/>
                <w:color w:val="000000"/>
                <w:kern w:val="0"/>
                <w:sz w:val="20"/>
                <w:szCs w:val="20"/>
                <w:lang w:eastAsia="zh-TW"/>
                <w14:ligatures w14:val="none"/>
              </w:rPr>
              <w:br/>
              <w:t>(heat</w:t>
            </w:r>
            <w:r>
              <w:rPr>
                <w:rFonts w:ascii="Times New Roman" w:eastAsia="Times New Roman" w:hAnsi="Times New Roman" w:cs="Times New Roman"/>
                <w:color w:val="000000"/>
                <w:kern w:val="0"/>
                <w:sz w:val="20"/>
                <w:szCs w:val="20"/>
                <w:lang w:eastAsia="zh-TW"/>
                <w14:ligatures w14:val="none"/>
              </w:rPr>
              <w:t xml:space="preserve"> </w:t>
            </w:r>
            <w:r w:rsidRPr="00C12F6F">
              <w:rPr>
                <w:rFonts w:ascii="Times New Roman" w:eastAsia="Times New Roman" w:hAnsi="Times New Roman" w:cs="Times New Roman"/>
                <w:color w:val="000000"/>
                <w:kern w:val="0"/>
                <w:sz w:val="20"/>
                <w:szCs w:val="20"/>
                <w:lang w:eastAsia="zh-TW"/>
                <w14:ligatures w14:val="none"/>
              </w:rPr>
              <w:t>capacity)</w:t>
            </w:r>
          </w:p>
        </w:tc>
      </w:tr>
      <w:tr w:rsidR="000C0181" w:rsidRPr="00C12F6F" w14:paraId="644061FD" w14:textId="77777777" w:rsidTr="000C018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Pr>
          <w:p w14:paraId="70DD9113" w14:textId="77777777" w:rsidR="000C0181" w:rsidRPr="000B002C" w:rsidRDefault="000C0181" w:rsidP="000C0181">
            <w:pPr>
              <w:jc w:val="center"/>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Latent heat</w:t>
            </w:r>
          </w:p>
        </w:tc>
        <w:tc>
          <w:tcPr>
            <w:tcW w:w="0" w:type="auto"/>
          </w:tcPr>
          <w:p w14:paraId="7F1387C0" w14:textId="00D2B06C"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56-60, 30-85,</w:t>
            </w:r>
            <w:r w:rsidRPr="00C12F6F">
              <w:rPr>
                <w:rFonts w:ascii="Times New Roman" w:eastAsia="Times New Roman" w:hAnsi="Times New Roman" w:cs="Times New Roman"/>
                <w:color w:val="000000"/>
                <w:kern w:val="0"/>
                <w:sz w:val="20"/>
                <w:szCs w:val="20"/>
                <w:lang w:eastAsia="zh-TW"/>
                <w14:ligatures w14:val="none"/>
              </w:rPr>
              <w:br/>
              <w:t>53.6(molten salt)4,</w:t>
            </w:r>
            <w:r>
              <w:rPr>
                <w:rFonts w:ascii="Times New Roman" w:hAnsi="Times New Roman" w:cs="Times New Roman" w:hint="eastAsia"/>
                <w:color w:val="000000"/>
                <w:kern w:val="0"/>
                <w:sz w:val="20"/>
                <w:szCs w:val="20"/>
                <w14:ligatures w14:val="none"/>
              </w:rPr>
              <w:t xml:space="preserve"> 100-370</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{"citationItems":[{"id":"ITEM-1","itemData":{"DOI":"10.1016/j.est.2019.101047","ISSN":"2352152X","abstract":"Energy storage technologies, including storage types, categorizations and comparisons, are critically reviewed. Most energy storage technologies are considered, including electrochemical and battery energy storage, thermal energy storage, thermochemical energy storage, flywheel energy storage, compressed air energy storage, pumped energy storage, magnetic energy storage, chemical and hydrogen energy storage. Recent research on new energy storage types as well as important advances and developments in energy storage, are also included throughout.","author":[{"dropping-particle":"","family":"Koohi-Fayegh","given":"S.","non-dropping-particle":"","parse-names":false,"suffix":""},{"dropping-particle":"","family":"Rosen","given":"M. A.","non-dropping-particle":"","parse-names":false,"suffix":""}],"container-title":"Journal of Energy Storage","id":"ITEM-1","issued":{"date-parts":[["2020","2"]]},"page":"101047","publisher":"Elsevier Ltd","title":"A review of energy storage types, applications and recent developments","type":"article","volume":"27"},"uris":["http://www.mendeley.com/documents/?uuid=46a0d9d3-d899-4fd8-8dd4-2559ecf51078"]}],"mendeley":{"formattedCitation":"&lt;sup&gt;17&lt;/sup&gt;","plainTextFormattedCitation":"17","previouslyFormattedCitation":"&lt;sup&gt;16&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17</w:t>
            </w:r>
            <w:r>
              <w:rPr>
                <w:rFonts w:ascii="Times New Roman" w:eastAsia="Times New Roman" w:hAnsi="Times New Roman" w:cs="Times New Roman"/>
                <w:color w:val="000000"/>
                <w:kern w:val="0"/>
                <w:sz w:val="20"/>
                <w:szCs w:val="20"/>
                <w:lang w:eastAsia="zh-TW"/>
                <w14:ligatures w14:val="none"/>
              </w:rPr>
              <w:fldChar w:fldCharType="end"/>
            </w:r>
            <w:r>
              <w:rPr>
                <w:rFonts w:ascii="Times New Roman" w:hAnsi="Times New Roman" w:cs="Times New Roman" w:hint="eastAsia"/>
                <w:color w:val="000000"/>
                <w:kern w:val="0"/>
                <w:sz w:val="20"/>
                <w:szCs w:val="20"/>
                <w14:ligatures w14:val="none"/>
              </w:rPr>
              <w:t xml:space="preserve">, </w:t>
            </w:r>
            <w:r>
              <w:rPr>
                <w:rFonts w:ascii="Times New Roman" w:hAnsi="Times New Roman" w:cs="Times New Roman" w:hint="eastAsia"/>
                <w:color w:val="000000"/>
                <w:kern w:val="0"/>
                <w:sz w:val="20"/>
                <w:szCs w:val="20"/>
                <w14:ligatures w14:val="none"/>
              </w:rPr>
              <w:lastRenderedPageBreak/>
              <w:t xml:space="preserve">150-250 </w:t>
            </w:r>
            <w:proofErr w:type="spellStart"/>
            <w:r>
              <w:rPr>
                <w:rFonts w:ascii="Times New Roman" w:hAnsi="Times New Roman" w:cs="Times New Roman" w:hint="eastAsia"/>
                <w:color w:val="000000"/>
                <w:kern w:val="0"/>
                <w:sz w:val="20"/>
                <w:szCs w:val="20"/>
                <w14:ligatures w14:val="none"/>
              </w:rPr>
              <w:t>Wh</w:t>
            </w:r>
            <w:proofErr w:type="spellEnd"/>
            <w:r>
              <w:rPr>
                <w:rFonts w:ascii="Times New Roman" w:hAnsi="Times New Roman" w:cs="Times New Roman" w:hint="eastAsia"/>
                <w:color w:val="000000"/>
                <w:kern w:val="0"/>
                <w:sz w:val="20"/>
                <w:szCs w:val="20"/>
                <w14:ligatures w14:val="none"/>
              </w:rPr>
              <w:t>/kg</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{"citationItems":[{"id":"ITEM-1","itemData":{"DOI":"10.1016/j.est.2019.101047","ISSN":"2352152X","abstract":"Energy storage technologies, including storage types, categorizations and comparisons, are critically reviewed. Most energy storage technologies are considered, including electrochemical and battery energy storage, thermal energy storage, thermochemical energy storage, flywheel energy storage, compressed air energy storage, pumped energy storage, magnetic energy storage, chemical and hydrogen energy storage. Recent research on new energy storage types as well as important advances and developments in energy storage, are also included throughout.","author":[{"dropping-particle":"","family":"Koohi-Fayegh","given":"S.","non-dropping-particle":"","parse-names":false,"suffix":""},{"dropping-particle":"","family":"Rosen","given":"M. A.","non-dropping-particle":"","parse-names":false,"suffix":""}],"container-title":"Journal of Energy Storage","id":"ITEM-1","issued":{"date-parts":[["2020","2"]]},"page":"101047","publisher":"Elsevier Ltd","title":"A review of energy storage types, applications and recent developments","type":"article","volume":"27"},"uris":["http://www.mendeley.com/documents/?uuid=46a0d9d3-d899-4fd8-8dd4-2559ecf51078"]}],"mendeley":{"formattedCitation":"&lt;sup&gt;17&lt;/sup&gt;","plainTextFormattedCitation":"17","previouslyFormattedCitation":"&lt;sup&gt;16&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17</w:t>
            </w:r>
            <w:r>
              <w:rPr>
                <w:rFonts w:ascii="Times New Roman" w:eastAsia="Times New Roman" w:hAnsi="Times New Roman" w:cs="Times New Roman"/>
                <w:color w:val="000000"/>
                <w:kern w:val="0"/>
                <w:sz w:val="20"/>
                <w:szCs w:val="20"/>
                <w:lang w:eastAsia="zh-TW"/>
                <w14:ligatures w14:val="none"/>
              </w:rPr>
              <w:fldChar w:fldCharType="end"/>
            </w:r>
            <w:r>
              <w:rPr>
                <w:rFonts w:ascii="Times New Roman" w:hAnsi="Times New Roman" w:cs="Times New Roman" w:hint="eastAsia"/>
                <w:color w:val="000000"/>
                <w:kern w:val="0"/>
                <w:sz w:val="20"/>
                <w:szCs w:val="20"/>
                <w14:ligatures w14:val="none"/>
              </w:rPr>
              <w:t>,</w:t>
            </w:r>
            <w:r>
              <w:rPr>
                <w:rFonts w:ascii="Times New Roman" w:hAnsi="Times New Roman" w:cs="Times New Roman"/>
                <w:color w:val="000000"/>
                <w:kern w:val="0"/>
                <w:sz w:val="20"/>
                <w:szCs w:val="20"/>
                <w14:ligatures w14:val="none"/>
              </w:rPr>
              <w:t xml:space="preserve"> </w:t>
            </w:r>
            <w:r w:rsidRPr="00333011">
              <w:rPr>
                <w:rFonts w:ascii="Times New Roman" w:hAnsi="Times New Roman" w:cs="Times New Roman"/>
                <w:color w:val="000000"/>
                <w:kern w:val="0"/>
                <w:sz w:val="20"/>
                <w:szCs w:val="20"/>
                <w14:ligatures w14:val="none"/>
              </w:rPr>
              <w:t>56.5</w:t>
            </w:r>
            <w:r>
              <w:rPr>
                <w:rFonts w:ascii="Times New Roman" w:hAnsi="Times New Roman" w:cs="Times New Roman"/>
                <w:color w:val="000000"/>
                <w:kern w:val="0"/>
                <w:sz w:val="20"/>
                <w:szCs w:val="20"/>
                <w14:ligatures w14:val="none"/>
              </w:rPr>
              <w:fldChar w:fldCharType="begin" w:fldLock="1"/>
            </w:r>
            <w:r w:rsidR="00404868">
              <w:rPr>
                <w:rFonts w:ascii="Times New Roman" w:hAnsi="Times New Roman" w:cs="Times New Roman"/>
                <w:color w:val="000000"/>
                <w:kern w:val="0"/>
                <w:sz w:val="20"/>
                <w:szCs w:val="20"/>
                <w14:ligatures w14:val="none"/>
              </w:rPr>
              <w:instrText>ADDIN CSL_CITATION {"citationItems":[{"id":"ITEM-1","itemData":{"DOI":"10.1016/j.energy.2021.121496","ISSN":"03605442","abstract":"The combined use of thermal energy storage (TES) technologies and heat pumps in building energy systems has been approved to achieve demand-side management. Although there is an increasing number of case studies about the TES applications, crosswise techno-economic evaluations of different technologies are rare, especially for applications in individual heating systems where the storage temperature range is less than 20 K. Hence, in this study, three TES options; water tank (WT), phase change material tank, and building thermal mass (BTM) are simulated and compared. A systematic analysis approach was proposed to assure impartial comparisons of the energy performance and the life-cycle costs (LCC). Special focus was paid on practical issues such as restricted charging power for different TES technologies. It was found that the majority of LCC savings arises from the peak load reduction. The study also shows that BTM is the most cost-effective TES technology while the WT is the least attractive option, due to larger heat loss and lower storage density. Moreover, less discharged energy and cost savings were found in well-insulated buildings due to the restricted discharging power. Still, there could be more incentives for household TES technologies if additional prices or policies are implemented.","author":[{"dropping-particle":"","family":"Zhang","given":"Yichi","non-dropping-particle":"","parse-names":false,"suffix":""},{"dropping-particle":"","family":"Johansson","given":"Pär","non-dropping-particle":"","parse-names":false,"suffix":""},{"dropping-particle":"","family":"Kalagasidis","given":"Angela Sasic","non-dropping-particle":"","parse-names":false,"suffix":""}],"container-title":"Energy","id":"ITEM-1","issued":{"date-parts":[["2021"]]},"title":"Techno-economic assessment of thermal energy storage technologies for demand-side management in low-temperature individual heating systems","type":"article-journal","volume":"236"},"uris":["http://www.mendeley.com/documents/?uuid=f4147a05-18d0-4656-9578-be280fcbbf70"]}],"mendeley":{"formattedCitation":"&lt;sup&gt;21&lt;/sup&gt;","plainTextFormattedCitation":"21","previouslyFormattedCitation":"&lt;sup&gt;20&lt;/sup&gt;"},"properties":{"noteIndex":0},"schema":"https://github.com/citation-style-language/schema/raw/master/csl-citation.json"}</w:instrText>
            </w:r>
            <w:r>
              <w:rPr>
                <w:rFonts w:ascii="Times New Roman" w:hAnsi="Times New Roman" w:cs="Times New Roman"/>
                <w:color w:val="000000"/>
                <w:kern w:val="0"/>
                <w:sz w:val="20"/>
                <w:szCs w:val="20"/>
                <w14:ligatures w14:val="none"/>
              </w:rPr>
              <w:fldChar w:fldCharType="separate"/>
            </w:r>
            <w:r w:rsidR="00404868" w:rsidRPr="00404868">
              <w:rPr>
                <w:rFonts w:ascii="Times New Roman" w:hAnsi="Times New Roman" w:cs="Times New Roman"/>
                <w:noProof/>
                <w:color w:val="000000"/>
                <w:kern w:val="0"/>
                <w:sz w:val="20"/>
                <w:szCs w:val="20"/>
                <w:vertAlign w:val="superscript"/>
                <w14:ligatures w14:val="none"/>
              </w:rPr>
              <w:t>21</w:t>
            </w:r>
            <w:r>
              <w:rPr>
                <w:rFonts w:ascii="Times New Roman" w:hAnsi="Times New Roman" w:cs="Times New Roman"/>
                <w:color w:val="000000"/>
                <w:kern w:val="0"/>
                <w:sz w:val="20"/>
                <w:szCs w:val="20"/>
                <w14:ligatures w14:val="none"/>
              </w:rPr>
              <w:fldChar w:fldCharType="end"/>
            </w:r>
            <w:r>
              <w:rPr>
                <w:rFonts w:ascii="Times New Roman" w:hAnsi="Times New Roman" w:cs="Times New Roman" w:hint="eastAsia"/>
                <w:color w:val="000000"/>
                <w:kern w:val="0"/>
                <w:sz w:val="20"/>
                <w:szCs w:val="20"/>
                <w14:ligatures w14:val="none"/>
              </w:rPr>
              <w:t xml:space="preserve"> </w:t>
            </w:r>
          </w:p>
        </w:tc>
        <w:tc>
          <w:tcPr>
            <w:tcW w:w="1870" w:type="dxa"/>
          </w:tcPr>
          <w:p w14:paraId="2B4BC8B6" w14:textId="32BFA1D9"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1748" w:type="dxa"/>
          </w:tcPr>
          <w:p w14:paraId="5ACB9023" w14:textId="77777777"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p>
        </w:tc>
        <w:tc>
          <w:tcPr>
            <w:tcW w:w="0" w:type="auto"/>
          </w:tcPr>
          <w:p w14:paraId="155FC09E" w14:textId="326DDDAA"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p>
        </w:tc>
        <w:tc>
          <w:tcPr>
            <w:tcW w:w="0" w:type="auto"/>
          </w:tcPr>
          <w:p w14:paraId="156D205A" w14:textId="77777777"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0" w:type="auto"/>
          </w:tcPr>
          <w:p w14:paraId="167EE3F4" w14:textId="77777777"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H – D</w:t>
            </w:r>
          </w:p>
        </w:tc>
        <w:tc>
          <w:tcPr>
            <w:tcW w:w="0" w:type="auto"/>
          </w:tcPr>
          <w:p w14:paraId="1CFBD784" w14:textId="77777777"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300-3000 cycles</w:t>
            </w:r>
          </w:p>
        </w:tc>
        <w:tc>
          <w:tcPr>
            <w:tcW w:w="0" w:type="auto"/>
          </w:tcPr>
          <w:p w14:paraId="0487AE8F" w14:textId="77777777"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Low T PCM</w:t>
            </w:r>
            <w:r w:rsidRPr="00C12F6F">
              <w:rPr>
                <w:rFonts w:ascii="Times New Roman" w:eastAsia="Times New Roman" w:hAnsi="Times New Roman" w:cs="Times New Roman"/>
                <w:color w:val="000000"/>
                <w:kern w:val="0"/>
                <w:sz w:val="20"/>
                <w:szCs w:val="20"/>
                <w:lang w:eastAsia="zh-TW"/>
                <w14:ligatures w14:val="none"/>
              </w:rPr>
              <w:br/>
            </w:r>
            <w:r w:rsidRPr="00C12F6F">
              <w:rPr>
                <w:rFonts w:ascii="Times New Roman" w:eastAsia="Times New Roman" w:hAnsi="Times New Roman" w:cs="Times New Roman"/>
                <w:color w:val="000000"/>
                <w:kern w:val="0"/>
                <w:sz w:val="20"/>
                <w:szCs w:val="20"/>
                <w:lang w:eastAsia="zh-TW"/>
                <w14:ligatures w14:val="none"/>
              </w:rPr>
              <w:br/>
              <w:t>High T PCM</w:t>
            </w:r>
          </w:p>
        </w:tc>
      </w:tr>
      <w:tr w:rsidR="000C0181" w:rsidRPr="00C12F6F" w14:paraId="1BA0C6D8" w14:textId="77777777" w:rsidTr="000C0181">
        <w:trPr>
          <w:trHeight w:val="1794"/>
        </w:trPr>
        <w:tc>
          <w:tcPr>
            <w:cnfStyle w:val="001000000000" w:firstRow="0" w:lastRow="0" w:firstColumn="1" w:lastColumn="0" w:oddVBand="0" w:evenVBand="0" w:oddHBand="0" w:evenHBand="0" w:firstRowFirstColumn="0" w:firstRowLastColumn="0" w:lastRowFirstColumn="0" w:lastRowLastColumn="0"/>
            <w:tcW w:w="0" w:type="auto"/>
            <w:hideMark/>
          </w:tcPr>
          <w:p w14:paraId="14FC100A" w14:textId="77777777" w:rsidR="000C0181" w:rsidRPr="000B002C" w:rsidRDefault="000C0181" w:rsidP="000C0181">
            <w:pPr>
              <w:jc w:val="center"/>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Thermochemical</w:t>
            </w:r>
          </w:p>
        </w:tc>
        <w:tc>
          <w:tcPr>
            <w:tcW w:w="0" w:type="auto"/>
            <w:hideMark/>
          </w:tcPr>
          <w:p w14:paraId="24FFFD0B" w14:textId="77777777" w:rsidR="000C0181"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800-1200</w:t>
            </w:r>
            <w:r w:rsidRPr="00C12F6F">
              <w:rPr>
                <w:rFonts w:ascii="Times New Roman" w:eastAsia="Times New Roman" w:hAnsi="Times New Roman" w:cs="Times New Roman"/>
                <w:color w:val="000000"/>
                <w:kern w:val="0"/>
                <w:sz w:val="20"/>
                <w:szCs w:val="20"/>
                <w:lang w:eastAsia="zh-TW"/>
                <w14:ligatures w14:val="none"/>
              </w:rPr>
              <w:br/>
              <w:t>200-350</w:t>
            </w:r>
            <w:r w:rsidRPr="00C12F6F">
              <w:rPr>
                <w:rFonts w:ascii="Times New Roman" w:eastAsia="Times New Roman" w:hAnsi="Times New Roman" w:cs="Times New Roman"/>
                <w:color w:val="000000"/>
                <w:kern w:val="0"/>
                <w:sz w:val="20"/>
                <w:szCs w:val="20"/>
                <w:lang w:eastAsia="zh-TW"/>
                <w14:ligatures w14:val="none"/>
              </w:rPr>
              <w:br/>
              <w:t>180-310, 1.7MJ/kg4,</w:t>
            </w:r>
          </w:p>
          <w:p w14:paraId="0B9B4553" w14:textId="5F7D3955"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lang w:eastAsia="zh-TW"/>
                <w14:ligatures w14:val="none"/>
              </w:rPr>
              <w:t>70</w:t>
            </w:r>
            <w:r>
              <w:rPr>
                <w:rFonts w:ascii="Times New Roman" w:hAnsi="Times New Roman" w:cs="Times New Roman"/>
                <w:sz w:val="20"/>
                <w:szCs w:val="20"/>
              </w:rPr>
              <w:fldChar w:fldCharType="begin" w:fldLock="1"/>
            </w:r>
            <w:r w:rsidR="00404868">
              <w:rPr>
                <w:rFonts w:ascii="Times New Roman" w:hAnsi="Times New Roman" w:cs="Times New Roman"/>
                <w:sz w:val="20"/>
                <w:szCs w:val="20"/>
              </w:rPr>
              <w:instrText>ADDIN CSL_CITATION {"citationItems":[{"id":"ITEM-1","itemData":{"DOI":"10.1016/j.rser.2023.114245","ISSN":"18790690","abstract":"Energy transition requires a high penetration of reliable and flexible renewable energy. To do so, low-cost, efficient, high capacity and environmentally friendly storage technologies to manage the mismatch between energy production and demand are required. Carnot Batteries are considered as promising energy storage solutions tackling these requirements and storing electrical energy as thermal energy and releasing it whenever necessary while operating on reversible thermodynamic cycles. In Carnot Batteries, power is managed through rotating machines, such as compressors and turbines, and energy is stored as heat in thermal energy storages. In recent years, thermal cycles exploiting Carbon Dioxide (CO2) as operating fluid, in sub-critical, trans-critical and supercritical conditions, are gaining major interest, thanks to their versatility and high performance, especially for large scale applications. This paper provides an in-depth review on the state of the art of global R&amp;D activities on the use of carbon dioxide for large scale Carnot Battery application, while providing preliminary market and technology maturity breakdown. Different studies on CO2-Carnot Batteries at industrial and academic levels are discussed in detail while highlighting the novelty and improvement methods. Detailed information on battery parameters of charging, discharging and storage have been listed and critically analysed, finally concluding with SWOT (Strength, Weakness, Opportunity, Threats) and TRL (Technology Readiness Level) analyses for future developments.","author":[{"dropping-particle":"","family":"Shamsi","given":"Syed Safeer Mehdi","non-dropping-particle":"","parse-names":false,"suffix":""},{"dropping-particle":"","family":"Barberis","given":"Stefano","non-dropping-particle":"","parse-names":false,"suffix":""},{"dropping-particle":"","family":"Maccarini","given":"Simone","non-dropping-particle":"","parse-names":false,"suffix":""},{"dropping-particle":"","family":"Traverso","given":"Alberto","non-dropping-particle":"","parse-names":false,"suffix":""}],"container-title":"Renewable and Sustainable Energy Reviews","id":"ITEM-1","issue":"June 2023","issued":{"date-parts":[["2024"]]},"page":"114245","publisher":"Elsevier Ltd","title":"Large scale energy storage systems based on carbon dioxide thermal cycles: A critical review","type":"article-journal","volume":"192"},"uris":["http://www.mendeley.com/documents/?uuid=f228d25f-4d61-4742-bda1-87ffcb9052fd"]}],"mendeley":{"formattedCitation":"&lt;sup&gt;14&lt;/sup&gt;","plainTextFormattedCitation":"14","previouslyFormattedCitation":"&lt;sup&gt;14&lt;/sup&gt;"},"properties":{"noteIndex":0},"schema":"https://github.com/citation-style-language/schema/raw/master/csl-citation.json"}</w:instrText>
            </w:r>
            <w:r>
              <w:rPr>
                <w:rFonts w:ascii="Times New Roman" w:hAnsi="Times New Roman" w:cs="Times New Roman"/>
                <w:sz w:val="20"/>
                <w:szCs w:val="20"/>
              </w:rPr>
              <w:fldChar w:fldCharType="separate"/>
            </w:r>
            <w:r w:rsidR="00226444" w:rsidRPr="00226444">
              <w:rPr>
                <w:rFonts w:ascii="Times New Roman" w:hAnsi="Times New Roman" w:cs="Times New Roman"/>
                <w:noProof/>
                <w:sz w:val="20"/>
                <w:szCs w:val="20"/>
                <w:vertAlign w:val="superscript"/>
              </w:rPr>
              <w:t>14</w:t>
            </w:r>
            <w:r>
              <w:rPr>
                <w:rFonts w:ascii="Times New Roman" w:hAnsi="Times New Roman" w:cs="Times New Roman"/>
                <w:sz w:val="20"/>
                <w:szCs w:val="20"/>
              </w:rPr>
              <w:fldChar w:fldCharType="end"/>
            </w:r>
            <w:r>
              <w:rPr>
                <w:rFonts w:ascii="Times New Roman" w:eastAsia="Times New Roman" w:hAnsi="Times New Roman" w:cs="Times New Roman"/>
                <w:color w:val="000000"/>
                <w:kern w:val="0"/>
                <w:sz w:val="20"/>
                <w:szCs w:val="20"/>
                <w:lang w:eastAsia="zh-TW"/>
                <w14:ligatures w14:val="none"/>
              </w:rPr>
              <w:t>,</w:t>
            </w:r>
          </w:p>
        </w:tc>
        <w:tc>
          <w:tcPr>
            <w:tcW w:w="1870" w:type="dxa"/>
          </w:tcPr>
          <w:p w14:paraId="7C0BDEE5" w14:textId="77777777" w:rsidR="000C0181"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1000-3000</w:t>
            </w:r>
            <w:r w:rsidRPr="00C12F6F">
              <w:rPr>
                <w:rFonts w:ascii="Times New Roman" w:eastAsia="Times New Roman" w:hAnsi="Times New Roman" w:cs="Times New Roman"/>
                <w:color w:val="000000"/>
                <w:kern w:val="0"/>
                <w:sz w:val="20"/>
                <w:szCs w:val="20"/>
                <w:vertAlign w:val="superscript"/>
                <w:lang w:eastAsia="zh-TW"/>
                <w14:ligatures w14:val="none"/>
              </w:rPr>
              <w:t>3</w:t>
            </w:r>
            <w:r>
              <w:rPr>
                <w:rFonts w:ascii="Times New Roman" w:eastAsia="Times New Roman" w:hAnsi="Times New Roman" w:cs="Times New Roman"/>
                <w:color w:val="000000"/>
                <w:kern w:val="0"/>
                <w:sz w:val="20"/>
                <w:szCs w:val="20"/>
                <w:lang w:eastAsia="zh-TW"/>
                <w14:ligatures w14:val="none"/>
              </w:rPr>
              <w:t>,</w:t>
            </w:r>
          </w:p>
          <w:p w14:paraId="5EBF28B7" w14:textId="540ACF28"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lang w:eastAsia="zh-TW"/>
                <w14:ligatures w14:val="none"/>
              </w:rPr>
              <w:t>2500-2900</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lang w:eastAsia="zh-TW"/>
                <w14:ligatures w14:val="none"/>
              </w:rPr>
              <w:t>,</w:t>
            </w:r>
          </w:p>
        </w:tc>
        <w:tc>
          <w:tcPr>
            <w:tcW w:w="1748" w:type="dxa"/>
          </w:tcPr>
          <w:p w14:paraId="27963126" w14:textId="4DA5FB8A"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14:ligatures w14:val="none"/>
              </w:rPr>
              <w:t>310-360</w:t>
            </w:r>
            <w:r>
              <w:rPr>
                <w:rFonts w:ascii="Times New Roman" w:eastAsia="Times New Roman" w:hAnsi="Times New Roman" w:cs="Times New Roman"/>
                <w:color w:val="000000"/>
                <w:kern w:val="0"/>
                <w:sz w:val="20"/>
                <w:szCs w:val="20"/>
                <w14:ligatures w14:val="none"/>
              </w:rPr>
              <w:fldChar w:fldCharType="begin" w:fldLock="1"/>
            </w:r>
            <w:r w:rsidR="00404868">
              <w:rPr>
                <w:rFonts w:ascii="Times New Roman" w:eastAsia="Times New Roman" w:hAnsi="Times New Roman" w:cs="Times New Roman"/>
                <w:color w:val="000000"/>
                <w:kern w:val="0"/>
                <w:sz w:val="20"/>
                <w:szCs w:val="20"/>
                <w14:ligatures w14:val="none"/>
              </w:rPr>
              <w:instrText>ADDIN CSL_CITATION {"citationItems":[{"id":"ITEM-1","itemData":{"DOI":"10.1016/j.est.2022.105782","ISSN":"2352152X","abstract":"Energy storage is widely recognised as one of the key enablers for higher renewable energy penetration and future energy system decarbonisation. The term Carnot Battery refers to a set of storage technologies with electricity stored in the form of thermal energy, thus making them suitable not only for power balancing, but also for multi-vector energy management as a unique asset. With growing scientific literature on different Carnot Battery technologies and data from ongoing pilot and demonstration projects worldwide, this article aims to provide a review on the most recent developments in the area. More specifically, three complementary aspects are addressed: i) the collection and cross-comparison of quantitative techno-economic performance data of different Carnot Battery systems based on scientific literature findings; ii) the discussion of proposed applications for Carnot Batteries at the energy system scale, including power and thermal service provisions and retrofit opportunities; iii) the discussion of the most recent commercial developments in Carnot Battery technologies. Through this, we present the commonalities and discrepancies between scientific research and system implementation in ongoing projects. Our results show (a) a clear difference in the techno-economics of various Carnot Battery technologies; (b) a wide range of some performance metrics due to the absence of empirical evidence; and, interestingly, (c) a certain discrepancy between the systems and applications most addressed by the scientific community and the projects under development. The harmonisation of these discrepancies and the inclusion of location-specific integration considerations are proposed as a way forward for performance advancement and future deployment of Carnot Batteries.","author":[{"dropping-particle":"","family":"Vecchi","given":"Andrea","non-dropping-particle":"","parse-names":false,"suffix":""},{"dropping-particle":"","family":"Knobloch","given":"Kai","non-dropping-particle":"","parse-names":false,"suffix":""},{"dropping-particle":"","family":"Liang","given":"Ting","non-dropping-particle":"","parse-names":false,"suffix":""},{"dropping-particle":"","family":"Kildahl","given":"Harriet","non-dropping-particle":"","parse-names":false,"suffix":""},{"dropping-particle":"","family":"Sciacovelli","given":"Adriano","non-dropping-particle":"","parse-names":false,"suffix":""},{"dropping-particle":"","family":"Engelbrecht","given":"Kurt","non-dropping-particle":"","parse-names":false,"suffix":""},{"dropping-particle":"","family":"Li","given":"Yongliang","non-dropping-particle":"","parse-names":false,"suffix":""},{"dropping-particle":"","family":"Ding","given":"Yulong","non-dropping-particle":"","parse-names":false,"suffix":""}],"container-title":"Journal of Energy Storage","id":"ITEM-1","issue":"PD","issued":{"date-parts":[["2022"]]},"page":"105782","publisher":"Elsevier Ltd","title":"Carnot Battery development: A review on system performance, applications and commercial state-of-the-art","type":"article-journal","volume":"55"},"uris":["http://www.mendeley.com/documents/?uuid=cfe8309f-b184-4973-8ce8-f6761bc47015"]}],"mendeley":{"formattedCitation":"&lt;sup&gt;7&lt;/sup&gt;","plainTextFormattedCitation":"7","previouslyFormattedCitation":"&lt;sup&gt;7&lt;/sup&gt;"},"properties":{"noteIndex":0},"schema":"https://github.com/citation-style-language/schema/raw/master/csl-citation.json"}</w:instrText>
            </w:r>
            <w:r>
              <w:rPr>
                <w:rFonts w:ascii="Times New Roman" w:eastAsia="Times New Roman" w:hAnsi="Times New Roman" w:cs="Times New Roman"/>
                <w:color w:val="000000"/>
                <w:kern w:val="0"/>
                <w:sz w:val="20"/>
                <w:szCs w:val="20"/>
                <w14:ligatures w14:val="none"/>
              </w:rPr>
              <w:fldChar w:fldCharType="separate"/>
            </w:r>
            <w:r w:rsidR="00226444" w:rsidRPr="00226444">
              <w:rPr>
                <w:rFonts w:ascii="Times New Roman" w:eastAsia="Times New Roman" w:hAnsi="Times New Roman" w:cs="Times New Roman"/>
                <w:noProof/>
                <w:color w:val="000000"/>
                <w:kern w:val="0"/>
                <w:sz w:val="20"/>
                <w:szCs w:val="20"/>
                <w:vertAlign w:val="superscript"/>
                <w14:ligatures w14:val="none"/>
              </w:rPr>
              <w:t>7</w:t>
            </w:r>
            <w:r>
              <w:rPr>
                <w:rFonts w:ascii="Times New Roman" w:eastAsia="Times New Roman" w:hAnsi="Times New Roman" w:cs="Times New Roman"/>
                <w:color w:val="000000"/>
                <w:kern w:val="0"/>
                <w:sz w:val="20"/>
                <w:szCs w:val="20"/>
                <w14:ligatures w14:val="none"/>
              </w:rPr>
              <w:fldChar w:fldCharType="end"/>
            </w:r>
            <w:r>
              <w:rPr>
                <w:rFonts w:ascii="Times New Roman" w:eastAsia="Times New Roman" w:hAnsi="Times New Roman" w:cs="Times New Roman"/>
                <w:color w:val="000000"/>
                <w:kern w:val="0"/>
                <w:sz w:val="20"/>
                <w:szCs w:val="20"/>
                <w14:ligatures w14:val="none"/>
              </w:rPr>
              <w:t>,</w:t>
            </w:r>
          </w:p>
        </w:tc>
        <w:tc>
          <w:tcPr>
            <w:tcW w:w="0" w:type="auto"/>
          </w:tcPr>
          <w:p w14:paraId="4F32F7AB" w14:textId="6553F9EF" w:rsidR="000C0181" w:rsidRPr="00A20985"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0" w:type="auto"/>
          </w:tcPr>
          <w:p w14:paraId="71543A81" w14:textId="0487B5BE"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0" w:type="auto"/>
            <w:hideMark/>
          </w:tcPr>
          <w:p w14:paraId="47554978" w14:textId="77777777"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M - Year</w:t>
            </w:r>
          </w:p>
        </w:tc>
        <w:tc>
          <w:tcPr>
            <w:tcW w:w="0" w:type="auto"/>
            <w:hideMark/>
          </w:tcPr>
          <w:p w14:paraId="2DF05BEF" w14:textId="77777777"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lang w:eastAsia="zh-TW"/>
                <w14:ligatures w14:val="none"/>
              </w:rPr>
              <w:t>&gt;20</w:t>
            </w:r>
          </w:p>
        </w:tc>
        <w:tc>
          <w:tcPr>
            <w:tcW w:w="0" w:type="auto"/>
            <w:hideMark/>
          </w:tcPr>
          <w:p w14:paraId="7903A368" w14:textId="77777777" w:rsidR="000C0181" w:rsidRPr="00C12F6F" w:rsidRDefault="000C0181" w:rsidP="000C018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Chemical looping</w:t>
            </w:r>
            <w:r w:rsidRPr="00C12F6F">
              <w:rPr>
                <w:rFonts w:ascii="Times New Roman" w:eastAsia="Times New Roman" w:hAnsi="Times New Roman" w:cs="Times New Roman"/>
                <w:color w:val="000000"/>
                <w:kern w:val="0"/>
                <w:sz w:val="20"/>
                <w:szCs w:val="20"/>
                <w:lang w:eastAsia="zh-TW"/>
                <w14:ligatures w14:val="none"/>
              </w:rPr>
              <w:br/>
              <w:t>Salt hydration</w:t>
            </w:r>
            <w:r w:rsidRPr="00C12F6F">
              <w:rPr>
                <w:rFonts w:ascii="Times New Roman" w:eastAsia="Times New Roman" w:hAnsi="Times New Roman" w:cs="Times New Roman"/>
                <w:color w:val="000000"/>
                <w:kern w:val="0"/>
                <w:sz w:val="20"/>
                <w:szCs w:val="20"/>
                <w:lang w:eastAsia="zh-TW"/>
                <w14:ligatures w14:val="none"/>
              </w:rPr>
              <w:br/>
              <w:t>Absorption</w:t>
            </w:r>
          </w:p>
        </w:tc>
      </w:tr>
      <w:tr w:rsidR="000C0181" w:rsidRPr="00C12F6F" w14:paraId="4CD413F3" w14:textId="77777777" w:rsidTr="000C01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7AC5194A" w14:textId="77777777" w:rsidR="000C0181" w:rsidRPr="000B002C" w:rsidRDefault="000C0181" w:rsidP="000C0181">
            <w:pPr>
              <w:jc w:val="center"/>
              <w:rPr>
                <w:rFonts w:ascii="Times New Roman" w:eastAsia="Times New Roman" w:hAnsi="Times New Roman" w:cs="Times New Roman"/>
                <w:b w:val="0"/>
                <w:bCs w:val="0"/>
                <w:color w:val="000000" w:themeColor="text1"/>
                <w:kern w:val="0"/>
                <w:sz w:val="20"/>
                <w:szCs w:val="20"/>
                <w14:ligatures w14:val="none"/>
              </w:rPr>
            </w:pPr>
            <w:r w:rsidRPr="000B002C">
              <w:rPr>
                <w:rFonts w:ascii="Times New Roman" w:eastAsia="Times New Roman" w:hAnsi="Times New Roman" w:cs="Times New Roman"/>
                <w:color w:val="000000" w:themeColor="text1"/>
                <w:kern w:val="0"/>
                <w:sz w:val="20"/>
                <w:szCs w:val="20"/>
                <w14:ligatures w14:val="none"/>
              </w:rPr>
              <w:t>Hydrogen</w:t>
            </w:r>
          </w:p>
        </w:tc>
        <w:tc>
          <w:tcPr>
            <w:tcW w:w="0" w:type="auto"/>
          </w:tcPr>
          <w:p w14:paraId="766832AD" w14:textId="3FCA2B7E"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 xml:space="preserve">500 (200bar), </w:t>
            </w:r>
            <w:r w:rsidRPr="00C12F6F">
              <w:rPr>
                <w:rFonts w:ascii="Times New Roman" w:eastAsia="Times New Roman" w:hAnsi="Times New Roman" w:cs="Times New Roman"/>
                <w:color w:val="000000"/>
                <w:kern w:val="0"/>
                <w:sz w:val="20"/>
                <w:szCs w:val="20"/>
                <w:lang w:eastAsia="zh-TW"/>
                <w14:ligatures w14:val="none"/>
              </w:rPr>
              <w:br/>
              <w:t>700 (300 bar), 0.8 kWh/L (350 bar) 4</w:t>
            </w:r>
            <w:r w:rsidRPr="00C12F6F">
              <w:rPr>
                <w:rFonts w:ascii="Times New Roman" w:eastAsia="Times New Roman" w:hAnsi="Times New Roman" w:cs="Times New Roman"/>
                <w:color w:val="000000"/>
                <w:kern w:val="0"/>
                <w:sz w:val="20"/>
                <w:szCs w:val="20"/>
                <w:lang w:eastAsia="zh-TW"/>
                <w14:ligatures w14:val="none"/>
              </w:rPr>
              <w:br/>
              <w:t>1.9 kWh/L (700 bar)4,</w:t>
            </w:r>
            <w:r w:rsidRPr="00C12F6F">
              <w:rPr>
                <w:rFonts w:ascii="Times New Roman" w:eastAsia="Times New Roman" w:hAnsi="Times New Roman" w:cs="Times New Roman"/>
                <w:color w:val="000000"/>
                <w:kern w:val="0"/>
                <w:sz w:val="20"/>
                <w:szCs w:val="20"/>
                <w:lang w:eastAsia="zh-TW"/>
                <w14:ligatures w14:val="none"/>
              </w:rPr>
              <w:br/>
              <w:t xml:space="preserve">~2540 (liquefied,  </w:t>
            </w:r>
            <w:r w:rsidRPr="00C12F6F">
              <w:rPr>
                <w:rFonts w:ascii="Times New Roman" w:eastAsia="Times New Roman" w:hAnsi="Times New Roman" w:cs="Times New Roman"/>
                <w:color w:val="000000"/>
                <w:kern w:val="0"/>
                <w:sz w:val="20"/>
                <w:szCs w:val="20"/>
                <w:lang w:eastAsia="zh-TW"/>
                <w14:ligatures w14:val="none"/>
              </w:rPr>
              <w:br/>
              <w:t>-252.9℃) , 2.3 kWh/L (liquid) 4,</w:t>
            </w:r>
            <w:r>
              <w:rPr>
                <w:rFonts w:ascii="Times New Roman" w:hAnsi="Times New Roman" w:cs="Times New Roman" w:hint="eastAsia"/>
                <w:color w:val="000000"/>
                <w:kern w:val="0"/>
                <w:sz w:val="20"/>
                <w:szCs w:val="20"/>
                <w14:ligatures w14:val="none"/>
              </w:rPr>
              <w:t xml:space="preserve"> 190</w:t>
            </w:r>
            <w:r>
              <w:rPr>
                <w:rFonts w:ascii="Times New Roman" w:hAnsi="Times New Roman" w:cs="Times New Roman"/>
                <w:color w:val="000000"/>
                <w:kern w:val="0"/>
                <w:sz w:val="20"/>
                <w:szCs w:val="20"/>
                <w14:ligatures w14:val="none"/>
              </w:rPr>
              <w:fldChar w:fldCharType="begin" w:fldLock="1"/>
            </w:r>
            <w:r w:rsidR="00404868">
              <w:rPr>
                <w:rFonts w:ascii="Times New Roman" w:hAnsi="Times New Roman" w:cs="Times New Roman"/>
                <w:color w:val="000000"/>
                <w:kern w:val="0"/>
                <w:sz w:val="20"/>
                <w:szCs w:val="20"/>
                <w14:ligatures w14:val="none"/>
              </w:rPr>
              <w:instrText>ADDIN CSL_CITATION {"citationItems":[{"id":"ITEM-1","itemData":{"DOI":"10.1016/j.rser.2017.07.062","ISSN":"18790690","abstract":"A review of more than 60 studies (plus more than 65 studies on P2G) on power and energy models based on simulation and optimization was done. Based on these, for power systems with up to 95% renewables, the electricity storage size is found to be below 1.5% of the annual demand (in energy terms). While for 100% renewables energy systems (power, heat, mobility), it can remain below 6% of the annual energy demand. Combination of sectors and diverting the electricity to another sector can play a large role in reducing the storage size. From the potential alternatives to satisfy this demand, pumped hydro storage (PHS) global potential is not enough and new technologies with a higher energy density are needed. Hydrogen, with more than 250 times the energy density of PHS is a potential option to satisfy the storage need. However, changes needed in infrastructure to deal with high hydrogen content and the suitability of salt caverns for its storage can pose limitations for this technology. Power to Gas (P2G) arises as possible alternative overcoming both the facilities and the energy density issues. The global storage requirement would represent only 2% of the global annual natural gas production or 10% of the gas storage facilities (in energy equivalent). The more options considered to deal with intermittent sources, the lower the storage requirement will be. Therefore, future studies aiming to quantify storage needs should focus on the entire energy system including technology vectors (e.g. Power to Heat, Liquid, Gas, Chemicals) to avoid overestimating the amount of storage needed.","author":[{"dropping-particle":"","family":"Blanco","given":"Herib","non-dropping-particle":"","parse-names":false,"suffix":""},{"dropping-particle":"","family":"Faaij","given":"André","non-dropping-particle":"","parse-names":false,"suffix":""}],"container-title":"Renewable and Sustainable Energy Reviews","id":"ITEM-1","issue":"May 2017","issued":{"date-parts":[["2018"]]},"page":"1049-1086","publisher":"Elsevier Ltd","title":"A review at the role of storage in energy systems with a focus on Power to Gas and long-term storage","type":"article-journal","volume":"81"},"uris":["http://www.mendeley.com/documents/?uuid=fbe9906d-a343-4e2d-b4a6-891c6b8d0bda"]}],"mendeley":{"formattedCitation":"&lt;sup&gt;18&lt;/sup&gt;","plainTextFormattedCitation":"18","previouslyFormattedCitation":"&lt;sup&gt;17&lt;/sup&gt;"},"properties":{"noteIndex":0},"schema":"https://github.com/citation-style-language/schema/raw/master/csl-citation.json"}</w:instrText>
            </w:r>
            <w:r>
              <w:rPr>
                <w:rFonts w:ascii="Times New Roman" w:hAnsi="Times New Roman" w:cs="Times New Roman"/>
                <w:color w:val="000000"/>
                <w:kern w:val="0"/>
                <w:sz w:val="20"/>
                <w:szCs w:val="20"/>
                <w14:ligatures w14:val="none"/>
              </w:rPr>
              <w:fldChar w:fldCharType="separate"/>
            </w:r>
            <w:r w:rsidR="00404868" w:rsidRPr="00404868">
              <w:rPr>
                <w:rFonts w:ascii="Times New Roman" w:hAnsi="Times New Roman" w:cs="Times New Roman"/>
                <w:noProof/>
                <w:color w:val="000000"/>
                <w:kern w:val="0"/>
                <w:sz w:val="20"/>
                <w:szCs w:val="20"/>
                <w:vertAlign w:val="superscript"/>
                <w14:ligatures w14:val="none"/>
              </w:rPr>
              <w:t>18</w:t>
            </w:r>
            <w:r>
              <w:rPr>
                <w:rFonts w:ascii="Times New Roman" w:hAnsi="Times New Roman" w:cs="Times New Roman"/>
                <w:color w:val="000000"/>
                <w:kern w:val="0"/>
                <w:sz w:val="20"/>
                <w:szCs w:val="20"/>
                <w14:ligatures w14:val="none"/>
              </w:rPr>
              <w:fldChar w:fldCharType="end"/>
            </w:r>
            <w:r>
              <w:rPr>
                <w:rFonts w:ascii="Times New Roman" w:hAnsi="Times New Roman" w:cs="Times New Roman" w:hint="eastAsia"/>
                <w:color w:val="000000"/>
                <w:kern w:val="0"/>
                <w:sz w:val="20"/>
                <w:szCs w:val="20"/>
                <w14:ligatures w14:val="none"/>
              </w:rPr>
              <w:t>,</w:t>
            </w:r>
          </w:p>
        </w:tc>
        <w:tc>
          <w:tcPr>
            <w:tcW w:w="1870" w:type="dxa"/>
          </w:tcPr>
          <w:p w14:paraId="612BBBAD" w14:textId="77777777"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3680 $/kW, 1570-3243</w:t>
            </w:r>
            <w:r w:rsidRPr="00C12F6F">
              <w:rPr>
                <w:rFonts w:ascii="Times New Roman" w:eastAsia="DengXian" w:hAnsi="Times New Roman" w:cs="Times New Roman"/>
                <w:color w:val="000000"/>
                <w:kern w:val="0"/>
                <w:sz w:val="20"/>
                <w:szCs w:val="20"/>
                <w:lang w:eastAsia="zh-TW"/>
                <w14:ligatures w14:val="none"/>
              </w:rPr>
              <w:t>€</w:t>
            </w:r>
            <w:r w:rsidRPr="00C12F6F">
              <w:rPr>
                <w:rFonts w:ascii="Times New Roman" w:eastAsia="Times New Roman" w:hAnsi="Times New Roman" w:cs="Times New Roman"/>
                <w:color w:val="000000"/>
                <w:kern w:val="0"/>
                <w:sz w:val="20"/>
                <w:szCs w:val="20"/>
                <w:lang w:eastAsia="zh-TW"/>
                <w14:ligatures w14:val="none"/>
              </w:rPr>
              <w:t>/kW</w:t>
            </w:r>
            <w:r w:rsidRPr="00C12F6F">
              <w:rPr>
                <w:rFonts w:ascii="Times New Roman" w:eastAsia="Times New Roman" w:hAnsi="Times New Roman" w:cs="Times New Roman"/>
                <w:color w:val="000000"/>
                <w:kern w:val="0"/>
                <w:sz w:val="20"/>
                <w:szCs w:val="20"/>
                <w:vertAlign w:val="superscript"/>
                <w:lang w:eastAsia="zh-TW"/>
                <w14:ligatures w14:val="none"/>
              </w:rPr>
              <w:t>2</w:t>
            </w:r>
            <w:r w:rsidRPr="00C12F6F">
              <w:rPr>
                <w:rFonts w:ascii="Times New Roman" w:eastAsia="Times New Roman" w:hAnsi="Times New Roman" w:cs="Times New Roman"/>
                <w:color w:val="000000"/>
                <w:kern w:val="0"/>
                <w:sz w:val="20"/>
                <w:szCs w:val="20"/>
                <w:lang w:eastAsia="zh-TW"/>
                <w14:ligatures w14:val="none"/>
              </w:rPr>
              <w:t>,</w:t>
            </w:r>
          </w:p>
          <w:p w14:paraId="3603EE09" w14:textId="5ADD2FBF" w:rsidR="009A4FAF" w:rsidRDefault="009A4FAF" w:rsidP="009A4FA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3117(2020)</w:t>
            </w:r>
            <w:r>
              <w:rPr>
                <w:rFonts w:ascii="Times New Roman" w:eastAsia="DengXian" w:hAnsi="Times New Roman" w:cs="Times New Roman"/>
                <w:sz w:val="20"/>
                <w:szCs w:val="20"/>
              </w:rPr>
              <w:fldChar w:fldCharType="begin" w:fldLock="1"/>
            </w:r>
            <w:r w:rsidR="00B04B53">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43124"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Times New Roman" w:hAnsi="Times New Roman" w:cs="Times New Roman"/>
                <w:color w:val="000000"/>
                <w:kern w:val="0"/>
                <w:sz w:val="20"/>
                <w:szCs w:val="20"/>
                <w:lang w:eastAsia="zh-TW"/>
                <w14:ligatures w14:val="none"/>
              </w:rPr>
              <w:t>, 1612(2030)</w:t>
            </w:r>
            <w:r>
              <w:rPr>
                <w:rFonts w:ascii="Times New Roman" w:eastAsia="DengXian" w:hAnsi="Times New Roman" w:cs="Times New Roman"/>
                <w:sz w:val="20"/>
                <w:szCs w:val="20"/>
              </w:rPr>
              <w:fldChar w:fldCharType="begin" w:fldLock="1"/>
            </w:r>
            <w:r w:rsidR="00B04B53">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43124"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Times New Roman" w:hAnsi="Times New Roman" w:cs="Times New Roman"/>
                <w:color w:val="000000"/>
                <w:kern w:val="0"/>
                <w:sz w:val="20"/>
                <w:szCs w:val="20"/>
                <w:lang w:eastAsia="zh-TW"/>
                <w14:ligatures w14:val="none"/>
              </w:rPr>
              <w:t>,</w:t>
            </w:r>
          </w:p>
          <w:p w14:paraId="368C6CDC" w14:textId="4FCF93FA" w:rsidR="009A4FAF" w:rsidRDefault="009A4FAF"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p>
          <w:p w14:paraId="166D0E5C" w14:textId="1FC46468" w:rsidR="009A4FAF" w:rsidRDefault="009A4FAF"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1748" w:type="dxa"/>
          </w:tcPr>
          <w:p w14:paraId="696CCD50" w14:textId="1F0F5B5C" w:rsidR="009A4FAF" w:rsidRDefault="009A4FAF" w:rsidP="009A4FA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Pr>
                <w:rFonts w:ascii="Times New Roman" w:eastAsia="Times New Roman" w:hAnsi="Times New Roman" w:cs="Times New Roman"/>
                <w:color w:val="000000"/>
                <w:kern w:val="0"/>
                <w:sz w:val="20"/>
                <w:szCs w:val="20"/>
                <w:lang w:eastAsia="zh-TW"/>
                <w14:ligatures w14:val="none"/>
              </w:rPr>
              <w:t>312(2020)</w:t>
            </w:r>
            <w:r>
              <w:rPr>
                <w:rFonts w:ascii="Times New Roman" w:eastAsia="DengXian" w:hAnsi="Times New Roman" w:cs="Times New Roman"/>
                <w:sz w:val="20"/>
                <w:szCs w:val="20"/>
              </w:rPr>
              <w:fldChar w:fldCharType="begin" w:fldLock="1"/>
            </w:r>
            <w:r w:rsidR="00B04B53">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43124"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DengXian" w:hAnsi="Times New Roman" w:cs="Times New Roman"/>
                <w:sz w:val="20"/>
                <w:szCs w:val="20"/>
              </w:rPr>
              <w:t xml:space="preserve">, </w:t>
            </w:r>
            <w:r>
              <w:rPr>
                <w:rFonts w:ascii="Times New Roman" w:eastAsia="Times New Roman" w:hAnsi="Times New Roman" w:cs="Times New Roman"/>
                <w:color w:val="000000"/>
                <w:kern w:val="0"/>
                <w:sz w:val="20"/>
                <w:szCs w:val="20"/>
                <w:lang w:eastAsia="zh-TW"/>
                <w14:ligatures w14:val="none"/>
              </w:rPr>
              <w:t>161(2030)</w:t>
            </w:r>
            <w:r>
              <w:rPr>
                <w:rFonts w:ascii="Times New Roman" w:eastAsia="DengXian" w:hAnsi="Times New Roman" w:cs="Times New Roman"/>
                <w:sz w:val="20"/>
                <w:szCs w:val="20"/>
              </w:rPr>
              <w:fldChar w:fldCharType="begin" w:fldLock="1"/>
            </w:r>
            <w:r w:rsidR="00B04B53">
              <w:rPr>
                <w:rFonts w:ascii="Times New Roman" w:eastAsia="DengXian" w:hAnsi="Times New Roman" w:cs="Times New Roman"/>
                <w:sz w:val="20"/>
                <w:szCs w:val="20"/>
              </w:rPr>
              <w:instrText>ADDIN CSL_CITATION {"citationItems":[{"id":"ITEM-1","itemData":{"author":[{"dropping-particle":"","family":"Mongird","given":"Kendall","non-dropping-particle":"","parse-names":false,"suffix":""},{"dropping-particle":"","family":"Viswanathan","given":"Vilayanur","non-dropping-particle":"","parse-names":false,"suffix":""},{"dropping-particle":"","family":"Alam","given":"Jan","non-dropping-particle":"","parse-names":false,"suffix":""},{"dropping-particle":"","family":"Vartanian","given":"Charlie","non-dropping-particle":"","parse-names":false,"suffix":""},{"dropping-particle":"","family":"Sprenkle","given":"Vincent","non-dropping-particle":"","parse-names":false,"suffix":""},{"dropping-particle":"","family":"Northwest","given":"Pacific","non-dropping-particle":"","parse-names":false,"suffix":""}],"id":"ITEM-1","issue":"December","issued":{"date-parts":[["2020"]]},"title":"2020 Grid Energy Storage Technology Cost and Performance Assessment","type":"report"},"uris":["http://www.mendeley.com/documents/?uuid=2c4ceaa3-27ec-4479-bc67-bb32a75e458b"]}],"mendeley":{"formattedCitation":"&lt;sup&gt;2&lt;/sup&gt;","plainTextFormattedCitation":"2","previouslyFormattedCitation":"&lt;sup&gt;2&lt;/sup&gt;"},"properties":{"noteIndex":0},"schema":"https://github.com/citation-style-language/schema/raw/master/csl-citation.json"}</w:instrText>
            </w:r>
            <w:r>
              <w:rPr>
                <w:rFonts w:ascii="Times New Roman" w:eastAsia="DengXian" w:hAnsi="Times New Roman" w:cs="Times New Roman"/>
                <w:sz w:val="20"/>
                <w:szCs w:val="20"/>
              </w:rPr>
              <w:fldChar w:fldCharType="separate"/>
            </w:r>
            <w:r w:rsidR="00243124" w:rsidRPr="00243124">
              <w:rPr>
                <w:rFonts w:ascii="Times New Roman" w:eastAsia="DengXian" w:hAnsi="Times New Roman" w:cs="Times New Roman"/>
                <w:noProof/>
                <w:sz w:val="20"/>
                <w:szCs w:val="20"/>
                <w:vertAlign w:val="superscript"/>
              </w:rPr>
              <w:t>2</w:t>
            </w:r>
            <w:r>
              <w:rPr>
                <w:rFonts w:ascii="Times New Roman" w:eastAsia="DengXian" w:hAnsi="Times New Roman" w:cs="Times New Roman"/>
                <w:sz w:val="20"/>
                <w:szCs w:val="20"/>
              </w:rPr>
              <w:fldChar w:fldCharType="end"/>
            </w:r>
            <w:r>
              <w:rPr>
                <w:rFonts w:ascii="Times New Roman" w:eastAsia="Times New Roman" w:hAnsi="Times New Roman" w:cs="Times New Roman"/>
                <w:color w:val="000000"/>
                <w:kern w:val="0"/>
                <w:sz w:val="20"/>
                <w:szCs w:val="20"/>
                <w:lang w:eastAsia="zh-TW"/>
                <w14:ligatures w14:val="none"/>
              </w:rPr>
              <w:t>,</w:t>
            </w:r>
          </w:p>
          <w:p w14:paraId="4DB5D2DD" w14:textId="0E0D5AB2" w:rsidR="009A4FAF" w:rsidRPr="00C12F6F" w:rsidRDefault="009A4FAF"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p>
        </w:tc>
        <w:tc>
          <w:tcPr>
            <w:tcW w:w="0" w:type="auto"/>
          </w:tcPr>
          <w:p w14:paraId="70CCAE78" w14:textId="0F3A303A" w:rsidR="000C0181" w:rsidRPr="006040B0"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0" w:type="auto"/>
          </w:tcPr>
          <w:p w14:paraId="774E23A2" w14:textId="61A843B4" w:rsidR="000C0181"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p>
        </w:tc>
        <w:tc>
          <w:tcPr>
            <w:tcW w:w="0" w:type="auto"/>
          </w:tcPr>
          <w:p w14:paraId="0BB9E961" w14:textId="77777777"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D - M</w:t>
            </w:r>
          </w:p>
        </w:tc>
        <w:tc>
          <w:tcPr>
            <w:tcW w:w="0" w:type="auto"/>
          </w:tcPr>
          <w:p w14:paraId="763AD486" w14:textId="77777777"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zh-TW"/>
                <w14:ligatures w14:val="none"/>
              </w:rPr>
            </w:pPr>
            <w:r w:rsidRPr="00C12F6F">
              <w:rPr>
                <w:rFonts w:ascii="Times New Roman" w:eastAsia="Times New Roman" w:hAnsi="Times New Roman" w:cs="Times New Roman"/>
                <w:color w:val="000000"/>
                <w:kern w:val="0"/>
                <w:sz w:val="20"/>
                <w:szCs w:val="20"/>
                <w:lang w:eastAsia="zh-TW"/>
                <w14:ligatures w14:val="none"/>
              </w:rPr>
              <w:t>20 - 40</w:t>
            </w:r>
          </w:p>
        </w:tc>
        <w:tc>
          <w:tcPr>
            <w:tcW w:w="0" w:type="auto"/>
          </w:tcPr>
          <w:p w14:paraId="49F811EA" w14:textId="77777777" w:rsidR="000C0181" w:rsidRPr="00C12F6F" w:rsidRDefault="000C0181" w:rsidP="000C018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C12F6F">
              <w:rPr>
                <w:rFonts w:ascii="Times New Roman" w:eastAsia="Times New Roman" w:hAnsi="Times New Roman" w:cs="Times New Roman"/>
                <w:color w:val="000000"/>
                <w:kern w:val="0"/>
                <w:sz w:val="20"/>
                <w:szCs w:val="20"/>
                <w:lang w:eastAsia="zh-TW"/>
                <w14:ligatures w14:val="none"/>
              </w:rPr>
              <w:t>*300 bar, pressured vessels</w:t>
            </w:r>
            <w:r w:rsidRPr="00C12F6F">
              <w:rPr>
                <w:rFonts w:ascii="Times New Roman" w:eastAsia="Times New Roman" w:hAnsi="Times New Roman" w:cs="Times New Roman"/>
                <w:color w:val="000000"/>
                <w:kern w:val="0"/>
                <w:sz w:val="20"/>
                <w:szCs w:val="20"/>
                <w:lang w:eastAsia="zh-TW"/>
                <w14:ligatures w14:val="none"/>
              </w:rPr>
              <w:br/>
              <w:t>#Salt cavern, 200 bar (max) &amp; 70bar (min); cost doesn’t account for 1/3 of gas volume which cannot leave the cavern to keep minimal pressure</w:t>
            </w:r>
          </w:p>
        </w:tc>
      </w:tr>
    </w:tbl>
    <w:p w14:paraId="7B8A1FB7" w14:textId="77777777" w:rsidR="0027552C" w:rsidRDefault="0027552C">
      <w:pPr>
        <w:rPr>
          <w:rFonts w:ascii="Times New Roman" w:hAnsi="Times New Roman" w:cs="Times New Roman"/>
          <w:b/>
          <w:bCs/>
        </w:rPr>
      </w:pPr>
    </w:p>
    <w:p w14:paraId="435CBCDD" w14:textId="77777777" w:rsidR="00D96525" w:rsidRDefault="00D96525">
      <w:pPr>
        <w:rPr>
          <w:rFonts w:ascii="Times New Roman" w:hAnsi="Times New Roman" w:cs="Times New Roman"/>
          <w:b/>
          <w:bCs/>
        </w:rPr>
      </w:pPr>
    </w:p>
    <w:p w14:paraId="7D0781F4" w14:textId="2A9BAD2D" w:rsidR="0027552C" w:rsidRPr="004F051F" w:rsidRDefault="0027552C" w:rsidP="0027552C">
      <w:pPr>
        <w:rPr>
          <w:rFonts w:ascii="Times New Roman" w:eastAsia="DengXian" w:hAnsi="Times New Roman" w:cs="Times New Roman"/>
          <w:b/>
          <w:lang w:val="en-US"/>
        </w:rPr>
      </w:pPr>
      <w:r w:rsidRPr="004F051F">
        <w:rPr>
          <w:rFonts w:ascii="Times New Roman" w:eastAsia="DengXian" w:hAnsi="Times New Roman" w:cs="Times New Roman"/>
          <w:b/>
          <w:lang w:val="en-US"/>
        </w:rPr>
        <w:t xml:space="preserve">Notes </w:t>
      </w:r>
      <w:r>
        <w:rPr>
          <w:rFonts w:ascii="Times New Roman" w:eastAsia="DengXian" w:hAnsi="Times New Roman" w:cs="Times New Roman" w:hint="eastAsia"/>
          <w:b/>
          <w:lang w:val="en-US"/>
        </w:rPr>
        <w:t xml:space="preserve">for Table </w:t>
      </w:r>
      <w:r w:rsidR="00D0363A">
        <w:rPr>
          <w:rFonts w:ascii="Times New Roman" w:eastAsia="DengXian" w:hAnsi="Times New Roman" w:cs="Times New Roman" w:hint="eastAsia"/>
          <w:b/>
          <w:lang w:val="en-US"/>
        </w:rPr>
        <w:t>3</w:t>
      </w:r>
      <w:r>
        <w:rPr>
          <w:rFonts w:ascii="Times New Roman" w:eastAsia="DengXian" w:hAnsi="Times New Roman" w:cs="Times New Roman" w:hint="eastAsia"/>
          <w:b/>
          <w:lang w:val="en-US"/>
        </w:rPr>
        <w:t>:</w:t>
      </w:r>
    </w:p>
    <w:p w14:paraId="24116634" w14:textId="17BF02FF" w:rsidR="0027552C" w:rsidRPr="004F051F" w:rsidRDefault="0027552C" w:rsidP="0027552C">
      <w:pPr>
        <w:rPr>
          <w:rFonts w:ascii="Times New Roman" w:eastAsia="DengXian" w:hAnsi="Times New Roman" w:cs="Times New Roman"/>
          <w:bCs/>
          <w:lang w:val="en-US"/>
        </w:rPr>
      </w:pPr>
      <w:r w:rsidRPr="004F051F">
        <w:rPr>
          <w:rFonts w:ascii="Times New Roman" w:eastAsia="DengXian" w:hAnsi="Times New Roman" w:cs="Times New Roman"/>
          <w:bCs/>
          <w:lang w:val="en-US"/>
        </w:rPr>
        <w:t xml:space="preserve">1. </w:t>
      </w:r>
      <w:r w:rsidR="000C0181" w:rsidRPr="004F051F">
        <w:rPr>
          <w:rFonts w:ascii="Times New Roman" w:eastAsia="DengXian" w:hAnsi="Times New Roman" w:cs="Times New Roman"/>
          <w:bCs/>
          <w:lang w:val="en-US"/>
        </w:rPr>
        <w:t>Geo</w:t>
      </w:r>
      <w:r w:rsidR="000C0181">
        <w:rPr>
          <w:rFonts w:ascii="Times New Roman" w:eastAsia="DengXian" w:hAnsi="Times New Roman" w:cs="Times New Roman" w:hint="eastAsia"/>
          <w:bCs/>
          <w:lang w:val="en-US"/>
        </w:rPr>
        <w:t>-</w:t>
      </w:r>
      <w:r w:rsidR="000C0181" w:rsidRPr="004F051F">
        <w:rPr>
          <w:rFonts w:ascii="Times New Roman" w:eastAsia="DengXian" w:hAnsi="Times New Roman" w:cs="Times New Roman"/>
          <w:bCs/>
          <w:lang w:val="en-US"/>
        </w:rPr>
        <w:t>mechanical</w:t>
      </w:r>
      <w:r w:rsidRPr="004F051F">
        <w:rPr>
          <w:rFonts w:ascii="Times New Roman" w:eastAsia="DengXian" w:hAnsi="Times New Roman" w:cs="Times New Roman"/>
          <w:bCs/>
          <w:lang w:val="en-US"/>
        </w:rPr>
        <w:t xml:space="preserve"> energy storage, it pumps water </w:t>
      </w:r>
      <w:r w:rsidR="000C0181" w:rsidRPr="004F051F">
        <w:rPr>
          <w:rFonts w:ascii="Times New Roman" w:eastAsia="DengXian" w:hAnsi="Times New Roman" w:cs="Times New Roman"/>
          <w:bCs/>
          <w:lang w:val="en-US"/>
        </w:rPr>
        <w:t>underground</w:t>
      </w:r>
      <w:r w:rsidRPr="004F051F">
        <w:rPr>
          <w:rFonts w:ascii="Times New Roman" w:eastAsia="DengXian" w:hAnsi="Times New Roman" w:cs="Times New Roman"/>
          <w:bCs/>
          <w:lang w:val="en-US"/>
        </w:rPr>
        <w:t xml:space="preserve"> to store energy in the elastic compression of rock formations</w:t>
      </w:r>
      <w:sdt>
        <w:sdtPr>
          <w:rPr>
            <w:rFonts w:ascii="Times New Roman" w:eastAsia="DengXian" w:hAnsi="Times New Roman" w:cs="Times New Roman"/>
            <w:bCs/>
            <w:color w:val="000000"/>
            <w:vertAlign w:val="superscript"/>
            <w:lang w:val="en-US"/>
          </w:rPr>
          <w:tag w:val="MENDELEY_CITATION_v3_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"/>
          <w:id w:val="-1603415944"/>
          <w:placeholder>
            <w:docPart w:val="5E9B470627204463B1F052CD142B36EB"/>
          </w:placeholder>
        </w:sdtPr>
        <w:sdtContent>
          <w:r w:rsidRPr="004F051F">
            <w:rPr>
              <w:rFonts w:ascii="Times New Roman" w:eastAsia="DengXian" w:hAnsi="Times New Roman" w:cs="Times New Roman"/>
              <w:bCs/>
              <w:color w:val="000000"/>
              <w:vertAlign w:val="superscript"/>
              <w:lang w:val="en-US"/>
            </w:rPr>
            <w:t>1</w:t>
          </w:r>
        </w:sdtContent>
      </w:sdt>
      <w:r w:rsidRPr="004F051F">
        <w:rPr>
          <w:rFonts w:ascii="Times New Roman" w:eastAsia="DengXian" w:hAnsi="Times New Roman" w:cs="Times New Roman"/>
          <w:bCs/>
          <w:lang w:val="en-US"/>
        </w:rPr>
        <w:t>.</w:t>
      </w:r>
    </w:p>
    <w:p w14:paraId="4A8A9668" w14:textId="77777777" w:rsidR="0027552C" w:rsidRPr="004F051F" w:rsidRDefault="0027552C" w:rsidP="0027552C">
      <w:pPr>
        <w:rPr>
          <w:rFonts w:ascii="Times New Roman" w:eastAsia="DengXian" w:hAnsi="Times New Roman" w:cs="Times New Roman"/>
          <w:bCs/>
          <w:lang w:val="en-US"/>
        </w:rPr>
      </w:pPr>
      <w:r w:rsidRPr="004F051F">
        <w:rPr>
          <w:rFonts w:ascii="Times New Roman" w:eastAsia="DengXian" w:hAnsi="Times New Roman" w:cs="Times New Roman"/>
          <w:bCs/>
          <w:lang w:val="en-US"/>
        </w:rPr>
        <w:t>2</w:t>
      </w:r>
      <w:r w:rsidRPr="004F051F">
        <w:rPr>
          <w:rFonts w:ascii="Times New Roman" w:eastAsia="DengXian" w:hAnsi="Times New Roman" w:cs="Times New Roman"/>
          <w:b/>
          <w:lang w:val="en-US"/>
        </w:rPr>
        <w:t xml:space="preserve">. </w:t>
      </w:r>
      <w:r w:rsidRPr="004F051F">
        <w:rPr>
          <w:rFonts w:ascii="Times New Roman" w:eastAsia="DengXian" w:hAnsi="Times New Roman" w:cs="Times New Roman"/>
          <w:bCs/>
          <w:lang w:val="en-US"/>
        </w:rPr>
        <w:t xml:space="preserve">Hydrogen energy storage energy storage capacity cost can be as low as 0.5-5 $/kWh only applied for natural storage </w:t>
      </w:r>
      <w:proofErr w:type="gramStart"/>
      <w:r w:rsidRPr="004F051F">
        <w:rPr>
          <w:rFonts w:ascii="Times New Roman" w:eastAsia="DengXian" w:hAnsi="Times New Roman" w:cs="Times New Roman"/>
          <w:bCs/>
          <w:lang w:val="en-US"/>
        </w:rPr>
        <w:t>caverns,</w:t>
      </w:r>
      <w:proofErr w:type="gramEnd"/>
      <w:r w:rsidRPr="004F051F">
        <w:rPr>
          <w:rFonts w:ascii="Times New Roman" w:eastAsia="DengXian" w:hAnsi="Times New Roman" w:cs="Times New Roman"/>
          <w:bCs/>
          <w:lang w:val="en-US"/>
        </w:rPr>
        <w:t xml:space="preserve"> 10-15 $/kWh applied for compression steel tanks</w:t>
      </w:r>
      <w:sdt>
        <w:sdtPr>
          <w:rPr>
            <w:rFonts w:ascii="Times New Roman" w:eastAsia="DengXian" w:hAnsi="Times New Roman" w:cs="Times New Roman"/>
            <w:bCs/>
            <w:color w:val="000000"/>
            <w:vertAlign w:val="superscript"/>
            <w:lang w:val="en-US"/>
          </w:rPr>
          <w:tag w:val="MENDELEY_CITATION_v3_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"/>
          <w:id w:val="2079776350"/>
          <w:placeholder>
            <w:docPart w:val="5E9B470627204463B1F052CD142B36EB"/>
          </w:placeholder>
        </w:sdtPr>
        <w:sdtContent>
          <w:r w:rsidRPr="004F051F">
            <w:rPr>
              <w:rFonts w:ascii="Times New Roman" w:eastAsia="DengXian" w:hAnsi="Times New Roman" w:cs="Times New Roman"/>
              <w:bCs/>
              <w:color w:val="000000"/>
              <w:vertAlign w:val="superscript"/>
              <w:lang w:val="en-US"/>
            </w:rPr>
            <w:t>1</w:t>
          </w:r>
        </w:sdtContent>
      </w:sdt>
      <w:r w:rsidRPr="004F051F">
        <w:rPr>
          <w:rFonts w:ascii="Times New Roman" w:eastAsia="DengXian" w:hAnsi="Times New Roman" w:cs="Times New Roman"/>
          <w:bCs/>
          <w:lang w:val="en-US"/>
        </w:rPr>
        <w:t>.</w:t>
      </w:r>
    </w:p>
    <w:p w14:paraId="41B8F27E" w14:textId="77777777" w:rsidR="0027552C" w:rsidRPr="004F051F" w:rsidRDefault="0027552C" w:rsidP="0027552C">
      <w:pPr>
        <w:rPr>
          <w:rFonts w:ascii="Times New Roman" w:eastAsia="DengXian" w:hAnsi="Times New Roman" w:cs="Times New Roman"/>
          <w:bCs/>
          <w:lang w:val="en-US"/>
        </w:rPr>
      </w:pPr>
      <w:r w:rsidRPr="004F051F">
        <w:rPr>
          <w:rFonts w:ascii="Times New Roman" w:eastAsia="DengXian" w:hAnsi="Times New Roman" w:cs="Times New Roman"/>
          <w:bCs/>
          <w:lang w:val="en-US"/>
        </w:rPr>
        <w:t>3. The RTE of chemical energy storage is normally too low compared to others, mainly because multiple connected chemical processes, like for methane, methanation sub-process and CO2 capture process further reduces the RTE and increases the power cost for the overall power to methane to power system</w:t>
      </w:r>
      <w:sdt>
        <w:sdtPr>
          <w:rPr>
            <w:rFonts w:ascii="Times New Roman" w:eastAsia="DengXian" w:hAnsi="Times New Roman" w:cs="Times New Roman"/>
            <w:bCs/>
            <w:color w:val="000000"/>
            <w:vertAlign w:val="superscript"/>
            <w:lang w:val="en-US"/>
          </w:rPr>
          <w:tag w:val="MENDELEY_CITATION_v3_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"/>
          <w:id w:val="1565603557"/>
          <w:placeholder>
            <w:docPart w:val="5E9B470627204463B1F052CD142B36EB"/>
          </w:placeholder>
        </w:sdtPr>
        <w:sdtContent>
          <w:r w:rsidRPr="004F051F">
            <w:rPr>
              <w:rFonts w:ascii="Times New Roman" w:eastAsia="DengXian" w:hAnsi="Times New Roman" w:cs="Times New Roman"/>
              <w:bCs/>
              <w:color w:val="000000"/>
              <w:vertAlign w:val="superscript"/>
              <w:lang w:val="en-US"/>
            </w:rPr>
            <w:t>1</w:t>
          </w:r>
        </w:sdtContent>
      </w:sdt>
      <w:r w:rsidRPr="004F051F">
        <w:rPr>
          <w:rFonts w:ascii="Times New Roman" w:eastAsia="DengXian" w:hAnsi="Times New Roman" w:cs="Times New Roman"/>
          <w:bCs/>
          <w:lang w:val="en-US"/>
        </w:rPr>
        <w:t>.</w:t>
      </w:r>
    </w:p>
    <w:p w14:paraId="6F3B9606" w14:textId="77777777" w:rsidR="0027552C" w:rsidRPr="004F051F" w:rsidRDefault="0027552C" w:rsidP="0027552C">
      <w:pPr>
        <w:rPr>
          <w:rFonts w:ascii="Times New Roman" w:hAnsi="Times New Roman" w:cs="Times New Roman"/>
        </w:rPr>
      </w:pPr>
      <w:r w:rsidRPr="004F051F">
        <w:rPr>
          <w:rFonts w:ascii="Times New Roman" w:hAnsi="Times New Roman" w:cs="Times New Roman"/>
          <w:lang w:val="en-US"/>
        </w:rPr>
        <w:t xml:space="preserve">4. Chemical storage systems also present relatively </w:t>
      </w:r>
      <w:proofErr w:type="gramStart"/>
      <w:r w:rsidRPr="004F051F">
        <w:rPr>
          <w:rFonts w:ascii="Times New Roman" w:hAnsi="Times New Roman" w:cs="Times New Roman"/>
          <w:lang w:val="en-US"/>
        </w:rPr>
        <w:t>high power</w:t>
      </w:r>
      <w:proofErr w:type="gramEnd"/>
      <w:r w:rsidRPr="004F051F">
        <w:rPr>
          <w:rFonts w:ascii="Times New Roman" w:hAnsi="Times New Roman" w:cs="Times New Roman"/>
          <w:lang w:val="en-US"/>
        </w:rPr>
        <w:t xml:space="preserve"> capacity cost due to the infrastructure required for the chemical processes, Achieving low charge and discharge power costs for chemical storage pathways thus depends on substantial future cost reductions for both electrolysis and fuel cells to $ $220/kW for each component</w:t>
      </w:r>
      <w:sdt>
        <w:sdtPr>
          <w:rPr>
            <w:rFonts w:ascii="Times New Roman" w:hAnsi="Times New Roman" w:cs="Times New Roman"/>
            <w:color w:val="000000"/>
            <w:vertAlign w:val="superscript"/>
            <w:lang w:val="en-US"/>
          </w:rPr>
          <w:tag w:val="MENDELEY_CITATION_v3_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"/>
          <w:id w:val="2079328563"/>
          <w:placeholder>
            <w:docPart w:val="5E9B470627204463B1F052CD142B36EB"/>
          </w:placeholder>
        </w:sdtPr>
        <w:sdtContent>
          <w:r w:rsidRPr="004F051F">
            <w:rPr>
              <w:rFonts w:ascii="Times New Roman" w:hAnsi="Times New Roman" w:cs="Times New Roman"/>
              <w:color w:val="000000"/>
              <w:vertAlign w:val="superscript"/>
              <w:lang w:val="en-US"/>
            </w:rPr>
            <w:t>1</w:t>
          </w:r>
        </w:sdtContent>
      </w:sdt>
      <w:r w:rsidRPr="004F051F">
        <w:rPr>
          <w:rFonts w:ascii="Times New Roman" w:hAnsi="Times New Roman" w:cs="Times New Roman"/>
          <w:lang w:val="en-US"/>
        </w:rPr>
        <w:t xml:space="preserve">. </w:t>
      </w:r>
    </w:p>
    <w:p w14:paraId="5BF7649B" w14:textId="77777777" w:rsidR="0027552C" w:rsidRPr="004F051F" w:rsidRDefault="0027552C" w:rsidP="0027552C">
      <w:pPr>
        <w:rPr>
          <w:rFonts w:ascii="Times New Roman" w:eastAsia="DengXian" w:hAnsi="Times New Roman" w:cs="Times New Roman"/>
        </w:rPr>
      </w:pPr>
      <w:r w:rsidRPr="004F051F">
        <w:rPr>
          <w:rFonts w:ascii="Times New Roman" w:hAnsi="Times New Roman" w:cs="Times New Roman"/>
        </w:rPr>
        <w:t xml:space="preserve">5. </w:t>
      </w:r>
      <w:r w:rsidRPr="004F051F">
        <w:rPr>
          <w:rFonts w:ascii="Times New Roman" w:eastAsia="DengXian" w:hAnsi="Times New Roman" w:cs="Times New Roman"/>
        </w:rPr>
        <w:t>The resistive heat energy storage has higher discharge efficiency is due to combined heat and power cycle is considered</w:t>
      </w:r>
      <w:sdt>
        <w:sdtPr>
          <w:rPr>
            <w:rFonts w:ascii="Times New Roman" w:eastAsia="DengXian" w:hAnsi="Times New Roman" w:cs="Times New Roman"/>
            <w:color w:val="000000"/>
            <w:vertAlign w:val="superscript"/>
          </w:rPr>
          <w:tag w:val="MENDELEY_CITATION_v3_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"/>
          <w:id w:val="1430620499"/>
          <w:placeholder>
            <w:docPart w:val="5E9B470627204463B1F052CD142B36EB"/>
          </w:placeholder>
        </w:sdtPr>
        <w:sdtContent>
          <w:r w:rsidRPr="004F051F">
            <w:rPr>
              <w:rFonts w:ascii="Times New Roman" w:eastAsia="DengXian" w:hAnsi="Times New Roman" w:cs="Times New Roman"/>
              <w:color w:val="000000"/>
              <w:vertAlign w:val="superscript"/>
            </w:rPr>
            <w:t>1</w:t>
          </w:r>
        </w:sdtContent>
      </w:sdt>
      <w:r w:rsidRPr="004F051F">
        <w:rPr>
          <w:rFonts w:ascii="Times New Roman" w:eastAsia="DengXian" w:hAnsi="Times New Roman" w:cs="Times New Roman"/>
        </w:rPr>
        <w:t>.</w:t>
      </w:r>
    </w:p>
    <w:p w14:paraId="3CDB7509" w14:textId="77777777" w:rsidR="0027552C" w:rsidRPr="004F051F" w:rsidRDefault="0027552C" w:rsidP="0027552C">
      <w:pPr>
        <w:rPr>
          <w:rFonts w:ascii="Times New Roman" w:eastAsia="DengXian" w:hAnsi="Times New Roman" w:cs="Times New Roman"/>
        </w:rPr>
      </w:pPr>
      <w:r w:rsidRPr="004F051F">
        <w:rPr>
          <w:rFonts w:ascii="Times New Roman" w:eastAsia="DengXian" w:hAnsi="Times New Roman" w:cs="Times New Roman"/>
        </w:rPr>
        <w:lastRenderedPageBreak/>
        <w:t>6.</w:t>
      </w:r>
      <w:r w:rsidRPr="004F051F">
        <w:rPr>
          <w:rFonts w:ascii="Times New Roman" w:hAnsi="Times New Roman" w:cs="Times New Roman"/>
        </w:rPr>
        <w:t xml:space="preserve"> </w:t>
      </w:r>
      <w:r w:rsidRPr="004F051F">
        <w:rPr>
          <w:rFonts w:ascii="Times New Roman" w:eastAsia="DengXian" w:hAnsi="Times New Roman" w:cs="Times New Roman"/>
        </w:rPr>
        <w:t>The diversity of storage options with different costs, efficiencies, design characteristics, and siting constraints may result in complementary technologies occupying specific subniches</w:t>
      </w:r>
      <w:sdt>
        <w:sdtPr>
          <w:rPr>
            <w:rFonts w:ascii="Times New Roman" w:eastAsia="DengXian" w:hAnsi="Times New Roman" w:cs="Times New Roman"/>
            <w:color w:val="000000"/>
            <w:vertAlign w:val="superscript"/>
          </w:rPr>
          <w:tag w:val="MENDELEY_CITATION_v3_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"/>
          <w:id w:val="-1317339640"/>
          <w:placeholder>
            <w:docPart w:val="5E9B470627204463B1F052CD142B36EB"/>
          </w:placeholder>
        </w:sdtPr>
        <w:sdtContent>
          <w:r w:rsidRPr="004F051F">
            <w:rPr>
              <w:rFonts w:ascii="Times New Roman" w:eastAsia="DengXian" w:hAnsi="Times New Roman" w:cs="Times New Roman"/>
              <w:color w:val="000000"/>
              <w:vertAlign w:val="superscript"/>
            </w:rPr>
            <w:t>1</w:t>
          </w:r>
        </w:sdtContent>
      </w:sdt>
      <w:r w:rsidRPr="004F051F">
        <w:rPr>
          <w:rFonts w:ascii="Times New Roman" w:eastAsia="DengXian" w:hAnsi="Times New Roman" w:cs="Times New Roman"/>
        </w:rPr>
        <w:t xml:space="preserve">. </w:t>
      </w:r>
    </w:p>
    <w:p w14:paraId="4A25B53B" w14:textId="77777777" w:rsidR="0027552C" w:rsidRPr="004F051F" w:rsidRDefault="0027552C" w:rsidP="0027552C">
      <w:pPr>
        <w:rPr>
          <w:rFonts w:ascii="Times New Roman" w:hAnsi="Times New Roman" w:cs="Times New Roman"/>
        </w:rPr>
      </w:pPr>
      <w:r w:rsidRPr="004F051F">
        <w:rPr>
          <w:rFonts w:ascii="Times New Roman" w:hAnsi="Times New Roman" w:cs="Times New Roman"/>
        </w:rPr>
        <w:t xml:space="preserve">7. S - seconds, H – Hours, D – Days, M – Months, Sea - seasonally, </w:t>
      </w:r>
    </w:p>
    <w:p w14:paraId="23A685E8" w14:textId="221E642E" w:rsidR="0027552C" w:rsidRDefault="0027552C" w:rsidP="0027552C">
      <w:pPr>
        <w:rPr>
          <w:rFonts w:ascii="Times New Roman" w:hAnsi="Times New Roman" w:cs="Times New Roman"/>
        </w:rPr>
      </w:pPr>
      <w:r>
        <w:rPr>
          <w:rFonts w:ascii="Times New Roman" w:hAnsi="Times New Roman" w:cs="Times New Roman"/>
        </w:rPr>
        <w:t xml:space="preserve">8. </w:t>
      </w:r>
      <w:r w:rsidRPr="00A4201F">
        <w:rPr>
          <w:rFonts w:ascii="Times New Roman" w:hAnsi="Times New Roman" w:cs="Times New Roman"/>
        </w:rPr>
        <w:t>Capital cost, as defined here, covers different components that vary by technology type. For batteries and capacitors, capital costs pertain to the procurement of the direct current (DC) energy storage unit and do not include PCS, BOP, or C&amp;C costs</w:t>
      </w:r>
      <w:r>
        <w:rPr>
          <w:rFonts w:ascii="Times New Roman" w:hAnsi="Times New Roman" w:cs="Times New Roman"/>
        </w:rPr>
        <w:t xml:space="preserve">. </w:t>
      </w:r>
      <w:r w:rsidRPr="00A4201F">
        <w:rPr>
          <w:rFonts w:ascii="Times New Roman" w:hAnsi="Times New Roman" w:cs="Times New Roman"/>
        </w:rPr>
        <w:t>For electrochemical storage units, the capital cost reported within this report includes electrodes, electrolytes, and separators. For PSH, it includes waterways, reservoirs, pumps, and electrical generators. For CAES, it includes caverns, compressors, and generators.</w:t>
      </w:r>
      <w:r>
        <w:rPr>
          <w:rFonts w:ascii="Times New Roman" w:hAnsi="Times New Roman" w:cs="Times New Roman"/>
        </w:rPr>
        <w:t xml:space="preserve"> T</w:t>
      </w:r>
      <w:r w:rsidRPr="00A4201F">
        <w:rPr>
          <w:rFonts w:ascii="Times New Roman" w:hAnsi="Times New Roman" w:cs="Times New Roman"/>
        </w:rPr>
        <w:t>otal project costs, including installation cost</w:t>
      </w:r>
      <w:r>
        <w:rPr>
          <w:rFonts w:ascii="Times New Roman" w:hAnsi="Times New Roman" w:cs="Times New Roman"/>
        </w:rPr>
        <w:t xml:space="preserve">. </w:t>
      </w:r>
      <w:r w:rsidRPr="00A4201F">
        <w:rPr>
          <w:rFonts w:ascii="Times New Roman" w:hAnsi="Times New Roman" w:cs="Times New Roman"/>
        </w:rPr>
        <w:t>Power Conversion System ($/kW) of BESSs includes the cost for the inverter and packaging, as well as container and inverter controls.</w:t>
      </w:r>
      <w:r>
        <w:rPr>
          <w:rFonts w:ascii="Times New Roman" w:hAnsi="Times New Roman" w:cs="Times New Roman"/>
        </w:rPr>
        <w:t xml:space="preserve"> </w:t>
      </w:r>
      <w:r w:rsidRPr="00EA52D9">
        <w:rPr>
          <w:rFonts w:ascii="Times New Roman" w:hAnsi="Times New Roman" w:cs="Times New Roman"/>
        </w:rPr>
        <w:t>Fixed O&amp;M includes all costs necessary to keep the storage system operational throughout the duration of its economic life that do not fluctuate based on energy usage</w:t>
      </w:r>
      <w:r>
        <w:rPr>
          <w:rFonts w:ascii="Times New Roman" w:hAnsi="Times New Roman" w:cs="Times New Roman" w:hint="eastAsia"/>
        </w:rPr>
        <w:t xml:space="preserve">, </w:t>
      </w:r>
      <w:r w:rsidRPr="008F4CC9">
        <w:rPr>
          <w:rFonts w:ascii="Times New Roman" w:hAnsi="Times New Roman" w:cs="Times New Roman"/>
        </w:rPr>
        <w:t xml:space="preserve">include </w:t>
      </w:r>
      <w:proofErr w:type="spellStart"/>
      <w:r w:rsidRPr="008F4CC9">
        <w:rPr>
          <w:rFonts w:ascii="Times New Roman" w:hAnsi="Times New Roman" w:cs="Times New Roman"/>
        </w:rPr>
        <w:t>labor</w:t>
      </w:r>
      <w:proofErr w:type="spellEnd"/>
      <w:r w:rsidRPr="008F4CC9">
        <w:rPr>
          <w:rFonts w:ascii="Times New Roman" w:hAnsi="Times New Roman" w:cs="Times New Roman"/>
        </w:rPr>
        <w:t>, insurance, and taxes</w:t>
      </w:r>
      <w:r w:rsidRPr="00EA52D9">
        <w:rPr>
          <w:rFonts w:ascii="Times New Roman" w:hAnsi="Times New Roman" w:cs="Times New Roman"/>
        </w:rPr>
        <w:t>.</w:t>
      </w:r>
      <w:r>
        <w:rPr>
          <w:rFonts w:ascii="Times New Roman" w:hAnsi="Times New Roman" w:cs="Times New Roman"/>
        </w:rPr>
        <w:t xml:space="preserve"> </w:t>
      </w:r>
      <w:r w:rsidRPr="00EA52D9">
        <w:rPr>
          <w:rFonts w:ascii="Times New Roman" w:hAnsi="Times New Roman" w:cs="Times New Roman"/>
        </w:rPr>
        <w:t>Variable O&amp;M includes all costs necessary to operate the storage system throughout the duration of its economic life and is normalized with respect to the annual discharge energy throughput</w:t>
      </w:r>
      <w:r>
        <w:rPr>
          <w:rFonts w:ascii="Times New Roman" w:hAnsi="Times New Roman" w:cs="Times New Roman"/>
        </w:rPr>
        <w:t>.</w:t>
      </w:r>
      <w:r>
        <w:t xml:space="preserve"> </w:t>
      </w:r>
      <w:r w:rsidRPr="00045C34">
        <w:rPr>
          <w:rFonts w:ascii="Times New Roman" w:hAnsi="Times New Roman" w:cs="Times New Roman"/>
        </w:rPr>
        <w:t>Variable O&amp;M costs account for wear and tear of the system during operation</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{"citationItems":[{"id":"ITEM-1","itemData":{"abstract":"This report defines and evaluatescost and performance parameters of six battery energy storage technologies (BESS)(lithium-ion batteries, lead-acid batteries, redox flow batteries, sodium-sulfur batteries, sodium metal halide batteries,and zinc-hybrid cathode batteries) and four non-BESS storage technologies (pumped storage hydropower, flywheels, compressed air energy storage, and ultracapacitors).Data for combustion turbines are also presented. Cost information was procured for the most recent year for which data were available based on an extensive literature review, conversations with vendors and stakeholders, and summaries of actual costs provided from specific projects at sites across the United States. Detailed cost and performance estimates were presented for 2018 and projected out to 2025.","author":[{"dropping-particle":"","family":"Mongird","given":"K","non-dropping-particle":"","parse-names":false,"suffix":""},{"dropping-particle":"","family":"Viswanathan","given":"V","non-dropping-particle":"","parse-names":false,"suffix":""},{"dropping-particle":"","family":"Balducci","given":"P","non-dropping-particle":"","parse-names":false,"suffix":""},{"dropping-particle":"","family":"Alam","given":"J","non-dropping-particle":"","parse-names":false,"suffix":""},{"dropping-particle":"","family":"Fotedar","given":"V","non-dropping-particle":"","parse-names":false,"suffix":""},{"dropping-particle":"","family":"Koritarov","given":"V","non-dropping-particle":"","parse-names":false,"suffix":""},{"dropping-particle":"","family":"Hadjerioua","given":"B","non-dropping-particle":"","parse-names":false,"suffix":""}],"container-title":"US Department of Energy","id":"ITEM-1","issue":"July","issued":{"date-parts":[["2019"]]},"page":"1-120","title":"Energy Storage Technology and Cost Characterization Report | Department of Energy","type":"article-journal"},"uris":["http://www.mendeley.com/documents/?uuid=d3c2ad72-063f-4b91-8d93-0b7dfb306830"]}],"mendeley":{"formattedCitation":"&lt;sup&gt;19&lt;/sup&gt;","plainTextFormattedCitation":"19","previouslyFormattedCitation":"&lt;sup&gt;18&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19</w:t>
      </w:r>
      <w:r>
        <w:rPr>
          <w:rFonts w:ascii="Times New Roman" w:eastAsia="Times New Roman" w:hAnsi="Times New Roman" w:cs="Times New Roman"/>
          <w:color w:val="000000"/>
          <w:kern w:val="0"/>
          <w:sz w:val="20"/>
          <w:szCs w:val="20"/>
          <w:lang w:eastAsia="zh-TW"/>
          <w14:ligatures w14:val="none"/>
        </w:rPr>
        <w:fldChar w:fldCharType="end"/>
      </w:r>
      <w:r w:rsidRPr="00045C34">
        <w:rPr>
          <w:rFonts w:ascii="Times New Roman" w:hAnsi="Times New Roman" w:cs="Times New Roman"/>
        </w:rPr>
        <w:t>.</w:t>
      </w:r>
      <w:r>
        <w:rPr>
          <w:rFonts w:ascii="Times New Roman" w:hAnsi="Times New Roman" w:cs="Times New Roman"/>
        </w:rPr>
        <w:t xml:space="preserve"> </w:t>
      </w:r>
    </w:p>
    <w:p w14:paraId="466BD738" w14:textId="77593FD4" w:rsidR="0027552C" w:rsidRDefault="0027552C" w:rsidP="0027552C">
      <w:pPr>
        <w:rPr>
          <w:rFonts w:ascii="Times New Roman" w:hAnsi="Times New Roman" w:cs="Times New Roman"/>
        </w:rPr>
      </w:pPr>
      <w:r>
        <w:rPr>
          <w:rFonts w:ascii="Times New Roman" w:hAnsi="Times New Roman" w:cs="Times New Roman" w:hint="eastAsia"/>
        </w:rPr>
        <w:t xml:space="preserve">9. </w:t>
      </w:r>
      <w:r w:rsidRPr="00EC656C">
        <w:rPr>
          <w:rFonts w:ascii="Times New Roman" w:hAnsi="Times New Roman" w:cs="Times New Roman"/>
        </w:rPr>
        <w:t>The capital component of a flow battery includes the electrolyte solution, membrane, and the hydraulic pumps necessary to push the solution from one tank to the other.</w:t>
      </w:r>
      <w:r>
        <w:rPr>
          <w:rFonts w:ascii="Times New Roman" w:hAnsi="Times New Roman" w:cs="Times New Roman" w:hint="eastAsia"/>
        </w:rPr>
        <w:t xml:space="preserve"> </w:t>
      </w:r>
      <w:r w:rsidRPr="00EC656C">
        <w:rPr>
          <w:rFonts w:ascii="Times New Roman" w:hAnsi="Times New Roman" w:cs="Times New Roman"/>
        </w:rPr>
        <w:t>The battery system can be composed of different design variants that can be stacked together to build systems that have larger capacities</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{"citationItems":[{"id":"ITEM-1","itemData":{"abstract":"This report defines and evaluatescost and performance parameters of six battery energy storage technologies (BESS)(lithium-ion batteries, lead-acid batteries, redox flow batteries, sodium-sulfur batteries, sodium metal halide batteries,and zinc-hybrid cathode batteries) and four non-BESS storage technologies (pumped storage hydropower, flywheels, compressed air energy storage, and ultracapacitors).Data for combustion turbines are also presented. Cost information was procured for the most recent year for which data were available based on an extensive literature review, conversations with vendors and stakeholders, and summaries of actual costs provided from specific projects at sites across the United States. Detailed cost and performance estimates were presented for 2018 and projected out to 2025.","author":[{"dropping-particle":"","family":"Mongird","given":"K","non-dropping-particle":"","parse-names":false,"suffix":""},{"dropping-particle":"","family":"Viswanathan","given":"V","non-dropping-particle":"","parse-names":false,"suffix":""},{"dropping-particle":"","family":"Balducci","given":"P","non-dropping-particle":"","parse-names":false,"suffix":""},{"dropping-particle":"","family":"Alam","given":"J","non-dropping-particle":"","parse-names":false,"suffix":""},{"dropping-particle":"","family":"Fotedar","given":"V","non-dropping-particle":"","parse-names":false,"suffix":""},{"dropping-particle":"","family":"Koritarov","given":"V","non-dropping-particle":"","parse-names":false,"suffix":""},{"dropping-particle":"","family":"Hadjerioua","given":"B","non-dropping-particle":"","parse-names":false,"suffix":""}],"container-title":"US Department of Energy","id":"ITEM-1","issue":"July","issued":{"date-parts":[["2019"]]},"page":"1-120","title":"Energy Storage Technology and Cost Characterization Report | Department of Energy","type":"article-journal"},"uris":["http://www.mendeley.com/documents/?uuid=d3c2ad72-063f-4b91-8d93-0b7dfb306830"]}],"mendeley":{"formattedCitation":"&lt;sup&gt;19&lt;/sup&gt;","plainTextFormattedCitation":"19","previouslyFormattedCitation":"&lt;sup&gt;18&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19</w:t>
      </w:r>
      <w:r>
        <w:rPr>
          <w:rFonts w:ascii="Times New Roman" w:eastAsia="Times New Roman" w:hAnsi="Times New Roman" w:cs="Times New Roman"/>
          <w:color w:val="000000"/>
          <w:kern w:val="0"/>
          <w:sz w:val="20"/>
          <w:szCs w:val="20"/>
          <w:lang w:eastAsia="zh-TW"/>
          <w14:ligatures w14:val="none"/>
        </w:rPr>
        <w:fldChar w:fldCharType="end"/>
      </w:r>
      <w:r w:rsidRPr="00EC656C">
        <w:rPr>
          <w:rFonts w:ascii="Times New Roman" w:hAnsi="Times New Roman" w:cs="Times New Roman"/>
        </w:rPr>
        <w:t>.</w:t>
      </w:r>
    </w:p>
    <w:p w14:paraId="322C5331" w14:textId="6C160EF3" w:rsidR="0027552C" w:rsidRDefault="0027552C" w:rsidP="0027552C">
      <w:pPr>
        <w:rPr>
          <w:rFonts w:ascii="Times New Roman" w:hAnsi="Times New Roman" w:cs="Times New Roman"/>
        </w:rPr>
      </w:pPr>
      <w:r>
        <w:rPr>
          <w:rFonts w:ascii="Times New Roman" w:hAnsi="Times New Roman" w:cs="Times New Roman" w:hint="eastAsia"/>
        </w:rPr>
        <w:t xml:space="preserve">10. </w:t>
      </w:r>
      <w:r w:rsidRPr="00EC656C">
        <w:rPr>
          <w:rFonts w:ascii="Times New Roman" w:hAnsi="Times New Roman" w:cs="Times New Roman"/>
        </w:rPr>
        <w:t>The capital components of a conventional PSH facility include two water reservoirs, a waterway to connect them, and a power station that includes a pump and turbine.</w:t>
      </w:r>
      <w:r>
        <w:rPr>
          <w:rFonts w:ascii="Times New Roman" w:hAnsi="Times New Roman" w:cs="Times New Roman" w:hint="eastAsia"/>
        </w:rPr>
        <w:t xml:space="preserve">  T</w:t>
      </w:r>
      <w:r w:rsidRPr="00113488">
        <w:rPr>
          <w:rFonts w:ascii="Times New Roman" w:hAnsi="Times New Roman" w:cs="Times New Roman"/>
        </w:rPr>
        <w:t xml:space="preserve">he $/kW for electrical and mechanical equipment </w:t>
      </w:r>
      <w:r>
        <w:rPr>
          <w:rFonts w:ascii="Times New Roman" w:hAnsi="Times New Roman" w:cs="Times New Roman" w:hint="eastAsia"/>
        </w:rPr>
        <w:t xml:space="preserve">of PHS </w:t>
      </w:r>
      <w:r w:rsidRPr="00113488">
        <w:rPr>
          <w:rFonts w:ascii="Times New Roman" w:hAnsi="Times New Roman" w:cs="Times New Roman"/>
        </w:rPr>
        <w:t>decreases with increasing power and is estimated to be $570/kW for a 4 MW system, $485/kW</w:t>
      </w:r>
      <w:r>
        <w:rPr>
          <w:rFonts w:ascii="Times New Roman" w:hAnsi="Times New Roman" w:cs="Times New Roman" w:hint="eastAsia"/>
        </w:rPr>
        <w:t xml:space="preserve"> </w:t>
      </w:r>
      <w:r w:rsidRPr="00113488">
        <w:rPr>
          <w:rFonts w:ascii="Times New Roman" w:hAnsi="Times New Roman" w:cs="Times New Roman"/>
        </w:rPr>
        <w:t>for a 48 MW system, and $245/kW for a 500 MW system.</w:t>
      </w:r>
      <w:r>
        <w:rPr>
          <w:rFonts w:ascii="Times New Roman" w:hAnsi="Times New Roman" w:cs="Times New Roman"/>
        </w:rPr>
        <w:t xml:space="preserve"> </w:t>
      </w:r>
      <w:r w:rsidRPr="00113488">
        <w:rPr>
          <w:rFonts w:ascii="Times New Roman" w:hAnsi="Times New Roman" w:cs="Times New Roman"/>
        </w:rPr>
        <w:t>From 4.3 MW to 48 MW, the $/kW decreased by 15%, while from 48 MW to 500 MW, the drop is 50%</w:t>
      </w:r>
      <w:r>
        <w:rPr>
          <w:rFonts w:ascii="Times New Roman" w:eastAsia="Times New Roman" w:hAnsi="Times New Roman" w:cs="Times New Roman"/>
          <w:color w:val="000000"/>
          <w:kern w:val="0"/>
          <w:sz w:val="20"/>
          <w:szCs w:val="20"/>
          <w:lang w:eastAsia="zh-TW"/>
          <w14:ligatures w14:val="none"/>
        </w:rPr>
        <w:fldChar w:fldCharType="begin" w:fldLock="1"/>
      </w:r>
      <w:r w:rsidR="00404868">
        <w:rPr>
          <w:rFonts w:ascii="Times New Roman" w:eastAsia="Times New Roman" w:hAnsi="Times New Roman" w:cs="Times New Roman"/>
          <w:color w:val="000000"/>
          <w:kern w:val="0"/>
          <w:sz w:val="20"/>
          <w:szCs w:val="20"/>
          <w:lang w:eastAsia="zh-TW"/>
          <w14:ligatures w14:val="none"/>
        </w:rPr>
        <w:instrText>ADDIN CSL_CITATION {"citationItems":[{"id":"ITEM-1","itemData":{"abstract":"This report defines and evaluatescost and performance parameters of six battery energy storage technologies (BESS)(lithium-ion batteries, lead-acid batteries, redox flow batteries, sodium-sulfur batteries, sodium metal halide batteries,and zinc-hybrid cathode batteries) and four non-BESS storage technologies (pumped storage hydropower, flywheels, compressed air energy storage, and ultracapacitors).Data for combustion turbines are also presented. Cost information was procured for the most recent year for which data were available based on an extensive literature review, conversations with vendors and stakeholders, and summaries of actual costs provided from specific projects at sites across the United States. Detailed cost and performance estimates were presented for 2018 and projected out to 2025.","author":[{"dropping-particle":"","family":"Mongird","given":"K","non-dropping-particle":"","parse-names":false,"suffix":""},{"dropping-particle":"","family":"Viswanathan","given":"V","non-dropping-particle":"","parse-names":false,"suffix":""},{"dropping-particle":"","family":"Balducci","given":"P","non-dropping-particle":"","parse-names":false,"suffix":""},{"dropping-particle":"","family":"Alam","given":"J","non-dropping-particle":"","parse-names":false,"suffix":""},{"dropping-particle":"","family":"Fotedar","given":"V","non-dropping-particle":"","parse-names":false,"suffix":""},{"dropping-particle":"","family":"Koritarov","given":"V","non-dropping-particle":"","parse-names":false,"suffix":""},{"dropping-particle":"","family":"Hadjerioua","given":"B","non-dropping-particle":"","parse-names":false,"suffix":""}],"container-title":"US Department of Energy","id":"ITEM-1","issue":"July","issued":{"date-parts":[["2019"]]},"page":"1-120","title":"Energy Storage Technology and Cost Characterization Report | Department of Energy","type":"article-journal"},"uris":["http://www.mendeley.com/documents/?uuid=d3c2ad72-063f-4b91-8d93-0b7dfb306830"]}],"mendeley":{"formattedCitation":"&lt;sup&gt;19&lt;/sup&gt;","plainTextFormattedCitation":"19","previouslyFormattedCitation":"&lt;sup&gt;18&lt;/sup&gt;"},"properties":{"noteIndex":0},"schema":"https://github.com/citation-style-language/schema/raw/master/csl-citation.json"}</w:instrText>
      </w:r>
      <w:r>
        <w:rPr>
          <w:rFonts w:ascii="Times New Roman" w:eastAsia="Times New Roman" w:hAnsi="Times New Roman" w:cs="Times New Roman"/>
          <w:color w:val="000000"/>
          <w:kern w:val="0"/>
          <w:sz w:val="20"/>
          <w:szCs w:val="20"/>
          <w:lang w:eastAsia="zh-TW"/>
          <w14:ligatures w14:val="none"/>
        </w:rPr>
        <w:fldChar w:fldCharType="separate"/>
      </w:r>
      <w:r w:rsidR="00404868" w:rsidRPr="00404868">
        <w:rPr>
          <w:rFonts w:ascii="Times New Roman" w:eastAsia="Times New Roman" w:hAnsi="Times New Roman" w:cs="Times New Roman"/>
          <w:noProof/>
          <w:color w:val="000000"/>
          <w:kern w:val="0"/>
          <w:sz w:val="20"/>
          <w:szCs w:val="20"/>
          <w:vertAlign w:val="superscript"/>
          <w:lang w:eastAsia="zh-TW"/>
          <w14:ligatures w14:val="none"/>
        </w:rPr>
        <w:t>19</w:t>
      </w:r>
      <w:r>
        <w:rPr>
          <w:rFonts w:ascii="Times New Roman" w:eastAsia="Times New Roman" w:hAnsi="Times New Roman" w:cs="Times New Roman"/>
          <w:color w:val="000000"/>
          <w:kern w:val="0"/>
          <w:sz w:val="20"/>
          <w:szCs w:val="20"/>
          <w:lang w:eastAsia="zh-TW"/>
          <w14:ligatures w14:val="none"/>
        </w:rPr>
        <w:fldChar w:fldCharType="end"/>
      </w:r>
      <w:r w:rsidRPr="00113488">
        <w:rPr>
          <w:rFonts w:ascii="Times New Roman" w:hAnsi="Times New Roman" w:cs="Times New Roman"/>
        </w:rPr>
        <w:t>.</w:t>
      </w:r>
      <w:r>
        <w:rPr>
          <w:rFonts w:ascii="Times New Roman" w:hAnsi="Times New Roman" w:cs="Times New Roman" w:hint="eastAsia"/>
        </w:rPr>
        <w:t xml:space="preserve"> T</w:t>
      </w:r>
      <w:r w:rsidRPr="00FD338E">
        <w:rPr>
          <w:rFonts w:ascii="Times New Roman" w:hAnsi="Times New Roman" w:cs="Times New Roman"/>
        </w:rPr>
        <w:t xml:space="preserve">he “mechanical and electrical machines,” </w:t>
      </w:r>
      <w:r>
        <w:rPr>
          <w:rFonts w:ascii="Times New Roman" w:hAnsi="Times New Roman" w:cs="Times New Roman" w:hint="eastAsia"/>
        </w:rPr>
        <w:t>was</w:t>
      </w:r>
      <w:r w:rsidRPr="00FD338E">
        <w:rPr>
          <w:rFonts w:ascii="Times New Roman" w:hAnsi="Times New Roman" w:cs="Times New Roman"/>
        </w:rPr>
        <w:t xml:space="preserve"> estimated to be 20 to 30 percent of total cost</w:t>
      </w:r>
      <w:r>
        <w:rPr>
          <w:rFonts w:ascii="Times New Roman" w:hAnsi="Times New Roman" w:cs="Times New Roman" w:hint="eastAsia"/>
        </w:rPr>
        <w:t xml:space="preserve">, which </w:t>
      </w:r>
      <w:r w:rsidRPr="00FD338E">
        <w:rPr>
          <w:rFonts w:ascii="Times New Roman" w:hAnsi="Times New Roman" w:cs="Times New Roman"/>
        </w:rPr>
        <w:t>decreased linearly with increasing PSH power capacity</w:t>
      </w:r>
      <w:r>
        <w:rPr>
          <w:rFonts w:ascii="Times New Roman" w:hAnsi="Times New Roman" w:cs="Times New Roman" w:hint="eastAsia"/>
        </w:rPr>
        <w:t>.</w:t>
      </w:r>
    </w:p>
    <w:p w14:paraId="69803C17" w14:textId="312DE3D8" w:rsidR="0027552C" w:rsidRDefault="0027552C" w:rsidP="0027552C">
      <w:pPr>
        <w:rPr>
          <w:rFonts w:ascii="Times New Roman" w:hAnsi="Times New Roman" w:cs="Times New Roman"/>
        </w:rPr>
      </w:pPr>
      <w:r>
        <w:rPr>
          <w:rFonts w:ascii="Times New Roman" w:hAnsi="Times New Roman" w:cs="Times New Roman" w:hint="eastAsia"/>
        </w:rPr>
        <w:t xml:space="preserve">11. </w:t>
      </w:r>
      <w:r w:rsidRPr="00812E02">
        <w:rPr>
          <w:rFonts w:ascii="Times New Roman" w:hAnsi="Times New Roman" w:cs="Times New Roman"/>
        </w:rPr>
        <w:t xml:space="preserve">The </w:t>
      </w:r>
      <w:r>
        <w:rPr>
          <w:rFonts w:ascii="Times New Roman" w:hAnsi="Times New Roman" w:cs="Times New Roman" w:hint="eastAsia"/>
        </w:rPr>
        <w:t xml:space="preserve">total </w:t>
      </w:r>
      <w:r w:rsidRPr="00812E02">
        <w:rPr>
          <w:rFonts w:ascii="Times New Roman" w:hAnsi="Times New Roman" w:cs="Times New Roman"/>
        </w:rPr>
        <w:t xml:space="preserve">capital cost of CAES plants includes equipment, construction, installation, engineering, and other costs necessary to build the grid-level storage system. </w:t>
      </w:r>
      <w:r w:rsidRPr="00234829">
        <w:rPr>
          <w:rFonts w:ascii="Times New Roman" w:hAnsi="Times New Roman" w:cs="Times New Roman"/>
        </w:rPr>
        <w:t>When Pathfinder CAES in Utah</w:t>
      </w:r>
      <w:r>
        <w:rPr>
          <w:rFonts w:ascii="Times New Roman" w:hAnsi="Times New Roman" w:cs="Times New Roman" w:hint="eastAsia"/>
        </w:rPr>
        <w:t xml:space="preserve"> was </w:t>
      </w:r>
      <w:r w:rsidRPr="00234829">
        <w:rPr>
          <w:rFonts w:ascii="Times New Roman" w:hAnsi="Times New Roman" w:cs="Times New Roman"/>
        </w:rPr>
        <w:t>completed, the project would have a total of 1,500 MW/25,000 MWh for an E/P ratio of slightly over 16</w:t>
      </w:r>
      <w:r>
        <w:rPr>
          <w:rFonts w:ascii="Times New Roman" w:hAnsi="Times New Roman" w:cs="Times New Roman"/>
        </w:rPr>
        <w:fldChar w:fldCharType="begin" w:fldLock="1"/>
      </w:r>
      <w:r w:rsidR="00404868">
        <w:rPr>
          <w:rFonts w:ascii="Times New Roman" w:hAnsi="Times New Roman" w:cs="Times New Roman"/>
        </w:rPr>
        <w:instrText>ADDIN CSL_CITATION {"citationItems":[{"id":"ITEM-1","itemData":{"abstract":"This report defines and evaluatescost and performance parameters of six battery energy storage technologies (BESS)(lithium-ion batteries, lead-acid batteries, redox flow batteries, sodium-sulfur batteries, sodium metal halide batteries,and zinc-hybrid cathode batteries) and four non-BESS storage technologies (pumped storage hydropower, flywheels, compressed air energy storage, and ultracapacitors).Data for combustion turbines are also presented. Cost information was procured for the most recent year for which data were available based on an extensive literature review, conversations with vendors and stakeholders, and summaries of actual costs provided from specific projects at sites across the United States. Detailed cost and performance estimates were presented for 2018 and projected out to 2025.","author":[{"dropping-particle":"","family":"Mongird","given":"K","non-dropping-particle":"","parse-names":false,"suffix":""},{"dropping-particle":"","family":"Viswanathan","given":"V","non-dropping-particle":"","parse-names":false,"suffix":""},{"dropping-particle":"","family":"Balducci","given":"P","non-dropping-particle":"","parse-names":false,"suffix":""},{"dropping-particle":"","family":"Alam","given":"J","non-dropping-particle":"","parse-names":false,"suffix":""},{"dropping-particle":"","family":"Fotedar","given":"V","non-dropping-particle":"","parse-names":false,"suffix":""},{"dropping-particle":"","family":"Koritarov","given":"V","non-dropping-particle":"","parse-names":false,"suffix":""},{"dropping-particle":"","family":"Hadjerioua","given":"B","non-dropping-particle":"","parse-names":false,"suffix":""}],"container-title":"US Department of Energy","id":"ITEM-1","issue":"July","issued":{"date-parts":[["2019"]]},"page":"1-120","title":"Energy Storage Technology and Cost Characterization Report | Department of Energy","type":"article-journal"},"uris":["http://www.mendeley.com/documents/?uuid=d3c2ad72-063f-4b91-8d93-0b7dfb306830"]}],"mendeley":{"formattedCitation":"&lt;sup&gt;19&lt;/sup&gt;","plainTextFormattedCitation":"19","previouslyFormattedCitation":"&lt;sup&gt;18&lt;/sup&gt;"},"properties":{"noteIndex":0},"schema":"https://github.com/citation-style-language/schema/raw/master/csl-citation.json"}</w:instrText>
      </w:r>
      <w:r>
        <w:rPr>
          <w:rFonts w:ascii="Times New Roman" w:hAnsi="Times New Roman" w:cs="Times New Roman"/>
        </w:rPr>
        <w:fldChar w:fldCharType="separate"/>
      </w:r>
      <w:r w:rsidR="00404868" w:rsidRPr="00404868">
        <w:rPr>
          <w:rFonts w:ascii="Times New Roman" w:hAnsi="Times New Roman" w:cs="Times New Roman"/>
          <w:noProof/>
          <w:vertAlign w:val="superscript"/>
        </w:rPr>
        <w:t>19</w:t>
      </w:r>
      <w:r>
        <w:rPr>
          <w:rFonts w:ascii="Times New Roman" w:hAnsi="Times New Roman" w:cs="Times New Roman"/>
        </w:rPr>
        <w:fldChar w:fldCharType="end"/>
      </w:r>
      <w:r>
        <w:rPr>
          <w:rFonts w:ascii="Times New Roman" w:hAnsi="Times New Roman" w:cs="Times New Roman" w:hint="eastAsia"/>
        </w:rPr>
        <w:t xml:space="preserve">. The </w:t>
      </w:r>
      <w:r w:rsidRPr="006E4999">
        <w:rPr>
          <w:rFonts w:ascii="Times New Roman" w:hAnsi="Times New Roman" w:cs="Times New Roman"/>
        </w:rPr>
        <w:t>established CAES plants, the McIntosh, Alabama</w:t>
      </w:r>
      <w:r>
        <w:rPr>
          <w:rFonts w:ascii="Times New Roman" w:hAnsi="Times New Roman" w:cs="Times New Roman" w:hint="eastAsia"/>
        </w:rPr>
        <w:t xml:space="preserve">, </w:t>
      </w:r>
      <w:r w:rsidRPr="006E4999">
        <w:rPr>
          <w:rFonts w:ascii="Times New Roman" w:hAnsi="Times New Roman" w:cs="Times New Roman"/>
        </w:rPr>
        <w:t xml:space="preserve">has a salt dome capacity of 18.9 MM ft3, and a pressure range of </w:t>
      </w:r>
      <w:r>
        <w:rPr>
          <w:rFonts w:ascii="Times New Roman" w:hAnsi="Times New Roman" w:cs="Times New Roman" w:hint="eastAsia"/>
        </w:rPr>
        <w:t>4.5-7.6 MPa (</w:t>
      </w:r>
      <w:r w:rsidRPr="006E4999">
        <w:rPr>
          <w:rFonts w:ascii="Times New Roman" w:hAnsi="Times New Roman" w:cs="Times New Roman"/>
        </w:rPr>
        <w:t>650– 1,100 psia</w:t>
      </w:r>
      <w:r>
        <w:rPr>
          <w:rFonts w:ascii="Times New Roman" w:hAnsi="Times New Roman" w:cs="Times New Roman" w:hint="eastAsia"/>
        </w:rPr>
        <w:t xml:space="preserve">), corresponding to 55MW compression power, 3.37 GWh &amp; 31 hours and 110MW discharge power. </w:t>
      </w:r>
      <w:r>
        <w:rPr>
          <w:rFonts w:ascii="Times New Roman" w:hAnsi="Times New Roman" w:cs="Times New Roman"/>
        </w:rPr>
        <w:t>F</w:t>
      </w:r>
      <w:r>
        <w:rPr>
          <w:rFonts w:ascii="Times New Roman" w:hAnsi="Times New Roman" w:cs="Times New Roman" w:hint="eastAsia"/>
        </w:rPr>
        <w:t xml:space="preserve">or </w:t>
      </w:r>
      <w:r w:rsidRPr="006E4999">
        <w:rPr>
          <w:rFonts w:ascii="Times New Roman" w:hAnsi="Times New Roman" w:cs="Times New Roman"/>
        </w:rPr>
        <w:t>Siemens SXT-800 CAES</w:t>
      </w:r>
      <w:r>
        <w:rPr>
          <w:rFonts w:ascii="Times New Roman" w:hAnsi="Times New Roman" w:cs="Times New Roman" w:hint="eastAsia"/>
        </w:rPr>
        <w:t xml:space="preserve">, </w:t>
      </w:r>
      <w:r w:rsidRPr="006E4999">
        <w:rPr>
          <w:rFonts w:ascii="Times New Roman" w:hAnsi="Times New Roman" w:cs="Times New Roman"/>
        </w:rPr>
        <w:t>135 MW</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8.2 MPa or 160 MW </w:t>
      </w:r>
      <w:r>
        <w:rPr>
          <w:rFonts w:ascii="Times New Roman" w:hAnsi="Times New Roman" w:cs="Times New Roman"/>
        </w:rPr>
        <w:t>–</w:t>
      </w:r>
      <w:r>
        <w:rPr>
          <w:rFonts w:ascii="Times New Roman" w:hAnsi="Times New Roman" w:cs="Times New Roman" w:hint="eastAsia"/>
        </w:rPr>
        <w:t xml:space="preserve"> 15 MPa, the </w:t>
      </w:r>
      <w:r w:rsidRPr="006E4999">
        <w:rPr>
          <w:rFonts w:ascii="Times New Roman" w:hAnsi="Times New Roman" w:cs="Times New Roman"/>
        </w:rPr>
        <w:t>ramp rate is 20 percent of rated power per minute</w:t>
      </w:r>
      <w:r>
        <w:rPr>
          <w:rFonts w:ascii="Times New Roman" w:hAnsi="Times New Roman" w:cs="Times New Roman" w:hint="eastAsia"/>
        </w:rPr>
        <w:t xml:space="preserve">. The </w:t>
      </w:r>
      <w:r w:rsidRPr="009323BB">
        <w:rPr>
          <w:rFonts w:ascii="Times New Roman" w:hAnsi="Times New Roman" w:cs="Times New Roman"/>
        </w:rPr>
        <w:t>compressed air storage: 0.10 EUR/kWh in porous rock, 1.01 EUR/kWh in solution-mined salt caverns, 9.71 EUR/kWh in dry-mined salt caverns, 9.71 EUR/kWh in abandoned mines, and 29.55 EUR/kWh in rock caverns from excavation</w:t>
      </w:r>
      <w:r>
        <w:rPr>
          <w:rFonts w:ascii="Times New Roman" w:hAnsi="Times New Roman" w:cs="Times New Roman" w:hint="eastAsia"/>
        </w:rPr>
        <w:t>.</w:t>
      </w:r>
    </w:p>
    <w:p w14:paraId="778E2E85" w14:textId="7E292EA2" w:rsidR="0027552C" w:rsidRDefault="0027552C" w:rsidP="0027552C">
      <w:pPr>
        <w:rPr>
          <w:rFonts w:ascii="Times New Roman" w:hAnsi="Times New Roman" w:cs="Times New Roman"/>
        </w:rPr>
      </w:pPr>
      <w:r>
        <w:rPr>
          <w:rFonts w:ascii="Times New Roman" w:hAnsi="Times New Roman" w:cs="Times New Roman" w:hint="eastAsia"/>
        </w:rPr>
        <w:t xml:space="preserve">12. </w:t>
      </w:r>
      <w:r w:rsidRPr="009323BB">
        <w:rPr>
          <w:rFonts w:ascii="Times New Roman" w:hAnsi="Times New Roman" w:cs="Times New Roman"/>
        </w:rPr>
        <w:t>The hydrogen produced via electrolysis can then be transported and stored for subsequent electricity production using a hydrogen turbine or fuel cell or used as a transportation fuel</w:t>
      </w:r>
      <w:r>
        <w:rPr>
          <w:rFonts w:ascii="Times New Roman" w:hAnsi="Times New Roman" w:cs="Times New Roman" w:hint="eastAsia"/>
        </w:rPr>
        <w:t xml:space="preserve">. </w:t>
      </w:r>
      <w:r w:rsidRPr="009323BB">
        <w:rPr>
          <w:rFonts w:ascii="Times New Roman" w:hAnsi="Times New Roman" w:cs="Times New Roman"/>
        </w:rPr>
        <w:t>Hydrogen storage investment costs have been estimated as 0.002 EUR/kWh in porous rock, 0.02 EUR/kWh in solution-mined salt caverns, 0.14 EUR/kWh in dry-mined salt caverns, 0.14 EUR/kWh in abandoned mines, 0.25 EUR/kWh in geologic H2 storage, and 0.41 EUR/kWh in rock caverns from excavation</w:t>
      </w:r>
      <w:r>
        <w:rPr>
          <w:rFonts w:ascii="Times New Roman" w:hAnsi="Times New Roman" w:cs="Times New Roman"/>
        </w:rPr>
        <w:fldChar w:fldCharType="begin" w:fldLock="1"/>
      </w:r>
      <w:r w:rsidR="00404868">
        <w:rPr>
          <w:rFonts w:ascii="Times New Roman" w:hAnsi="Times New Roman" w:cs="Times New Roman"/>
        </w:rPr>
        <w:instrText>ADDIN CSL_CITATION {"citationItems":[{"id":"ITEM-1","itemData":{"DOI":"10.1016/j.apenergy.2018.02.110","ISSN":"03062619","abstract":"Previous studies have noted the importance of electricity storage and hydrogen technologies for enabling large-scale variable renewable energy (VRE) deployment in long-term climate change mitigation scenarios. However, global studies, which typically use integrated assessment models, assume a fixed cost trajectory for storage and hydrogen technologies; thereby ignoring the sensitivity of VRE deployment and/or mitigation costs to uncertainties in future storage and hydrogen technology costs. Yet there is vast uncertainty in the future costs of these technologies, as reflected in the range of projected costs in the literature. This study uses the integrated assessment model, MESSAGE, to explore the implications of future storage and hydrogen technology costs for low-carbon energy transitions across the reported range of projected technology costs. Techno-economic representations of electricity storage and hydrogen technologies, including utility-scale batteries, pumped hydro storage (PHS), compressed air energy storage (CAES), and hydrogen electrolysis, are introduced to MESSAGE and scenarios are used to assess the sensitivity of long-term VRE deployment and mitigation costs across the range of projected technology costs. The results demonstrate that large-scale deployment of electricity storage technologies only occurs when techno-economic assumptions are optimistic. Although pessimistic storage and hydrogen costs reduce the deployment of these technologies, large VRE shares are supported in carbon-constrained futures by the deployment of other low-carbon flexible technologies, such as hydrogen combustion turbines and concentrating solar power with thermal storage. However, the cost of the required energy transition is larger. In the absence of carbon policy, pessimistic hydrogen and storage costs significantly decrease VRE deployment while increasing coal-based electricity generation. Thus, R&amp;D investments that lower the costs of storage and hydrogen technologies are important for reducing emissions in the absence of climate policy and for reducing mitigation costs in the presence of climate policy.","author":[{"dropping-particle":"","family":"McPherson","given":"Madeleine","non-dropping-particle":"","parse-names":false,"suffix":""},{"dropping-particle":"","family":"Johnson","given":"Nils","non-dropping-particle":"","parse-names":false,"suffix":""},{"dropping-particle":"","family":"Strubegger","given":"Manfred","non-dropping-particle":"","parse-names":false,"suffix":""}],"container-title":"Applied Energy","id":"ITEM-1","issue":"December 2017","issued":{"date-parts":[["2018"]]},"page":"649-661","publisher":"Elsevier","title":"The role of electricity storage and hydrogen technologies in enabling global low-carbon energy transitions","type":"article-journal","volume":"216"},"uris":["http://www.mendeley.com/documents/?uuid=b8fe3b58-f33d-4173-8eb1-92ab71573ba8"]}],"mendeley":{"formattedCitation":"&lt;sup&gt;12&lt;/sup&gt;","plainTextFormattedCitation":"12","previouslyFormattedCitation":"&lt;sup&gt;12&lt;/sup&gt;"},"properties":{"noteIndex":0},"schema":"https://github.com/citation-style-language/schema/raw/master/csl-citation.json"}</w:instrText>
      </w:r>
      <w:r>
        <w:rPr>
          <w:rFonts w:ascii="Times New Roman" w:hAnsi="Times New Roman" w:cs="Times New Roman"/>
        </w:rPr>
        <w:fldChar w:fldCharType="separate"/>
      </w:r>
      <w:r w:rsidR="00226444" w:rsidRPr="00226444">
        <w:rPr>
          <w:rFonts w:ascii="Times New Roman" w:hAnsi="Times New Roman" w:cs="Times New Roman"/>
          <w:noProof/>
          <w:vertAlign w:val="superscript"/>
        </w:rPr>
        <w:t>12</w:t>
      </w:r>
      <w:r>
        <w:rPr>
          <w:rFonts w:ascii="Times New Roman" w:hAnsi="Times New Roman" w:cs="Times New Roman"/>
        </w:rPr>
        <w:fldChar w:fldCharType="end"/>
      </w:r>
      <w:r>
        <w:rPr>
          <w:rFonts w:ascii="Times New Roman" w:hAnsi="Times New Roman" w:cs="Times New Roman" w:hint="eastAsia"/>
        </w:rPr>
        <w:t>(2018)</w:t>
      </w:r>
      <w:r w:rsidRPr="009323BB">
        <w:rPr>
          <w:rFonts w:ascii="Times New Roman" w:hAnsi="Times New Roman" w:cs="Times New Roman"/>
        </w:rPr>
        <w:t>.</w:t>
      </w:r>
      <w:r>
        <w:rPr>
          <w:rFonts w:ascii="Times New Roman" w:hAnsi="Times New Roman" w:cs="Times New Roman" w:hint="eastAsia"/>
        </w:rPr>
        <w:t xml:space="preserve"> </w:t>
      </w:r>
    </w:p>
    <w:p w14:paraId="249BA14C" w14:textId="77777777" w:rsidR="0027552C" w:rsidRDefault="0027552C" w:rsidP="0027552C">
      <w:pPr>
        <w:rPr>
          <w:rFonts w:ascii="Times New Roman" w:hAnsi="Times New Roman" w:cs="Times New Roman"/>
        </w:rPr>
      </w:pPr>
      <w:r>
        <w:rPr>
          <w:rFonts w:ascii="Times New Roman" w:hAnsi="Times New Roman" w:cs="Times New Roman" w:hint="eastAsia"/>
        </w:rPr>
        <w:lastRenderedPageBreak/>
        <w:t xml:space="preserve">13. </w:t>
      </w:r>
      <w:r w:rsidRPr="008F4009">
        <w:rPr>
          <w:rFonts w:ascii="Times New Roman" w:hAnsi="Times New Roman" w:cs="Times New Roman"/>
        </w:rPr>
        <w:t>Alkaline electrolysis has costs of 1000 EUR/kW [71] to 1400 EUR/kW [55] today, with a potential future cost of 500 EUR/kW [71]. Solid oxide</w:t>
      </w:r>
      <w:r>
        <w:rPr>
          <w:rFonts w:ascii="Times New Roman" w:hAnsi="Times New Roman" w:cs="Times New Roman" w:hint="eastAsia"/>
        </w:rPr>
        <w:t xml:space="preserve"> </w:t>
      </w:r>
      <w:r w:rsidRPr="008F4009">
        <w:rPr>
          <w:rFonts w:ascii="Times New Roman" w:hAnsi="Times New Roman" w:cs="Times New Roman"/>
        </w:rPr>
        <w:t>electrolysis has a similar future cost potential of 590 EUR/kW by 2020 [55]. PEM electrolysers have a current cost of 2000 EUR/kW [71], with a near-term potential cost of 932 EUR/kW in 2025 [66] and 334 EUR/kW in 2050 [66].</w:t>
      </w:r>
      <w:r>
        <w:rPr>
          <w:rFonts w:ascii="Times New Roman" w:hAnsi="Times New Roman" w:cs="Times New Roman" w:hint="eastAsia"/>
        </w:rPr>
        <w:t xml:space="preserve"> </w:t>
      </w:r>
      <w:r w:rsidRPr="008F4009">
        <w:rPr>
          <w:rFonts w:ascii="Times New Roman" w:hAnsi="Times New Roman" w:cs="Times New Roman"/>
        </w:rPr>
        <w:t xml:space="preserve">Generic electrolysis costs are estimated at 1500 $/kW under </w:t>
      </w:r>
      <w:proofErr w:type="gramStart"/>
      <w:r w:rsidRPr="008F4009">
        <w:rPr>
          <w:rFonts w:ascii="Times New Roman" w:hAnsi="Times New Roman" w:cs="Times New Roman"/>
        </w:rPr>
        <w:t>business as usual</w:t>
      </w:r>
      <w:proofErr w:type="gramEnd"/>
      <w:r w:rsidRPr="008F4009">
        <w:rPr>
          <w:rFonts w:ascii="Times New Roman" w:hAnsi="Times New Roman" w:cs="Times New Roman"/>
        </w:rPr>
        <w:t xml:space="preserve"> assumptions [72] and 740 $/kW under optimistic assumptions [72].</w:t>
      </w:r>
    </w:p>
    <w:p w14:paraId="21465AEB" w14:textId="77777777" w:rsidR="0027552C" w:rsidRDefault="0027552C" w:rsidP="0027552C">
      <w:pPr>
        <w:rPr>
          <w:rFonts w:ascii="Times New Roman" w:hAnsi="Times New Roman" w:cs="Times New Roman"/>
        </w:rPr>
      </w:pPr>
    </w:p>
    <w:p w14:paraId="2AB1CA2A" w14:textId="77777777" w:rsidR="00D96525" w:rsidRDefault="00D96525" w:rsidP="0027552C">
      <w:pPr>
        <w:rPr>
          <w:rFonts w:ascii="Times New Roman" w:hAnsi="Times New Roman" w:cs="Times New Roman"/>
        </w:rPr>
      </w:pPr>
    </w:p>
    <w:p w14:paraId="32B46966" w14:textId="5BE26304" w:rsidR="0027552C" w:rsidRPr="004F051F" w:rsidRDefault="0027552C" w:rsidP="0027552C">
      <w:pPr>
        <w:rPr>
          <w:rFonts w:ascii="Times New Roman" w:hAnsi="Times New Roman" w:cs="Times New Roman"/>
          <w:b/>
          <w:bCs/>
          <w:lang w:val="en-US"/>
        </w:rPr>
      </w:pPr>
      <w:r w:rsidRPr="004F051F">
        <w:rPr>
          <w:rFonts w:ascii="Times New Roman" w:hAnsi="Times New Roman" w:cs="Times New Roman"/>
          <w:b/>
          <w:bCs/>
          <w:lang w:val="en-US"/>
        </w:rPr>
        <w:t xml:space="preserve">Table </w:t>
      </w:r>
      <w:r w:rsidR="00D0363A">
        <w:rPr>
          <w:rFonts w:ascii="Times New Roman" w:hAnsi="Times New Roman" w:cs="Times New Roman" w:hint="eastAsia"/>
          <w:b/>
          <w:bCs/>
          <w:lang w:val="en-US"/>
        </w:rPr>
        <w:t>5</w:t>
      </w:r>
      <w:r w:rsidRPr="004F051F">
        <w:rPr>
          <w:rFonts w:ascii="Times New Roman" w:hAnsi="Times New Roman" w:cs="Times New Roman"/>
          <w:b/>
          <w:bCs/>
          <w:lang w:val="en-US"/>
        </w:rPr>
        <w:t>. Electricity market services</w:t>
      </w:r>
    </w:p>
    <w:tbl>
      <w:tblPr>
        <w:tblW w:w="5000" w:type="pct"/>
        <w:tblLook w:val="04A0" w:firstRow="1" w:lastRow="0" w:firstColumn="1" w:lastColumn="0" w:noHBand="0" w:noVBand="1"/>
      </w:tblPr>
      <w:tblGrid>
        <w:gridCol w:w="1408"/>
        <w:gridCol w:w="2840"/>
        <w:gridCol w:w="834"/>
        <w:gridCol w:w="868"/>
        <w:gridCol w:w="865"/>
        <w:gridCol w:w="951"/>
        <w:gridCol w:w="951"/>
        <w:gridCol w:w="826"/>
        <w:gridCol w:w="834"/>
        <w:gridCol w:w="834"/>
        <w:gridCol w:w="801"/>
        <w:gridCol w:w="962"/>
        <w:gridCol w:w="974"/>
      </w:tblGrid>
      <w:tr w:rsidR="0027552C" w:rsidRPr="004F051F" w14:paraId="7EFD584F" w14:textId="77777777" w:rsidTr="00433A36">
        <w:trPr>
          <w:trHeight w:val="300"/>
        </w:trPr>
        <w:tc>
          <w:tcPr>
            <w:tcW w:w="505" w:type="pct"/>
            <w:tcBorders>
              <w:top w:val="single" w:sz="4" w:space="0" w:color="auto"/>
              <w:left w:val="single" w:sz="4" w:space="0" w:color="auto"/>
              <w:bottom w:val="single" w:sz="4" w:space="0" w:color="auto"/>
              <w:right w:val="single" w:sz="4" w:space="0" w:color="auto"/>
            </w:tcBorders>
            <w:vAlign w:val="center"/>
            <w:hideMark/>
          </w:tcPr>
          <w:p w14:paraId="4E3C3443"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Function</w:t>
            </w:r>
          </w:p>
        </w:tc>
        <w:tc>
          <w:tcPr>
            <w:tcW w:w="1018" w:type="pct"/>
            <w:tcBorders>
              <w:top w:val="single" w:sz="4" w:space="0" w:color="auto"/>
              <w:left w:val="nil"/>
              <w:bottom w:val="single" w:sz="4" w:space="0" w:color="auto"/>
              <w:right w:val="single" w:sz="4" w:space="0" w:color="auto"/>
            </w:tcBorders>
            <w:vAlign w:val="center"/>
            <w:hideMark/>
          </w:tcPr>
          <w:p w14:paraId="76ADCFBE"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Description</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0507B153"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PHS</w:t>
            </w:r>
          </w:p>
        </w:tc>
        <w:tc>
          <w:tcPr>
            <w:tcW w:w="311" w:type="pct"/>
            <w:tcBorders>
              <w:top w:val="single" w:sz="4" w:space="0" w:color="auto"/>
              <w:left w:val="nil"/>
              <w:bottom w:val="single" w:sz="4" w:space="0" w:color="auto"/>
              <w:right w:val="single" w:sz="4" w:space="0" w:color="auto"/>
            </w:tcBorders>
            <w:noWrap/>
            <w:vAlign w:val="center"/>
            <w:hideMark/>
          </w:tcPr>
          <w:p w14:paraId="132A7607"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LAES</w:t>
            </w:r>
          </w:p>
        </w:tc>
        <w:tc>
          <w:tcPr>
            <w:tcW w:w="310" w:type="pct"/>
            <w:tcBorders>
              <w:top w:val="single" w:sz="4" w:space="0" w:color="auto"/>
              <w:left w:val="nil"/>
              <w:bottom w:val="single" w:sz="4" w:space="0" w:color="auto"/>
              <w:right w:val="single" w:sz="4" w:space="0" w:color="auto"/>
            </w:tcBorders>
            <w:noWrap/>
            <w:vAlign w:val="center"/>
            <w:hideMark/>
          </w:tcPr>
          <w:p w14:paraId="5EFE98D9"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CAES</w:t>
            </w:r>
          </w:p>
        </w:tc>
        <w:tc>
          <w:tcPr>
            <w:tcW w:w="341" w:type="pct"/>
            <w:tcBorders>
              <w:top w:val="single" w:sz="4" w:space="0" w:color="auto"/>
              <w:left w:val="nil"/>
              <w:bottom w:val="single" w:sz="4" w:space="0" w:color="auto"/>
              <w:right w:val="single" w:sz="4" w:space="0" w:color="auto"/>
            </w:tcBorders>
            <w:noWrap/>
            <w:vAlign w:val="center"/>
            <w:hideMark/>
          </w:tcPr>
          <w:p w14:paraId="683AA069"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PTES-B</w:t>
            </w:r>
          </w:p>
        </w:tc>
        <w:tc>
          <w:tcPr>
            <w:tcW w:w="341" w:type="pct"/>
            <w:tcBorders>
              <w:top w:val="single" w:sz="4" w:space="0" w:color="auto"/>
              <w:left w:val="nil"/>
              <w:bottom w:val="single" w:sz="4" w:space="0" w:color="auto"/>
              <w:right w:val="single" w:sz="4" w:space="0" w:color="auto"/>
            </w:tcBorders>
            <w:noWrap/>
            <w:vAlign w:val="center"/>
            <w:hideMark/>
          </w:tcPr>
          <w:p w14:paraId="2C28C55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PTES-R</w:t>
            </w:r>
          </w:p>
        </w:tc>
        <w:tc>
          <w:tcPr>
            <w:tcW w:w="296" w:type="pct"/>
            <w:tcBorders>
              <w:top w:val="single" w:sz="4" w:space="0" w:color="auto"/>
              <w:left w:val="nil"/>
              <w:bottom w:val="single" w:sz="4" w:space="0" w:color="auto"/>
              <w:right w:val="single" w:sz="4" w:space="0" w:color="auto"/>
            </w:tcBorders>
            <w:noWrap/>
            <w:vAlign w:val="center"/>
            <w:hideMark/>
          </w:tcPr>
          <w:p w14:paraId="33279BB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LCES</w:t>
            </w:r>
          </w:p>
        </w:tc>
        <w:tc>
          <w:tcPr>
            <w:tcW w:w="299" w:type="pct"/>
            <w:tcBorders>
              <w:top w:val="single" w:sz="4" w:space="0" w:color="auto"/>
              <w:left w:val="nil"/>
              <w:bottom w:val="single" w:sz="4" w:space="0" w:color="auto"/>
              <w:right w:val="single" w:sz="4" w:space="0" w:color="auto"/>
            </w:tcBorders>
            <w:noWrap/>
            <w:vAlign w:val="center"/>
            <w:hideMark/>
          </w:tcPr>
          <w:p w14:paraId="118D4753" w14:textId="77777777" w:rsidR="0027552C" w:rsidRPr="004F051F" w:rsidRDefault="0027552C" w:rsidP="00433A36">
            <w:pPr>
              <w:spacing w:after="0" w:line="240" w:lineRule="auto"/>
              <w:jc w:val="center"/>
              <w:rPr>
                <w:rFonts w:ascii="Times New Roman" w:hAnsi="Times New Roman" w:cs="Times New Roman"/>
                <w:color w:val="000000"/>
              </w:rPr>
            </w:pPr>
            <w:r w:rsidRPr="004F051F">
              <w:rPr>
                <w:rFonts w:ascii="Times New Roman" w:eastAsia="Times New Roman" w:hAnsi="Times New Roman" w:cs="Times New Roman"/>
                <w:color w:val="000000"/>
              </w:rPr>
              <w:t>H2</w:t>
            </w:r>
            <w:r>
              <w:rPr>
                <w:rFonts w:ascii="Times New Roman" w:eastAsia="Times New Roman" w:hAnsi="Times New Roman" w:cs="Times New Roman"/>
                <w:color w:val="000000"/>
              </w:rPr>
              <w:t>E</w:t>
            </w:r>
            <w:r w:rsidRPr="004F051F">
              <w:rPr>
                <w:rFonts w:ascii="Times New Roman" w:hAnsi="Times New Roman" w:cs="Times New Roman"/>
                <w:color w:val="000000"/>
              </w:rPr>
              <w:t>S</w:t>
            </w:r>
          </w:p>
        </w:tc>
        <w:tc>
          <w:tcPr>
            <w:tcW w:w="299" w:type="pct"/>
            <w:tcBorders>
              <w:top w:val="single" w:sz="4" w:space="0" w:color="auto"/>
              <w:left w:val="nil"/>
              <w:bottom w:val="single" w:sz="4" w:space="0" w:color="auto"/>
              <w:right w:val="single" w:sz="4" w:space="0" w:color="auto"/>
            </w:tcBorders>
            <w:noWrap/>
            <w:vAlign w:val="center"/>
            <w:hideMark/>
          </w:tcPr>
          <w:p w14:paraId="73F5E31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VRFB</w:t>
            </w:r>
          </w:p>
        </w:tc>
        <w:tc>
          <w:tcPr>
            <w:tcW w:w="287" w:type="pct"/>
            <w:tcBorders>
              <w:top w:val="single" w:sz="4" w:space="0" w:color="auto"/>
              <w:left w:val="nil"/>
              <w:bottom w:val="single" w:sz="4" w:space="0" w:color="auto"/>
              <w:right w:val="single" w:sz="4" w:space="0" w:color="auto"/>
            </w:tcBorders>
            <w:noWrap/>
            <w:vAlign w:val="center"/>
            <w:hideMark/>
          </w:tcPr>
          <w:p w14:paraId="3B15BC14"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S</w:t>
            </w:r>
            <w:r>
              <w:rPr>
                <w:rFonts w:ascii="Times New Roman" w:eastAsia="Times New Roman" w:hAnsi="Times New Roman" w:cs="Times New Roman"/>
                <w:color w:val="000000"/>
              </w:rPr>
              <w:t>E</w:t>
            </w:r>
            <w:r w:rsidRPr="004F051F">
              <w:rPr>
                <w:rFonts w:ascii="Times New Roman" w:eastAsia="Times New Roman" w:hAnsi="Times New Roman" w:cs="Times New Roman"/>
                <w:color w:val="000000"/>
              </w:rPr>
              <w:t>S</w:t>
            </w:r>
          </w:p>
        </w:tc>
        <w:tc>
          <w:tcPr>
            <w:tcW w:w="345" w:type="pct"/>
            <w:tcBorders>
              <w:top w:val="single" w:sz="4" w:space="0" w:color="auto"/>
              <w:left w:val="nil"/>
              <w:bottom w:val="single" w:sz="4" w:space="0" w:color="auto"/>
              <w:right w:val="single" w:sz="4" w:space="0" w:color="auto"/>
            </w:tcBorders>
            <w:noWrap/>
            <w:vAlign w:val="center"/>
            <w:hideMark/>
          </w:tcPr>
          <w:p w14:paraId="4BDD131F"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hAnsi="Times New Roman" w:cs="Times New Roman"/>
                <w:color w:val="000000"/>
              </w:rPr>
              <w:t>PCM</w:t>
            </w:r>
            <w:r>
              <w:rPr>
                <w:rFonts w:ascii="Times New Roman" w:hAnsi="Times New Roman" w:cs="Times New Roman"/>
                <w:color w:val="000000"/>
              </w:rPr>
              <w:t>E</w:t>
            </w:r>
            <w:r w:rsidRPr="004F051F">
              <w:rPr>
                <w:rFonts w:ascii="Times New Roman" w:eastAsia="Times New Roman" w:hAnsi="Times New Roman" w:cs="Times New Roman"/>
                <w:color w:val="000000"/>
              </w:rPr>
              <w:t>S</w:t>
            </w:r>
          </w:p>
        </w:tc>
        <w:tc>
          <w:tcPr>
            <w:tcW w:w="349" w:type="pct"/>
            <w:tcBorders>
              <w:top w:val="single" w:sz="4" w:space="0" w:color="auto"/>
              <w:left w:val="nil"/>
              <w:bottom w:val="single" w:sz="4" w:space="0" w:color="auto"/>
              <w:right w:val="single" w:sz="4" w:space="0" w:color="auto"/>
            </w:tcBorders>
            <w:noWrap/>
            <w:vAlign w:val="center"/>
            <w:hideMark/>
          </w:tcPr>
          <w:p w14:paraId="7B336D84" w14:textId="77777777" w:rsidR="0027552C" w:rsidRPr="004F051F" w:rsidRDefault="0027552C" w:rsidP="00433A36">
            <w:pPr>
              <w:spacing w:after="0" w:line="240" w:lineRule="auto"/>
              <w:jc w:val="center"/>
              <w:rPr>
                <w:rFonts w:ascii="Times New Roman" w:hAnsi="Times New Roman" w:cs="Times New Roman"/>
                <w:color w:val="000000"/>
              </w:rPr>
            </w:pPr>
            <w:r w:rsidRPr="004F051F">
              <w:rPr>
                <w:rFonts w:ascii="Times New Roman" w:eastAsia="Times New Roman" w:hAnsi="Times New Roman" w:cs="Times New Roman"/>
                <w:color w:val="000000"/>
              </w:rPr>
              <w:t>TCM</w:t>
            </w:r>
            <w:r>
              <w:rPr>
                <w:rFonts w:ascii="Times New Roman" w:eastAsia="Times New Roman" w:hAnsi="Times New Roman" w:cs="Times New Roman"/>
                <w:color w:val="000000"/>
              </w:rPr>
              <w:t>E</w:t>
            </w:r>
            <w:r w:rsidRPr="004F051F">
              <w:rPr>
                <w:rFonts w:ascii="Times New Roman" w:hAnsi="Times New Roman" w:cs="Times New Roman"/>
                <w:color w:val="000000"/>
              </w:rPr>
              <w:t>S</w:t>
            </w:r>
          </w:p>
        </w:tc>
      </w:tr>
      <w:tr w:rsidR="0027552C" w:rsidRPr="004F051F" w14:paraId="44B1F254" w14:textId="77777777" w:rsidTr="00433A36">
        <w:trPr>
          <w:trHeight w:val="1005"/>
        </w:trPr>
        <w:tc>
          <w:tcPr>
            <w:tcW w:w="505" w:type="pct"/>
            <w:tcBorders>
              <w:top w:val="nil"/>
              <w:left w:val="single" w:sz="4" w:space="0" w:color="auto"/>
              <w:bottom w:val="single" w:sz="4" w:space="0" w:color="auto"/>
              <w:right w:val="single" w:sz="4" w:space="0" w:color="auto"/>
            </w:tcBorders>
            <w:vAlign w:val="center"/>
            <w:hideMark/>
          </w:tcPr>
          <w:p w14:paraId="5831DC8A"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Electricity</w:t>
            </w:r>
            <w:r w:rsidRPr="004F051F">
              <w:rPr>
                <w:rFonts w:ascii="Times New Roman" w:eastAsia="Times New Roman" w:hAnsi="Times New Roman" w:cs="Times New Roman"/>
                <w:color w:val="000000"/>
              </w:rPr>
              <w:t xml:space="preserve"> arbitrage</w:t>
            </w:r>
          </w:p>
        </w:tc>
        <w:tc>
          <w:tcPr>
            <w:tcW w:w="1018" w:type="pct"/>
            <w:tcBorders>
              <w:top w:val="nil"/>
              <w:left w:val="nil"/>
              <w:bottom w:val="single" w:sz="4" w:space="0" w:color="auto"/>
              <w:right w:val="single" w:sz="4" w:space="0" w:color="auto"/>
            </w:tcBorders>
            <w:vAlign w:val="center"/>
            <w:hideMark/>
          </w:tcPr>
          <w:p w14:paraId="0BE66E22"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Buying energy at a low price and selling at a high price on the wholesale or retail market</w:t>
            </w:r>
          </w:p>
        </w:tc>
        <w:tc>
          <w:tcPr>
            <w:tcW w:w="299" w:type="pct"/>
            <w:tcBorders>
              <w:top w:val="nil"/>
              <w:left w:val="single" w:sz="4" w:space="0" w:color="auto"/>
              <w:bottom w:val="single" w:sz="4" w:space="0" w:color="auto"/>
              <w:right w:val="single" w:sz="4" w:space="0" w:color="auto"/>
            </w:tcBorders>
            <w:noWrap/>
            <w:vAlign w:val="center"/>
            <w:hideMark/>
          </w:tcPr>
          <w:p w14:paraId="221BB338" w14:textId="77777777" w:rsidR="0027552C" w:rsidRPr="00F8706F" w:rsidRDefault="0027552C" w:rsidP="00433A36">
            <w:pPr>
              <w:spacing w:after="0" w:line="240" w:lineRule="auto"/>
              <w:jc w:val="center"/>
              <w:rPr>
                <w:rFonts w:ascii="Times New Roman" w:eastAsia="Times New Roman" w:hAnsi="Times New Roman" w:cs="Times New Roman"/>
                <w:color w:val="000000"/>
                <w:sz w:val="26"/>
                <w:szCs w:val="26"/>
              </w:rPr>
            </w:pPr>
            <w:r w:rsidRPr="00F8706F">
              <w:rPr>
                <w:rFonts w:ascii="Aptos Narrow" w:eastAsia="Times New Roman" w:hAnsi="Aptos Narrow" w:cs="Times New Roman"/>
                <w:color w:val="000000"/>
                <w:sz w:val="26"/>
                <w:szCs w:val="26"/>
              </w:rPr>
              <w:t>✓</w:t>
            </w:r>
          </w:p>
        </w:tc>
        <w:tc>
          <w:tcPr>
            <w:tcW w:w="311" w:type="pct"/>
            <w:tcBorders>
              <w:top w:val="nil"/>
              <w:left w:val="nil"/>
              <w:bottom w:val="single" w:sz="4" w:space="0" w:color="auto"/>
              <w:right w:val="single" w:sz="4" w:space="0" w:color="auto"/>
            </w:tcBorders>
            <w:noWrap/>
            <w:vAlign w:val="center"/>
            <w:hideMark/>
          </w:tcPr>
          <w:p w14:paraId="1BB72CE9" w14:textId="77777777" w:rsidR="0027552C" w:rsidRPr="00F8706F" w:rsidRDefault="0027552C" w:rsidP="00433A36">
            <w:pPr>
              <w:spacing w:after="0" w:line="240" w:lineRule="auto"/>
              <w:jc w:val="center"/>
              <w:rPr>
                <w:rFonts w:ascii="Times New Roman" w:eastAsia="Times New Roman" w:hAnsi="Times New Roman" w:cs="Times New Roman"/>
                <w:color w:val="000000"/>
                <w:sz w:val="26"/>
                <w:szCs w:val="26"/>
              </w:rPr>
            </w:pPr>
            <w:r w:rsidRPr="00F8706F">
              <w:rPr>
                <w:rFonts w:ascii="Aptos Narrow" w:eastAsia="Times New Roman" w:hAnsi="Aptos Narrow" w:cs="Times New Roman"/>
                <w:color w:val="000000"/>
                <w:sz w:val="26"/>
                <w:szCs w:val="26"/>
              </w:rPr>
              <w:t>✓</w:t>
            </w:r>
          </w:p>
        </w:tc>
        <w:tc>
          <w:tcPr>
            <w:tcW w:w="310" w:type="pct"/>
            <w:tcBorders>
              <w:top w:val="nil"/>
              <w:left w:val="nil"/>
              <w:bottom w:val="single" w:sz="4" w:space="0" w:color="auto"/>
              <w:right w:val="single" w:sz="4" w:space="0" w:color="auto"/>
            </w:tcBorders>
            <w:noWrap/>
            <w:vAlign w:val="center"/>
            <w:hideMark/>
          </w:tcPr>
          <w:p w14:paraId="5D4297A5" w14:textId="77777777" w:rsidR="0027552C" w:rsidRPr="00F8706F" w:rsidRDefault="0027552C" w:rsidP="00433A36">
            <w:pPr>
              <w:spacing w:after="0" w:line="240" w:lineRule="auto"/>
              <w:jc w:val="center"/>
              <w:rPr>
                <w:rFonts w:ascii="Times New Roman" w:eastAsia="Times New Roman" w:hAnsi="Times New Roman" w:cs="Times New Roman"/>
                <w:color w:val="000000"/>
                <w:sz w:val="26"/>
                <w:szCs w:val="26"/>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5EC08D33" w14:textId="77777777" w:rsidR="0027552C" w:rsidRPr="00F8706F" w:rsidRDefault="0027552C" w:rsidP="00433A36">
            <w:pPr>
              <w:spacing w:after="0" w:line="240" w:lineRule="auto"/>
              <w:jc w:val="center"/>
              <w:rPr>
                <w:rFonts w:ascii="Times New Roman" w:eastAsia="Times New Roman" w:hAnsi="Times New Roman" w:cs="Times New Roman"/>
                <w:color w:val="000000"/>
                <w:sz w:val="26"/>
                <w:szCs w:val="26"/>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1BF5CBD3" w14:textId="77777777" w:rsidR="0027552C" w:rsidRPr="00F8706F" w:rsidRDefault="0027552C" w:rsidP="00433A36">
            <w:pPr>
              <w:spacing w:after="0" w:line="240" w:lineRule="auto"/>
              <w:jc w:val="center"/>
              <w:rPr>
                <w:rFonts w:ascii="Times New Roman" w:eastAsia="Times New Roman" w:hAnsi="Times New Roman" w:cs="Times New Roman"/>
                <w:color w:val="000000"/>
                <w:sz w:val="26"/>
                <w:szCs w:val="26"/>
              </w:rPr>
            </w:pPr>
            <w:r w:rsidRPr="00F8706F">
              <w:rPr>
                <w:rFonts w:ascii="Aptos Narrow" w:eastAsia="Times New Roman" w:hAnsi="Aptos Narrow" w:cs="Times New Roman"/>
                <w:color w:val="000000"/>
                <w:sz w:val="26"/>
                <w:szCs w:val="26"/>
              </w:rPr>
              <w:t>✓</w:t>
            </w:r>
          </w:p>
        </w:tc>
        <w:tc>
          <w:tcPr>
            <w:tcW w:w="296" w:type="pct"/>
            <w:tcBorders>
              <w:top w:val="nil"/>
              <w:left w:val="nil"/>
              <w:bottom w:val="single" w:sz="4" w:space="0" w:color="auto"/>
              <w:right w:val="single" w:sz="4" w:space="0" w:color="auto"/>
            </w:tcBorders>
            <w:noWrap/>
            <w:vAlign w:val="center"/>
            <w:hideMark/>
          </w:tcPr>
          <w:p w14:paraId="3F991F84" w14:textId="77777777" w:rsidR="0027552C" w:rsidRPr="00F8706F" w:rsidRDefault="0027552C" w:rsidP="00433A36">
            <w:pPr>
              <w:spacing w:after="0" w:line="240" w:lineRule="auto"/>
              <w:jc w:val="center"/>
              <w:rPr>
                <w:rFonts w:ascii="Times New Roman" w:eastAsia="Times New Roman" w:hAnsi="Times New Roman" w:cs="Times New Roman"/>
                <w:color w:val="000000"/>
                <w:sz w:val="26"/>
                <w:szCs w:val="26"/>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705AD7D4" w14:textId="77777777" w:rsidR="0027552C" w:rsidRPr="00F8706F" w:rsidRDefault="0027552C" w:rsidP="00433A36">
            <w:pPr>
              <w:spacing w:after="0" w:line="240" w:lineRule="auto"/>
              <w:jc w:val="center"/>
              <w:rPr>
                <w:rFonts w:ascii="Times New Roman" w:eastAsia="Times New Roman" w:hAnsi="Times New Roman" w:cs="Times New Roman"/>
                <w:color w:val="000000"/>
                <w:sz w:val="26"/>
                <w:szCs w:val="26"/>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6816C7CA" w14:textId="77777777" w:rsidR="0027552C" w:rsidRPr="00F8706F" w:rsidRDefault="0027552C" w:rsidP="00433A36">
            <w:pPr>
              <w:spacing w:after="0" w:line="240" w:lineRule="auto"/>
              <w:jc w:val="center"/>
              <w:rPr>
                <w:rFonts w:ascii="Times New Roman" w:eastAsia="Times New Roman" w:hAnsi="Times New Roman" w:cs="Times New Roman"/>
                <w:color w:val="000000"/>
                <w:sz w:val="26"/>
                <w:szCs w:val="26"/>
              </w:rPr>
            </w:pPr>
            <w:r w:rsidRPr="00F8706F">
              <w:rPr>
                <w:rFonts w:ascii="Aptos Narrow" w:eastAsia="Times New Roman" w:hAnsi="Aptos Narrow" w:cs="Times New Roman"/>
                <w:color w:val="000000"/>
                <w:sz w:val="26"/>
                <w:szCs w:val="26"/>
              </w:rPr>
              <w:t>✓</w:t>
            </w:r>
          </w:p>
        </w:tc>
        <w:tc>
          <w:tcPr>
            <w:tcW w:w="287" w:type="pct"/>
            <w:tcBorders>
              <w:top w:val="nil"/>
              <w:left w:val="nil"/>
              <w:bottom w:val="single" w:sz="4" w:space="0" w:color="auto"/>
              <w:right w:val="single" w:sz="4" w:space="0" w:color="auto"/>
            </w:tcBorders>
            <w:noWrap/>
            <w:vAlign w:val="center"/>
            <w:hideMark/>
          </w:tcPr>
          <w:p w14:paraId="4CFB8040"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5" w:type="pct"/>
            <w:tcBorders>
              <w:top w:val="nil"/>
              <w:left w:val="nil"/>
              <w:bottom w:val="single" w:sz="4" w:space="0" w:color="auto"/>
              <w:right w:val="single" w:sz="4" w:space="0" w:color="auto"/>
            </w:tcBorders>
            <w:noWrap/>
            <w:vAlign w:val="center"/>
            <w:hideMark/>
          </w:tcPr>
          <w:p w14:paraId="6773F85B"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9" w:type="pct"/>
            <w:tcBorders>
              <w:top w:val="nil"/>
              <w:left w:val="nil"/>
              <w:bottom w:val="single" w:sz="4" w:space="0" w:color="auto"/>
              <w:right w:val="single" w:sz="4" w:space="0" w:color="auto"/>
            </w:tcBorders>
            <w:noWrap/>
            <w:vAlign w:val="center"/>
            <w:hideMark/>
          </w:tcPr>
          <w:p w14:paraId="670BA47B"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r>
      <w:tr w:rsidR="0027552C" w:rsidRPr="004F051F" w14:paraId="4A565CF5" w14:textId="77777777" w:rsidTr="00433A36">
        <w:trPr>
          <w:trHeight w:val="900"/>
        </w:trPr>
        <w:tc>
          <w:tcPr>
            <w:tcW w:w="505" w:type="pct"/>
            <w:tcBorders>
              <w:top w:val="nil"/>
              <w:left w:val="single" w:sz="4" w:space="0" w:color="auto"/>
              <w:bottom w:val="single" w:sz="4" w:space="0" w:color="auto"/>
              <w:right w:val="single" w:sz="4" w:space="0" w:color="auto"/>
            </w:tcBorders>
            <w:vAlign w:val="center"/>
            <w:hideMark/>
          </w:tcPr>
          <w:p w14:paraId="79AA4CB7"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Primary response</w:t>
            </w:r>
          </w:p>
        </w:tc>
        <w:tc>
          <w:tcPr>
            <w:tcW w:w="1018" w:type="pct"/>
            <w:tcBorders>
              <w:top w:val="nil"/>
              <w:left w:val="nil"/>
              <w:bottom w:val="single" w:sz="4" w:space="0" w:color="auto"/>
              <w:right w:val="single" w:sz="4" w:space="0" w:color="auto"/>
            </w:tcBorders>
            <w:vAlign w:val="center"/>
            <w:hideMark/>
          </w:tcPr>
          <w:p w14:paraId="154DFE45"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Ensuring network stability with sudden changes in frequency and voltage</w:t>
            </w:r>
          </w:p>
        </w:tc>
        <w:tc>
          <w:tcPr>
            <w:tcW w:w="299" w:type="pct"/>
            <w:tcBorders>
              <w:top w:val="nil"/>
              <w:left w:val="single" w:sz="4" w:space="0" w:color="auto"/>
              <w:bottom w:val="single" w:sz="4" w:space="0" w:color="auto"/>
              <w:right w:val="single" w:sz="4" w:space="0" w:color="auto"/>
            </w:tcBorders>
            <w:noWrap/>
            <w:vAlign w:val="center"/>
            <w:hideMark/>
          </w:tcPr>
          <w:p w14:paraId="6C20653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11" w:type="pct"/>
            <w:tcBorders>
              <w:top w:val="nil"/>
              <w:left w:val="nil"/>
              <w:bottom w:val="single" w:sz="4" w:space="0" w:color="auto"/>
              <w:right w:val="single" w:sz="4" w:space="0" w:color="auto"/>
            </w:tcBorders>
            <w:noWrap/>
            <w:vAlign w:val="center"/>
            <w:hideMark/>
          </w:tcPr>
          <w:p w14:paraId="31D8127A"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10" w:type="pct"/>
            <w:tcBorders>
              <w:top w:val="nil"/>
              <w:left w:val="nil"/>
              <w:bottom w:val="single" w:sz="4" w:space="0" w:color="auto"/>
              <w:right w:val="single" w:sz="4" w:space="0" w:color="auto"/>
            </w:tcBorders>
            <w:noWrap/>
            <w:vAlign w:val="center"/>
            <w:hideMark/>
          </w:tcPr>
          <w:p w14:paraId="494992FC"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1" w:type="pct"/>
            <w:tcBorders>
              <w:top w:val="nil"/>
              <w:left w:val="nil"/>
              <w:bottom w:val="single" w:sz="4" w:space="0" w:color="auto"/>
              <w:right w:val="single" w:sz="4" w:space="0" w:color="auto"/>
            </w:tcBorders>
            <w:noWrap/>
            <w:vAlign w:val="center"/>
            <w:hideMark/>
          </w:tcPr>
          <w:p w14:paraId="26989E0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1" w:type="pct"/>
            <w:tcBorders>
              <w:top w:val="nil"/>
              <w:left w:val="nil"/>
              <w:bottom w:val="single" w:sz="4" w:space="0" w:color="auto"/>
              <w:right w:val="single" w:sz="4" w:space="0" w:color="auto"/>
            </w:tcBorders>
            <w:noWrap/>
            <w:vAlign w:val="center"/>
            <w:hideMark/>
          </w:tcPr>
          <w:p w14:paraId="47F302CD"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96" w:type="pct"/>
            <w:tcBorders>
              <w:top w:val="nil"/>
              <w:left w:val="nil"/>
              <w:bottom w:val="single" w:sz="4" w:space="0" w:color="auto"/>
              <w:right w:val="single" w:sz="4" w:space="0" w:color="auto"/>
            </w:tcBorders>
            <w:noWrap/>
            <w:vAlign w:val="center"/>
            <w:hideMark/>
          </w:tcPr>
          <w:p w14:paraId="50BF5C4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99" w:type="pct"/>
            <w:tcBorders>
              <w:top w:val="nil"/>
              <w:left w:val="nil"/>
              <w:bottom w:val="single" w:sz="4" w:space="0" w:color="auto"/>
              <w:right w:val="single" w:sz="4" w:space="0" w:color="auto"/>
            </w:tcBorders>
            <w:noWrap/>
            <w:vAlign w:val="center"/>
            <w:hideMark/>
          </w:tcPr>
          <w:p w14:paraId="5843AF30"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37A4A26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87" w:type="pct"/>
            <w:tcBorders>
              <w:top w:val="nil"/>
              <w:left w:val="nil"/>
              <w:bottom w:val="single" w:sz="4" w:space="0" w:color="auto"/>
              <w:right w:val="single" w:sz="4" w:space="0" w:color="auto"/>
            </w:tcBorders>
            <w:noWrap/>
            <w:vAlign w:val="center"/>
            <w:hideMark/>
          </w:tcPr>
          <w:p w14:paraId="41F6F45A"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5" w:type="pct"/>
            <w:tcBorders>
              <w:top w:val="nil"/>
              <w:left w:val="nil"/>
              <w:bottom w:val="single" w:sz="4" w:space="0" w:color="auto"/>
              <w:right w:val="single" w:sz="4" w:space="0" w:color="auto"/>
            </w:tcBorders>
            <w:noWrap/>
            <w:vAlign w:val="center"/>
            <w:hideMark/>
          </w:tcPr>
          <w:p w14:paraId="3A08FD9B"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9" w:type="pct"/>
            <w:tcBorders>
              <w:top w:val="nil"/>
              <w:left w:val="nil"/>
              <w:bottom w:val="single" w:sz="4" w:space="0" w:color="auto"/>
              <w:right w:val="single" w:sz="4" w:space="0" w:color="auto"/>
            </w:tcBorders>
            <w:noWrap/>
            <w:vAlign w:val="center"/>
            <w:hideMark/>
          </w:tcPr>
          <w:p w14:paraId="05F6062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r>
      <w:tr w:rsidR="0027552C" w:rsidRPr="004F051F" w14:paraId="4A02677E" w14:textId="77777777" w:rsidTr="00433A36">
        <w:trPr>
          <w:trHeight w:val="1200"/>
        </w:trPr>
        <w:tc>
          <w:tcPr>
            <w:tcW w:w="505" w:type="pct"/>
            <w:tcBorders>
              <w:top w:val="nil"/>
              <w:left w:val="single" w:sz="4" w:space="0" w:color="auto"/>
              <w:bottom w:val="single" w:sz="4" w:space="0" w:color="auto"/>
              <w:right w:val="single" w:sz="4" w:space="0" w:color="auto"/>
            </w:tcBorders>
            <w:vAlign w:val="center"/>
            <w:hideMark/>
          </w:tcPr>
          <w:p w14:paraId="6E39009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Secondary response</w:t>
            </w:r>
          </w:p>
        </w:tc>
        <w:tc>
          <w:tcPr>
            <w:tcW w:w="1018" w:type="pct"/>
            <w:tcBorders>
              <w:top w:val="nil"/>
              <w:left w:val="nil"/>
              <w:bottom w:val="single" w:sz="4" w:space="0" w:color="auto"/>
              <w:right w:val="single" w:sz="4" w:space="0" w:color="auto"/>
            </w:tcBorders>
            <w:vAlign w:val="center"/>
            <w:hideMark/>
          </w:tcPr>
          <w:p w14:paraId="1BD875AD"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Ensuring predictability for unexpected differences between system load and power generation</w:t>
            </w:r>
          </w:p>
        </w:tc>
        <w:tc>
          <w:tcPr>
            <w:tcW w:w="299" w:type="pct"/>
            <w:tcBorders>
              <w:top w:val="nil"/>
              <w:left w:val="single" w:sz="4" w:space="0" w:color="auto"/>
              <w:bottom w:val="single" w:sz="4" w:space="0" w:color="auto"/>
              <w:right w:val="single" w:sz="4" w:space="0" w:color="auto"/>
            </w:tcBorders>
            <w:noWrap/>
            <w:vAlign w:val="center"/>
            <w:hideMark/>
          </w:tcPr>
          <w:p w14:paraId="5A273900"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1" w:type="pct"/>
            <w:tcBorders>
              <w:top w:val="nil"/>
              <w:left w:val="nil"/>
              <w:bottom w:val="single" w:sz="4" w:space="0" w:color="auto"/>
              <w:right w:val="single" w:sz="4" w:space="0" w:color="auto"/>
            </w:tcBorders>
            <w:noWrap/>
            <w:vAlign w:val="center"/>
            <w:hideMark/>
          </w:tcPr>
          <w:p w14:paraId="2DC295F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0" w:type="pct"/>
            <w:tcBorders>
              <w:top w:val="nil"/>
              <w:left w:val="nil"/>
              <w:bottom w:val="single" w:sz="4" w:space="0" w:color="auto"/>
              <w:right w:val="single" w:sz="4" w:space="0" w:color="auto"/>
            </w:tcBorders>
            <w:noWrap/>
            <w:vAlign w:val="center"/>
            <w:hideMark/>
          </w:tcPr>
          <w:p w14:paraId="1CFFB37E"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1895BA4C"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4318C110"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6" w:type="pct"/>
            <w:tcBorders>
              <w:top w:val="nil"/>
              <w:left w:val="nil"/>
              <w:bottom w:val="single" w:sz="4" w:space="0" w:color="auto"/>
              <w:right w:val="single" w:sz="4" w:space="0" w:color="auto"/>
            </w:tcBorders>
            <w:noWrap/>
            <w:vAlign w:val="center"/>
            <w:hideMark/>
          </w:tcPr>
          <w:p w14:paraId="27B3594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2674EA29"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6E47F9EA"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87" w:type="pct"/>
            <w:tcBorders>
              <w:top w:val="nil"/>
              <w:left w:val="nil"/>
              <w:bottom w:val="single" w:sz="4" w:space="0" w:color="auto"/>
              <w:right w:val="single" w:sz="4" w:space="0" w:color="auto"/>
            </w:tcBorders>
            <w:noWrap/>
            <w:vAlign w:val="center"/>
            <w:hideMark/>
          </w:tcPr>
          <w:p w14:paraId="5A4B69BC"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5" w:type="pct"/>
            <w:tcBorders>
              <w:top w:val="nil"/>
              <w:left w:val="nil"/>
              <w:bottom w:val="single" w:sz="4" w:space="0" w:color="auto"/>
              <w:right w:val="single" w:sz="4" w:space="0" w:color="auto"/>
            </w:tcBorders>
            <w:noWrap/>
            <w:vAlign w:val="center"/>
            <w:hideMark/>
          </w:tcPr>
          <w:p w14:paraId="1A244883"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9" w:type="pct"/>
            <w:tcBorders>
              <w:top w:val="nil"/>
              <w:left w:val="nil"/>
              <w:bottom w:val="single" w:sz="4" w:space="0" w:color="auto"/>
              <w:right w:val="single" w:sz="4" w:space="0" w:color="auto"/>
            </w:tcBorders>
            <w:noWrap/>
            <w:vAlign w:val="center"/>
            <w:hideMark/>
          </w:tcPr>
          <w:p w14:paraId="7CFE7CB0"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r>
      <w:tr w:rsidR="0027552C" w:rsidRPr="004F051F" w14:paraId="2E05C9CB" w14:textId="77777777" w:rsidTr="00433A36">
        <w:trPr>
          <w:trHeight w:val="900"/>
        </w:trPr>
        <w:tc>
          <w:tcPr>
            <w:tcW w:w="505" w:type="pct"/>
            <w:tcBorders>
              <w:top w:val="nil"/>
              <w:left w:val="single" w:sz="4" w:space="0" w:color="auto"/>
              <w:bottom w:val="single" w:sz="4" w:space="0" w:color="auto"/>
              <w:right w:val="single" w:sz="4" w:space="0" w:color="auto"/>
            </w:tcBorders>
            <w:vAlign w:val="center"/>
            <w:hideMark/>
          </w:tcPr>
          <w:p w14:paraId="59493AD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Tertiary response</w:t>
            </w:r>
          </w:p>
        </w:tc>
        <w:tc>
          <w:tcPr>
            <w:tcW w:w="1018" w:type="pct"/>
            <w:tcBorders>
              <w:top w:val="nil"/>
              <w:left w:val="nil"/>
              <w:bottom w:val="single" w:sz="4" w:space="0" w:color="auto"/>
              <w:right w:val="single" w:sz="4" w:space="0" w:color="auto"/>
            </w:tcBorders>
            <w:vAlign w:val="center"/>
            <w:hideMark/>
          </w:tcPr>
          <w:p w14:paraId="696343C9"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Replacement of primary and secondary reaction with prolonged system overload</w:t>
            </w:r>
          </w:p>
        </w:tc>
        <w:tc>
          <w:tcPr>
            <w:tcW w:w="299" w:type="pct"/>
            <w:tcBorders>
              <w:top w:val="nil"/>
              <w:left w:val="single" w:sz="4" w:space="0" w:color="auto"/>
              <w:bottom w:val="single" w:sz="4" w:space="0" w:color="auto"/>
              <w:right w:val="single" w:sz="4" w:space="0" w:color="auto"/>
            </w:tcBorders>
            <w:noWrap/>
            <w:vAlign w:val="center"/>
            <w:hideMark/>
          </w:tcPr>
          <w:p w14:paraId="202C75A0"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1" w:type="pct"/>
            <w:tcBorders>
              <w:top w:val="nil"/>
              <w:left w:val="nil"/>
              <w:bottom w:val="single" w:sz="4" w:space="0" w:color="auto"/>
              <w:right w:val="single" w:sz="4" w:space="0" w:color="auto"/>
            </w:tcBorders>
            <w:noWrap/>
            <w:vAlign w:val="center"/>
            <w:hideMark/>
          </w:tcPr>
          <w:p w14:paraId="64A93B69"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0" w:type="pct"/>
            <w:tcBorders>
              <w:top w:val="nil"/>
              <w:left w:val="nil"/>
              <w:bottom w:val="single" w:sz="4" w:space="0" w:color="auto"/>
              <w:right w:val="single" w:sz="4" w:space="0" w:color="auto"/>
            </w:tcBorders>
            <w:noWrap/>
            <w:vAlign w:val="center"/>
            <w:hideMark/>
          </w:tcPr>
          <w:p w14:paraId="4B592581"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3600911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1" w:type="pct"/>
            <w:tcBorders>
              <w:top w:val="nil"/>
              <w:left w:val="nil"/>
              <w:bottom w:val="single" w:sz="4" w:space="0" w:color="auto"/>
              <w:right w:val="single" w:sz="4" w:space="0" w:color="auto"/>
            </w:tcBorders>
            <w:noWrap/>
            <w:vAlign w:val="center"/>
            <w:hideMark/>
          </w:tcPr>
          <w:p w14:paraId="4ECB074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96" w:type="pct"/>
            <w:tcBorders>
              <w:top w:val="nil"/>
              <w:left w:val="nil"/>
              <w:bottom w:val="single" w:sz="4" w:space="0" w:color="auto"/>
              <w:right w:val="single" w:sz="4" w:space="0" w:color="auto"/>
            </w:tcBorders>
            <w:noWrap/>
            <w:vAlign w:val="center"/>
            <w:hideMark/>
          </w:tcPr>
          <w:p w14:paraId="5DE32C8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6F2FE293"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1B140FB3"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87" w:type="pct"/>
            <w:tcBorders>
              <w:top w:val="nil"/>
              <w:left w:val="nil"/>
              <w:bottom w:val="single" w:sz="4" w:space="0" w:color="auto"/>
              <w:right w:val="single" w:sz="4" w:space="0" w:color="auto"/>
            </w:tcBorders>
            <w:noWrap/>
            <w:vAlign w:val="center"/>
            <w:hideMark/>
          </w:tcPr>
          <w:p w14:paraId="6BAB07E3"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5" w:type="pct"/>
            <w:tcBorders>
              <w:top w:val="nil"/>
              <w:left w:val="nil"/>
              <w:bottom w:val="single" w:sz="4" w:space="0" w:color="auto"/>
              <w:right w:val="single" w:sz="4" w:space="0" w:color="auto"/>
            </w:tcBorders>
            <w:noWrap/>
            <w:vAlign w:val="center"/>
            <w:hideMark/>
          </w:tcPr>
          <w:p w14:paraId="1B5A82B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9" w:type="pct"/>
            <w:tcBorders>
              <w:top w:val="nil"/>
              <w:left w:val="nil"/>
              <w:bottom w:val="single" w:sz="4" w:space="0" w:color="auto"/>
              <w:right w:val="single" w:sz="4" w:space="0" w:color="auto"/>
            </w:tcBorders>
            <w:noWrap/>
            <w:vAlign w:val="center"/>
            <w:hideMark/>
          </w:tcPr>
          <w:p w14:paraId="7A551B50"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r>
      <w:tr w:rsidR="0027552C" w:rsidRPr="004F051F" w14:paraId="26A6E21D" w14:textId="77777777" w:rsidTr="00433A36">
        <w:trPr>
          <w:trHeight w:val="900"/>
        </w:trPr>
        <w:tc>
          <w:tcPr>
            <w:tcW w:w="505" w:type="pct"/>
            <w:tcBorders>
              <w:top w:val="nil"/>
              <w:left w:val="single" w:sz="4" w:space="0" w:color="auto"/>
              <w:bottom w:val="single" w:sz="4" w:space="0" w:color="auto"/>
              <w:right w:val="single" w:sz="4" w:space="0" w:color="auto"/>
            </w:tcBorders>
            <w:vAlign w:val="center"/>
            <w:hideMark/>
          </w:tcPr>
          <w:p w14:paraId="2F1B42CB"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 xml:space="preserve">Peak </w:t>
            </w:r>
            <w:r>
              <w:rPr>
                <w:rFonts w:ascii="Times New Roman" w:eastAsia="Times New Roman" w:hAnsi="Times New Roman" w:cs="Times New Roman"/>
                <w:color w:val="000000"/>
              </w:rPr>
              <w:t xml:space="preserve">load </w:t>
            </w:r>
            <w:r w:rsidRPr="004F051F">
              <w:rPr>
                <w:rFonts w:ascii="Times New Roman" w:eastAsia="Times New Roman" w:hAnsi="Times New Roman" w:cs="Times New Roman"/>
                <w:color w:val="000000"/>
              </w:rPr>
              <w:t>shift</w:t>
            </w:r>
          </w:p>
        </w:tc>
        <w:tc>
          <w:tcPr>
            <w:tcW w:w="1018" w:type="pct"/>
            <w:tcBorders>
              <w:top w:val="nil"/>
              <w:left w:val="nil"/>
              <w:bottom w:val="single" w:sz="4" w:space="0" w:color="auto"/>
              <w:right w:val="single" w:sz="4" w:space="0" w:color="auto"/>
            </w:tcBorders>
            <w:vAlign w:val="center"/>
            <w:hideMark/>
          </w:tcPr>
          <w:p w14:paraId="43DE3B9D"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Ensuring adequate generation capacity during peak power demand periods</w:t>
            </w:r>
          </w:p>
        </w:tc>
        <w:tc>
          <w:tcPr>
            <w:tcW w:w="299" w:type="pct"/>
            <w:tcBorders>
              <w:top w:val="nil"/>
              <w:left w:val="single" w:sz="4" w:space="0" w:color="auto"/>
              <w:bottom w:val="single" w:sz="4" w:space="0" w:color="auto"/>
              <w:right w:val="single" w:sz="4" w:space="0" w:color="auto"/>
            </w:tcBorders>
            <w:noWrap/>
            <w:vAlign w:val="center"/>
            <w:hideMark/>
          </w:tcPr>
          <w:p w14:paraId="3FA1D60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1" w:type="pct"/>
            <w:tcBorders>
              <w:top w:val="nil"/>
              <w:left w:val="nil"/>
              <w:bottom w:val="single" w:sz="4" w:space="0" w:color="auto"/>
              <w:right w:val="single" w:sz="4" w:space="0" w:color="auto"/>
            </w:tcBorders>
            <w:noWrap/>
            <w:vAlign w:val="center"/>
            <w:hideMark/>
          </w:tcPr>
          <w:p w14:paraId="3E9C4B71"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0" w:type="pct"/>
            <w:tcBorders>
              <w:top w:val="nil"/>
              <w:left w:val="nil"/>
              <w:bottom w:val="single" w:sz="4" w:space="0" w:color="auto"/>
              <w:right w:val="single" w:sz="4" w:space="0" w:color="auto"/>
            </w:tcBorders>
            <w:noWrap/>
            <w:vAlign w:val="center"/>
            <w:hideMark/>
          </w:tcPr>
          <w:p w14:paraId="0D070EC9"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62CEFB9A"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399720D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6" w:type="pct"/>
            <w:tcBorders>
              <w:top w:val="nil"/>
              <w:left w:val="nil"/>
              <w:bottom w:val="single" w:sz="4" w:space="0" w:color="auto"/>
              <w:right w:val="single" w:sz="4" w:space="0" w:color="auto"/>
            </w:tcBorders>
            <w:noWrap/>
            <w:vAlign w:val="center"/>
            <w:hideMark/>
          </w:tcPr>
          <w:p w14:paraId="75D355B4"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478BE1C9"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5C61BE8C"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87" w:type="pct"/>
            <w:tcBorders>
              <w:top w:val="nil"/>
              <w:left w:val="nil"/>
              <w:bottom w:val="single" w:sz="4" w:space="0" w:color="auto"/>
              <w:right w:val="single" w:sz="4" w:space="0" w:color="auto"/>
            </w:tcBorders>
            <w:noWrap/>
            <w:vAlign w:val="center"/>
            <w:hideMark/>
          </w:tcPr>
          <w:p w14:paraId="2CD7FB9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5" w:type="pct"/>
            <w:tcBorders>
              <w:top w:val="nil"/>
              <w:left w:val="nil"/>
              <w:bottom w:val="single" w:sz="4" w:space="0" w:color="auto"/>
              <w:right w:val="single" w:sz="4" w:space="0" w:color="auto"/>
            </w:tcBorders>
            <w:noWrap/>
            <w:vAlign w:val="center"/>
            <w:hideMark/>
          </w:tcPr>
          <w:p w14:paraId="74DBBDEC"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9" w:type="pct"/>
            <w:tcBorders>
              <w:top w:val="nil"/>
              <w:left w:val="nil"/>
              <w:bottom w:val="single" w:sz="4" w:space="0" w:color="auto"/>
              <w:right w:val="single" w:sz="4" w:space="0" w:color="auto"/>
            </w:tcBorders>
            <w:noWrap/>
            <w:vAlign w:val="center"/>
            <w:hideMark/>
          </w:tcPr>
          <w:p w14:paraId="2D12006B"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r>
      <w:tr w:rsidR="0027552C" w:rsidRPr="004F051F" w14:paraId="02AFBD85" w14:textId="77777777" w:rsidTr="00433A36">
        <w:trPr>
          <w:trHeight w:val="945"/>
        </w:trPr>
        <w:tc>
          <w:tcPr>
            <w:tcW w:w="505" w:type="pct"/>
            <w:tcBorders>
              <w:top w:val="nil"/>
              <w:left w:val="single" w:sz="4" w:space="0" w:color="auto"/>
              <w:bottom w:val="single" w:sz="4" w:space="0" w:color="auto"/>
              <w:right w:val="single" w:sz="4" w:space="0" w:color="auto"/>
            </w:tcBorders>
            <w:vAlign w:val="center"/>
            <w:hideMark/>
          </w:tcPr>
          <w:p w14:paraId="6B3D32D2"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Flexibility</w:t>
            </w:r>
          </w:p>
        </w:tc>
        <w:tc>
          <w:tcPr>
            <w:tcW w:w="1018" w:type="pct"/>
            <w:tcBorders>
              <w:top w:val="nil"/>
              <w:left w:val="nil"/>
              <w:bottom w:val="single" w:sz="4" w:space="0" w:color="auto"/>
              <w:right w:val="single" w:sz="4" w:space="0" w:color="auto"/>
            </w:tcBorders>
            <w:vAlign w:val="center"/>
            <w:hideMark/>
          </w:tcPr>
          <w:p w14:paraId="25D39CA6"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Ensuing adequate power system flexibility when renewable added in</w:t>
            </w:r>
          </w:p>
        </w:tc>
        <w:tc>
          <w:tcPr>
            <w:tcW w:w="299" w:type="pct"/>
            <w:tcBorders>
              <w:top w:val="nil"/>
              <w:left w:val="single" w:sz="4" w:space="0" w:color="auto"/>
              <w:bottom w:val="single" w:sz="4" w:space="0" w:color="auto"/>
              <w:right w:val="single" w:sz="4" w:space="0" w:color="auto"/>
            </w:tcBorders>
            <w:noWrap/>
            <w:vAlign w:val="center"/>
            <w:hideMark/>
          </w:tcPr>
          <w:p w14:paraId="422D579C"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1" w:type="pct"/>
            <w:tcBorders>
              <w:top w:val="nil"/>
              <w:left w:val="nil"/>
              <w:bottom w:val="single" w:sz="4" w:space="0" w:color="auto"/>
              <w:right w:val="single" w:sz="4" w:space="0" w:color="auto"/>
            </w:tcBorders>
            <w:noWrap/>
            <w:vAlign w:val="center"/>
            <w:hideMark/>
          </w:tcPr>
          <w:p w14:paraId="6086C433"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0" w:type="pct"/>
            <w:tcBorders>
              <w:top w:val="nil"/>
              <w:left w:val="nil"/>
              <w:bottom w:val="single" w:sz="4" w:space="0" w:color="auto"/>
              <w:right w:val="single" w:sz="4" w:space="0" w:color="auto"/>
            </w:tcBorders>
            <w:noWrap/>
            <w:vAlign w:val="center"/>
            <w:hideMark/>
          </w:tcPr>
          <w:p w14:paraId="2D21D223"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05875AFD"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34BA6052"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6" w:type="pct"/>
            <w:tcBorders>
              <w:top w:val="nil"/>
              <w:left w:val="nil"/>
              <w:bottom w:val="single" w:sz="4" w:space="0" w:color="auto"/>
              <w:right w:val="single" w:sz="4" w:space="0" w:color="auto"/>
            </w:tcBorders>
            <w:noWrap/>
            <w:vAlign w:val="center"/>
            <w:hideMark/>
          </w:tcPr>
          <w:p w14:paraId="6D0DFD6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4CBF73E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67CDEE6F"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87" w:type="pct"/>
            <w:tcBorders>
              <w:top w:val="nil"/>
              <w:left w:val="nil"/>
              <w:bottom w:val="single" w:sz="4" w:space="0" w:color="auto"/>
              <w:right w:val="single" w:sz="4" w:space="0" w:color="auto"/>
            </w:tcBorders>
            <w:noWrap/>
            <w:vAlign w:val="center"/>
            <w:hideMark/>
          </w:tcPr>
          <w:p w14:paraId="6240F4C9"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5" w:type="pct"/>
            <w:tcBorders>
              <w:top w:val="nil"/>
              <w:left w:val="nil"/>
              <w:bottom w:val="single" w:sz="4" w:space="0" w:color="auto"/>
              <w:right w:val="single" w:sz="4" w:space="0" w:color="auto"/>
            </w:tcBorders>
            <w:noWrap/>
            <w:vAlign w:val="center"/>
            <w:hideMark/>
          </w:tcPr>
          <w:p w14:paraId="70FBA267"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9" w:type="pct"/>
            <w:tcBorders>
              <w:top w:val="nil"/>
              <w:left w:val="nil"/>
              <w:bottom w:val="single" w:sz="4" w:space="0" w:color="auto"/>
              <w:right w:val="single" w:sz="4" w:space="0" w:color="auto"/>
            </w:tcBorders>
            <w:noWrap/>
            <w:vAlign w:val="center"/>
            <w:hideMark/>
          </w:tcPr>
          <w:p w14:paraId="00922C07"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r>
      <w:tr w:rsidR="0027552C" w:rsidRPr="004F051F" w14:paraId="750BB8D5" w14:textId="77777777" w:rsidTr="00433A36">
        <w:trPr>
          <w:trHeight w:val="900"/>
        </w:trPr>
        <w:tc>
          <w:tcPr>
            <w:tcW w:w="505" w:type="pct"/>
            <w:tcBorders>
              <w:top w:val="nil"/>
              <w:left w:val="single" w:sz="4" w:space="0" w:color="auto"/>
              <w:bottom w:val="single" w:sz="4" w:space="0" w:color="auto"/>
              <w:right w:val="single" w:sz="4" w:space="0" w:color="auto"/>
            </w:tcBorders>
            <w:vAlign w:val="center"/>
            <w:hideMark/>
          </w:tcPr>
          <w:p w14:paraId="2B065AE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lastRenderedPageBreak/>
              <w:t>Renewable firming &amp; shift</w:t>
            </w:r>
          </w:p>
        </w:tc>
        <w:tc>
          <w:tcPr>
            <w:tcW w:w="1018" w:type="pct"/>
            <w:tcBorders>
              <w:top w:val="nil"/>
              <w:left w:val="nil"/>
              <w:bottom w:val="single" w:sz="4" w:space="0" w:color="auto"/>
              <w:right w:val="single" w:sz="4" w:space="0" w:color="auto"/>
            </w:tcBorders>
            <w:vAlign w:val="center"/>
            <w:hideMark/>
          </w:tcPr>
          <w:p w14:paraId="2DDA2F1D"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Shifting renewable energy from oversupply to peak demand</w:t>
            </w:r>
          </w:p>
        </w:tc>
        <w:tc>
          <w:tcPr>
            <w:tcW w:w="299" w:type="pct"/>
            <w:tcBorders>
              <w:top w:val="nil"/>
              <w:left w:val="single" w:sz="4" w:space="0" w:color="auto"/>
              <w:bottom w:val="single" w:sz="4" w:space="0" w:color="auto"/>
              <w:right w:val="single" w:sz="4" w:space="0" w:color="auto"/>
            </w:tcBorders>
            <w:noWrap/>
            <w:vAlign w:val="center"/>
            <w:hideMark/>
          </w:tcPr>
          <w:p w14:paraId="264E38E7"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1" w:type="pct"/>
            <w:tcBorders>
              <w:top w:val="nil"/>
              <w:left w:val="nil"/>
              <w:bottom w:val="single" w:sz="4" w:space="0" w:color="auto"/>
              <w:right w:val="single" w:sz="4" w:space="0" w:color="auto"/>
            </w:tcBorders>
            <w:noWrap/>
            <w:vAlign w:val="center"/>
            <w:hideMark/>
          </w:tcPr>
          <w:p w14:paraId="21E9AB1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0" w:type="pct"/>
            <w:tcBorders>
              <w:top w:val="nil"/>
              <w:left w:val="nil"/>
              <w:bottom w:val="single" w:sz="4" w:space="0" w:color="auto"/>
              <w:right w:val="single" w:sz="4" w:space="0" w:color="auto"/>
            </w:tcBorders>
            <w:noWrap/>
            <w:vAlign w:val="center"/>
            <w:hideMark/>
          </w:tcPr>
          <w:p w14:paraId="1C55067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04E56CB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70887F22"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6" w:type="pct"/>
            <w:tcBorders>
              <w:top w:val="nil"/>
              <w:left w:val="nil"/>
              <w:bottom w:val="single" w:sz="4" w:space="0" w:color="auto"/>
              <w:right w:val="single" w:sz="4" w:space="0" w:color="auto"/>
            </w:tcBorders>
            <w:noWrap/>
            <w:vAlign w:val="center"/>
            <w:hideMark/>
          </w:tcPr>
          <w:p w14:paraId="3F822AF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7FB6D4F0"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2413F68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87" w:type="pct"/>
            <w:tcBorders>
              <w:top w:val="nil"/>
              <w:left w:val="nil"/>
              <w:bottom w:val="single" w:sz="4" w:space="0" w:color="auto"/>
              <w:right w:val="single" w:sz="4" w:space="0" w:color="auto"/>
            </w:tcBorders>
            <w:noWrap/>
            <w:vAlign w:val="center"/>
            <w:hideMark/>
          </w:tcPr>
          <w:p w14:paraId="2CE5258F"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5" w:type="pct"/>
            <w:tcBorders>
              <w:top w:val="nil"/>
              <w:left w:val="nil"/>
              <w:bottom w:val="single" w:sz="4" w:space="0" w:color="auto"/>
              <w:right w:val="single" w:sz="4" w:space="0" w:color="auto"/>
            </w:tcBorders>
            <w:noWrap/>
            <w:vAlign w:val="center"/>
            <w:hideMark/>
          </w:tcPr>
          <w:p w14:paraId="6DDE9F3C"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9" w:type="pct"/>
            <w:tcBorders>
              <w:top w:val="nil"/>
              <w:left w:val="nil"/>
              <w:bottom w:val="single" w:sz="4" w:space="0" w:color="auto"/>
              <w:right w:val="single" w:sz="4" w:space="0" w:color="auto"/>
            </w:tcBorders>
            <w:noWrap/>
            <w:vAlign w:val="center"/>
            <w:hideMark/>
          </w:tcPr>
          <w:p w14:paraId="108FBB2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r>
      <w:tr w:rsidR="0027552C" w:rsidRPr="004F051F" w14:paraId="396DA1F6" w14:textId="77777777" w:rsidTr="00433A36">
        <w:trPr>
          <w:trHeight w:val="1200"/>
        </w:trPr>
        <w:tc>
          <w:tcPr>
            <w:tcW w:w="505" w:type="pct"/>
            <w:tcBorders>
              <w:top w:val="nil"/>
              <w:left w:val="single" w:sz="4" w:space="0" w:color="auto"/>
              <w:bottom w:val="single" w:sz="4" w:space="0" w:color="auto"/>
              <w:right w:val="single" w:sz="4" w:space="0" w:color="auto"/>
            </w:tcBorders>
            <w:vAlign w:val="center"/>
            <w:hideMark/>
          </w:tcPr>
          <w:p w14:paraId="5DBEB24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 xml:space="preserve">Seasonal </w:t>
            </w:r>
            <w:r>
              <w:rPr>
                <w:rFonts w:ascii="Times New Roman" w:eastAsia="Times New Roman" w:hAnsi="Times New Roman" w:cs="Times New Roman"/>
                <w:color w:val="000000"/>
              </w:rPr>
              <w:t xml:space="preserve">electricity </w:t>
            </w:r>
            <w:r w:rsidRPr="004F051F">
              <w:rPr>
                <w:rFonts w:ascii="Times New Roman" w:eastAsia="Times New Roman" w:hAnsi="Times New Roman" w:cs="Times New Roman"/>
                <w:color w:val="000000"/>
              </w:rPr>
              <w:t>storage</w:t>
            </w:r>
          </w:p>
        </w:tc>
        <w:tc>
          <w:tcPr>
            <w:tcW w:w="1018" w:type="pct"/>
            <w:tcBorders>
              <w:top w:val="nil"/>
              <w:left w:val="nil"/>
              <w:bottom w:val="single" w:sz="4" w:space="0" w:color="auto"/>
              <w:right w:val="single" w:sz="4" w:space="0" w:color="auto"/>
            </w:tcBorders>
            <w:vAlign w:val="center"/>
            <w:hideMark/>
          </w:tcPr>
          <w:p w14:paraId="77C9FAAC"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Balancing the variability of seasonal electricity supply resulting from energy demand and supply</w:t>
            </w:r>
          </w:p>
        </w:tc>
        <w:tc>
          <w:tcPr>
            <w:tcW w:w="299" w:type="pct"/>
            <w:tcBorders>
              <w:top w:val="nil"/>
              <w:left w:val="single" w:sz="4" w:space="0" w:color="auto"/>
              <w:bottom w:val="single" w:sz="4" w:space="0" w:color="auto"/>
              <w:right w:val="single" w:sz="4" w:space="0" w:color="auto"/>
            </w:tcBorders>
            <w:noWrap/>
            <w:vAlign w:val="center"/>
            <w:hideMark/>
          </w:tcPr>
          <w:p w14:paraId="1AA2911F"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1" w:type="pct"/>
            <w:tcBorders>
              <w:top w:val="nil"/>
              <w:left w:val="nil"/>
              <w:bottom w:val="single" w:sz="4" w:space="0" w:color="auto"/>
              <w:right w:val="single" w:sz="4" w:space="0" w:color="auto"/>
            </w:tcBorders>
            <w:noWrap/>
            <w:vAlign w:val="center"/>
            <w:hideMark/>
          </w:tcPr>
          <w:p w14:paraId="69A616D2"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10" w:type="pct"/>
            <w:tcBorders>
              <w:top w:val="nil"/>
              <w:left w:val="nil"/>
              <w:bottom w:val="single" w:sz="4" w:space="0" w:color="auto"/>
              <w:right w:val="single" w:sz="4" w:space="0" w:color="auto"/>
            </w:tcBorders>
            <w:noWrap/>
            <w:vAlign w:val="center"/>
            <w:hideMark/>
          </w:tcPr>
          <w:p w14:paraId="23C657D9"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0B24E65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341" w:type="pct"/>
            <w:tcBorders>
              <w:top w:val="nil"/>
              <w:left w:val="nil"/>
              <w:bottom w:val="single" w:sz="4" w:space="0" w:color="auto"/>
              <w:right w:val="single" w:sz="4" w:space="0" w:color="auto"/>
            </w:tcBorders>
            <w:noWrap/>
            <w:vAlign w:val="center"/>
            <w:hideMark/>
          </w:tcPr>
          <w:p w14:paraId="21A56E8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96" w:type="pct"/>
            <w:tcBorders>
              <w:top w:val="nil"/>
              <w:left w:val="nil"/>
              <w:bottom w:val="single" w:sz="4" w:space="0" w:color="auto"/>
              <w:right w:val="single" w:sz="4" w:space="0" w:color="auto"/>
            </w:tcBorders>
            <w:noWrap/>
            <w:vAlign w:val="center"/>
            <w:hideMark/>
          </w:tcPr>
          <w:p w14:paraId="628DD921"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99" w:type="pct"/>
            <w:tcBorders>
              <w:top w:val="nil"/>
              <w:left w:val="nil"/>
              <w:bottom w:val="single" w:sz="4" w:space="0" w:color="auto"/>
              <w:right w:val="single" w:sz="4" w:space="0" w:color="auto"/>
            </w:tcBorders>
            <w:noWrap/>
            <w:vAlign w:val="center"/>
            <w:hideMark/>
          </w:tcPr>
          <w:p w14:paraId="76CFA7A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175F4AEC"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87" w:type="pct"/>
            <w:tcBorders>
              <w:top w:val="nil"/>
              <w:left w:val="nil"/>
              <w:bottom w:val="single" w:sz="4" w:space="0" w:color="auto"/>
              <w:right w:val="single" w:sz="4" w:space="0" w:color="auto"/>
            </w:tcBorders>
            <w:noWrap/>
            <w:vAlign w:val="center"/>
            <w:hideMark/>
          </w:tcPr>
          <w:p w14:paraId="3DC9FB74"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5" w:type="pct"/>
            <w:tcBorders>
              <w:top w:val="nil"/>
              <w:left w:val="nil"/>
              <w:bottom w:val="single" w:sz="4" w:space="0" w:color="auto"/>
              <w:right w:val="single" w:sz="4" w:space="0" w:color="auto"/>
            </w:tcBorders>
            <w:noWrap/>
            <w:vAlign w:val="center"/>
            <w:hideMark/>
          </w:tcPr>
          <w:p w14:paraId="08C06211"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9" w:type="pct"/>
            <w:tcBorders>
              <w:top w:val="nil"/>
              <w:left w:val="nil"/>
              <w:bottom w:val="single" w:sz="4" w:space="0" w:color="auto"/>
              <w:right w:val="single" w:sz="4" w:space="0" w:color="auto"/>
            </w:tcBorders>
            <w:noWrap/>
            <w:vAlign w:val="center"/>
            <w:hideMark/>
          </w:tcPr>
          <w:p w14:paraId="577EE03E"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r>
      <w:tr w:rsidR="0027552C" w:rsidRPr="004F051F" w14:paraId="39D984DB" w14:textId="77777777" w:rsidTr="00433A36">
        <w:trPr>
          <w:trHeight w:val="1200"/>
        </w:trPr>
        <w:tc>
          <w:tcPr>
            <w:tcW w:w="505" w:type="pct"/>
            <w:tcBorders>
              <w:top w:val="nil"/>
              <w:left w:val="single" w:sz="4" w:space="0" w:color="auto"/>
              <w:bottom w:val="single" w:sz="4" w:space="0" w:color="auto"/>
              <w:right w:val="single" w:sz="4" w:space="0" w:color="auto"/>
            </w:tcBorders>
            <w:vAlign w:val="center"/>
            <w:hideMark/>
          </w:tcPr>
          <w:p w14:paraId="3DEB2260"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Cold start/black start</w:t>
            </w:r>
          </w:p>
        </w:tc>
        <w:tc>
          <w:tcPr>
            <w:tcW w:w="1018" w:type="pct"/>
            <w:tcBorders>
              <w:top w:val="nil"/>
              <w:left w:val="nil"/>
              <w:bottom w:val="single" w:sz="4" w:space="0" w:color="auto"/>
              <w:right w:val="single" w:sz="4" w:space="0" w:color="auto"/>
            </w:tcBorders>
            <w:vAlign w:val="center"/>
            <w:hideMark/>
          </w:tcPr>
          <w:p w14:paraId="009285B6"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Quick power plant recovery after network overload without additional external power supply</w:t>
            </w:r>
          </w:p>
        </w:tc>
        <w:tc>
          <w:tcPr>
            <w:tcW w:w="299" w:type="pct"/>
            <w:tcBorders>
              <w:top w:val="nil"/>
              <w:left w:val="single" w:sz="4" w:space="0" w:color="auto"/>
              <w:bottom w:val="single" w:sz="4" w:space="0" w:color="auto"/>
              <w:right w:val="single" w:sz="4" w:space="0" w:color="auto"/>
            </w:tcBorders>
            <w:noWrap/>
            <w:vAlign w:val="center"/>
            <w:hideMark/>
          </w:tcPr>
          <w:p w14:paraId="10203983"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1" w:type="pct"/>
            <w:tcBorders>
              <w:top w:val="nil"/>
              <w:left w:val="nil"/>
              <w:bottom w:val="single" w:sz="4" w:space="0" w:color="auto"/>
              <w:right w:val="single" w:sz="4" w:space="0" w:color="auto"/>
            </w:tcBorders>
            <w:noWrap/>
            <w:vAlign w:val="center"/>
            <w:hideMark/>
          </w:tcPr>
          <w:p w14:paraId="3F4B1861"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0" w:type="pct"/>
            <w:tcBorders>
              <w:top w:val="nil"/>
              <w:left w:val="nil"/>
              <w:bottom w:val="single" w:sz="4" w:space="0" w:color="auto"/>
              <w:right w:val="single" w:sz="4" w:space="0" w:color="auto"/>
            </w:tcBorders>
            <w:noWrap/>
            <w:vAlign w:val="center"/>
            <w:hideMark/>
          </w:tcPr>
          <w:p w14:paraId="3EF312A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0E1F3E87"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5FAE7AD0"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6" w:type="pct"/>
            <w:tcBorders>
              <w:top w:val="nil"/>
              <w:left w:val="nil"/>
              <w:bottom w:val="single" w:sz="4" w:space="0" w:color="auto"/>
              <w:right w:val="single" w:sz="4" w:space="0" w:color="auto"/>
            </w:tcBorders>
            <w:noWrap/>
            <w:vAlign w:val="center"/>
            <w:hideMark/>
          </w:tcPr>
          <w:p w14:paraId="43AA5920"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7929F91D"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5A46BB3B"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87" w:type="pct"/>
            <w:tcBorders>
              <w:top w:val="nil"/>
              <w:left w:val="nil"/>
              <w:bottom w:val="single" w:sz="4" w:space="0" w:color="auto"/>
              <w:right w:val="single" w:sz="4" w:space="0" w:color="auto"/>
            </w:tcBorders>
            <w:noWrap/>
            <w:vAlign w:val="center"/>
            <w:hideMark/>
          </w:tcPr>
          <w:p w14:paraId="66899D4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5" w:type="pct"/>
            <w:tcBorders>
              <w:top w:val="nil"/>
              <w:left w:val="nil"/>
              <w:bottom w:val="single" w:sz="4" w:space="0" w:color="auto"/>
              <w:right w:val="single" w:sz="4" w:space="0" w:color="auto"/>
            </w:tcBorders>
            <w:noWrap/>
            <w:vAlign w:val="center"/>
            <w:hideMark/>
          </w:tcPr>
          <w:p w14:paraId="4863744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9" w:type="pct"/>
            <w:tcBorders>
              <w:top w:val="nil"/>
              <w:left w:val="nil"/>
              <w:bottom w:val="single" w:sz="4" w:space="0" w:color="auto"/>
              <w:right w:val="single" w:sz="4" w:space="0" w:color="auto"/>
            </w:tcBorders>
            <w:noWrap/>
            <w:vAlign w:val="center"/>
            <w:hideMark/>
          </w:tcPr>
          <w:p w14:paraId="2A70863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r>
      <w:tr w:rsidR="0027552C" w:rsidRPr="004F051F" w14:paraId="14F9DAF3" w14:textId="77777777" w:rsidTr="00433A36">
        <w:trPr>
          <w:trHeight w:val="900"/>
        </w:trPr>
        <w:tc>
          <w:tcPr>
            <w:tcW w:w="505" w:type="pct"/>
            <w:tcBorders>
              <w:top w:val="nil"/>
              <w:left w:val="single" w:sz="4" w:space="0" w:color="auto"/>
              <w:bottom w:val="single" w:sz="4" w:space="0" w:color="auto"/>
              <w:right w:val="single" w:sz="4" w:space="0" w:color="auto"/>
            </w:tcBorders>
            <w:vAlign w:val="center"/>
            <w:hideMark/>
          </w:tcPr>
          <w:p w14:paraId="68CAAB1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Transmission network deferral</w:t>
            </w:r>
          </w:p>
        </w:tc>
        <w:tc>
          <w:tcPr>
            <w:tcW w:w="1018" w:type="pct"/>
            <w:tcBorders>
              <w:top w:val="nil"/>
              <w:left w:val="nil"/>
              <w:bottom w:val="single" w:sz="4" w:space="0" w:color="auto"/>
              <w:right w:val="single" w:sz="4" w:space="0" w:color="auto"/>
            </w:tcBorders>
            <w:vAlign w:val="center"/>
            <w:hideMark/>
          </w:tcPr>
          <w:p w14:paraId="4212498D"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Deferring the reinforcement and improvement of network infrastructure</w:t>
            </w:r>
          </w:p>
        </w:tc>
        <w:tc>
          <w:tcPr>
            <w:tcW w:w="299" w:type="pct"/>
            <w:tcBorders>
              <w:top w:val="nil"/>
              <w:left w:val="single" w:sz="4" w:space="0" w:color="auto"/>
              <w:bottom w:val="single" w:sz="4" w:space="0" w:color="auto"/>
              <w:right w:val="single" w:sz="4" w:space="0" w:color="auto"/>
            </w:tcBorders>
            <w:noWrap/>
            <w:vAlign w:val="center"/>
            <w:hideMark/>
          </w:tcPr>
          <w:p w14:paraId="529C88E7"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1" w:type="pct"/>
            <w:tcBorders>
              <w:top w:val="nil"/>
              <w:left w:val="nil"/>
              <w:bottom w:val="single" w:sz="4" w:space="0" w:color="auto"/>
              <w:right w:val="single" w:sz="4" w:space="0" w:color="auto"/>
            </w:tcBorders>
            <w:noWrap/>
            <w:vAlign w:val="center"/>
            <w:hideMark/>
          </w:tcPr>
          <w:p w14:paraId="5A3CE839"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10" w:type="pct"/>
            <w:tcBorders>
              <w:top w:val="nil"/>
              <w:left w:val="nil"/>
              <w:bottom w:val="single" w:sz="4" w:space="0" w:color="auto"/>
              <w:right w:val="single" w:sz="4" w:space="0" w:color="auto"/>
            </w:tcBorders>
            <w:noWrap/>
            <w:vAlign w:val="center"/>
            <w:hideMark/>
          </w:tcPr>
          <w:p w14:paraId="6DA5B88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09A533D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21C29174"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6" w:type="pct"/>
            <w:tcBorders>
              <w:top w:val="nil"/>
              <w:left w:val="nil"/>
              <w:bottom w:val="single" w:sz="4" w:space="0" w:color="auto"/>
              <w:right w:val="single" w:sz="4" w:space="0" w:color="auto"/>
            </w:tcBorders>
            <w:noWrap/>
            <w:vAlign w:val="center"/>
            <w:hideMark/>
          </w:tcPr>
          <w:p w14:paraId="4052DA8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4595EFD1"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9" w:type="pct"/>
            <w:tcBorders>
              <w:top w:val="nil"/>
              <w:left w:val="nil"/>
              <w:bottom w:val="single" w:sz="4" w:space="0" w:color="auto"/>
              <w:right w:val="single" w:sz="4" w:space="0" w:color="auto"/>
            </w:tcBorders>
            <w:noWrap/>
            <w:vAlign w:val="center"/>
            <w:hideMark/>
          </w:tcPr>
          <w:p w14:paraId="241DF40D"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87" w:type="pct"/>
            <w:tcBorders>
              <w:top w:val="nil"/>
              <w:left w:val="nil"/>
              <w:bottom w:val="single" w:sz="4" w:space="0" w:color="auto"/>
              <w:right w:val="single" w:sz="4" w:space="0" w:color="auto"/>
            </w:tcBorders>
            <w:noWrap/>
            <w:vAlign w:val="center"/>
            <w:hideMark/>
          </w:tcPr>
          <w:p w14:paraId="2C28695F"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5" w:type="pct"/>
            <w:tcBorders>
              <w:top w:val="nil"/>
              <w:left w:val="nil"/>
              <w:bottom w:val="single" w:sz="4" w:space="0" w:color="auto"/>
              <w:right w:val="single" w:sz="4" w:space="0" w:color="auto"/>
            </w:tcBorders>
            <w:noWrap/>
            <w:vAlign w:val="center"/>
            <w:hideMark/>
          </w:tcPr>
          <w:p w14:paraId="255F2267"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9" w:type="pct"/>
            <w:tcBorders>
              <w:top w:val="nil"/>
              <w:left w:val="nil"/>
              <w:bottom w:val="single" w:sz="4" w:space="0" w:color="auto"/>
              <w:right w:val="single" w:sz="4" w:space="0" w:color="auto"/>
            </w:tcBorders>
            <w:noWrap/>
            <w:vAlign w:val="center"/>
            <w:hideMark/>
          </w:tcPr>
          <w:p w14:paraId="4DB7886F"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r>
      <w:tr w:rsidR="0027552C" w:rsidRPr="004F051F" w14:paraId="719F5F8E" w14:textId="77777777" w:rsidTr="00433A36">
        <w:trPr>
          <w:trHeight w:val="70"/>
        </w:trPr>
        <w:tc>
          <w:tcPr>
            <w:tcW w:w="505" w:type="pct"/>
            <w:tcBorders>
              <w:top w:val="nil"/>
              <w:left w:val="single" w:sz="4" w:space="0" w:color="auto"/>
              <w:bottom w:val="single" w:sz="4" w:space="0" w:color="auto"/>
              <w:right w:val="single" w:sz="4" w:space="0" w:color="auto"/>
            </w:tcBorders>
            <w:vAlign w:val="center"/>
            <w:hideMark/>
          </w:tcPr>
          <w:p w14:paraId="505160D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Heat arbitrage</w:t>
            </w:r>
          </w:p>
        </w:tc>
        <w:tc>
          <w:tcPr>
            <w:tcW w:w="1018" w:type="pct"/>
            <w:tcBorders>
              <w:top w:val="nil"/>
              <w:left w:val="nil"/>
              <w:bottom w:val="single" w:sz="4" w:space="0" w:color="auto"/>
              <w:right w:val="single" w:sz="4" w:space="0" w:color="auto"/>
            </w:tcBorders>
            <w:vAlign w:val="center"/>
            <w:hideMark/>
          </w:tcPr>
          <w:p w14:paraId="5CFCD34C"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Purchase of electricity for heat production at a low price and sale of heat at a high price on the wholesale or retail market</w:t>
            </w:r>
          </w:p>
        </w:tc>
        <w:tc>
          <w:tcPr>
            <w:tcW w:w="299" w:type="pct"/>
            <w:tcBorders>
              <w:top w:val="nil"/>
              <w:left w:val="single" w:sz="4" w:space="0" w:color="auto"/>
              <w:bottom w:val="single" w:sz="4" w:space="0" w:color="auto"/>
              <w:right w:val="single" w:sz="4" w:space="0" w:color="auto"/>
            </w:tcBorders>
            <w:noWrap/>
            <w:vAlign w:val="center"/>
            <w:hideMark/>
          </w:tcPr>
          <w:p w14:paraId="6A42F77A"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11" w:type="pct"/>
            <w:tcBorders>
              <w:top w:val="nil"/>
              <w:left w:val="nil"/>
              <w:bottom w:val="single" w:sz="4" w:space="0" w:color="auto"/>
              <w:right w:val="single" w:sz="4" w:space="0" w:color="auto"/>
            </w:tcBorders>
            <w:noWrap/>
            <w:vAlign w:val="center"/>
            <w:hideMark/>
          </w:tcPr>
          <w:p w14:paraId="261D009A"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10" w:type="pct"/>
            <w:tcBorders>
              <w:top w:val="nil"/>
              <w:left w:val="nil"/>
              <w:bottom w:val="single" w:sz="4" w:space="0" w:color="auto"/>
              <w:right w:val="single" w:sz="4" w:space="0" w:color="auto"/>
            </w:tcBorders>
            <w:noWrap/>
            <w:vAlign w:val="center"/>
            <w:hideMark/>
          </w:tcPr>
          <w:p w14:paraId="41ACE26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1" w:type="pct"/>
            <w:tcBorders>
              <w:top w:val="nil"/>
              <w:left w:val="nil"/>
              <w:bottom w:val="single" w:sz="4" w:space="0" w:color="auto"/>
              <w:right w:val="single" w:sz="4" w:space="0" w:color="auto"/>
            </w:tcBorders>
            <w:noWrap/>
            <w:vAlign w:val="center"/>
            <w:hideMark/>
          </w:tcPr>
          <w:p w14:paraId="20761D5A"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6E50C54F"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6" w:type="pct"/>
            <w:tcBorders>
              <w:top w:val="nil"/>
              <w:left w:val="nil"/>
              <w:bottom w:val="single" w:sz="4" w:space="0" w:color="auto"/>
              <w:right w:val="single" w:sz="4" w:space="0" w:color="auto"/>
            </w:tcBorders>
            <w:noWrap/>
            <w:vAlign w:val="center"/>
            <w:hideMark/>
          </w:tcPr>
          <w:p w14:paraId="2BAE49B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99" w:type="pct"/>
            <w:tcBorders>
              <w:top w:val="nil"/>
              <w:left w:val="nil"/>
              <w:bottom w:val="single" w:sz="4" w:space="0" w:color="auto"/>
              <w:right w:val="single" w:sz="4" w:space="0" w:color="auto"/>
            </w:tcBorders>
            <w:noWrap/>
            <w:vAlign w:val="center"/>
            <w:hideMark/>
          </w:tcPr>
          <w:p w14:paraId="584E6EB5"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99" w:type="pct"/>
            <w:tcBorders>
              <w:top w:val="nil"/>
              <w:left w:val="nil"/>
              <w:bottom w:val="single" w:sz="4" w:space="0" w:color="auto"/>
              <w:right w:val="single" w:sz="4" w:space="0" w:color="auto"/>
            </w:tcBorders>
            <w:noWrap/>
            <w:vAlign w:val="center"/>
            <w:hideMark/>
          </w:tcPr>
          <w:p w14:paraId="53F9FA4F"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87" w:type="pct"/>
            <w:tcBorders>
              <w:top w:val="nil"/>
              <w:left w:val="nil"/>
              <w:bottom w:val="single" w:sz="4" w:space="0" w:color="auto"/>
              <w:right w:val="single" w:sz="4" w:space="0" w:color="auto"/>
            </w:tcBorders>
            <w:noWrap/>
            <w:vAlign w:val="center"/>
            <w:hideMark/>
          </w:tcPr>
          <w:p w14:paraId="3804796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5" w:type="pct"/>
            <w:tcBorders>
              <w:top w:val="nil"/>
              <w:left w:val="nil"/>
              <w:bottom w:val="single" w:sz="4" w:space="0" w:color="auto"/>
              <w:right w:val="single" w:sz="4" w:space="0" w:color="auto"/>
            </w:tcBorders>
            <w:noWrap/>
            <w:vAlign w:val="center"/>
            <w:hideMark/>
          </w:tcPr>
          <w:p w14:paraId="1EB20996"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9" w:type="pct"/>
            <w:tcBorders>
              <w:top w:val="nil"/>
              <w:left w:val="nil"/>
              <w:bottom w:val="single" w:sz="4" w:space="0" w:color="auto"/>
              <w:right w:val="single" w:sz="4" w:space="0" w:color="auto"/>
            </w:tcBorders>
            <w:noWrap/>
            <w:vAlign w:val="center"/>
            <w:hideMark/>
          </w:tcPr>
          <w:p w14:paraId="2F267691"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r>
      <w:tr w:rsidR="0027552C" w:rsidRPr="004F051F" w14:paraId="23253E4F" w14:textId="77777777" w:rsidTr="00433A36">
        <w:trPr>
          <w:trHeight w:val="1500"/>
        </w:trPr>
        <w:tc>
          <w:tcPr>
            <w:tcW w:w="505" w:type="pct"/>
            <w:tcBorders>
              <w:top w:val="nil"/>
              <w:left w:val="single" w:sz="4" w:space="0" w:color="auto"/>
              <w:bottom w:val="single" w:sz="4" w:space="0" w:color="auto"/>
              <w:right w:val="single" w:sz="4" w:space="0" w:color="auto"/>
            </w:tcBorders>
            <w:vAlign w:val="center"/>
            <w:hideMark/>
          </w:tcPr>
          <w:p w14:paraId="0A21C459"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Seasonal heat storage</w:t>
            </w:r>
            <w:r w:rsidRPr="004F051F">
              <w:rPr>
                <w:rFonts w:ascii="Times New Roman" w:eastAsia="Times New Roman" w:hAnsi="Times New Roman" w:cs="Times New Roman"/>
                <w:color w:val="000000"/>
              </w:rPr>
              <w:br/>
            </w:r>
          </w:p>
        </w:tc>
        <w:tc>
          <w:tcPr>
            <w:tcW w:w="1018" w:type="pct"/>
            <w:tcBorders>
              <w:top w:val="nil"/>
              <w:left w:val="nil"/>
              <w:bottom w:val="single" w:sz="4" w:space="0" w:color="auto"/>
              <w:right w:val="single" w:sz="4" w:space="0" w:color="auto"/>
            </w:tcBorders>
            <w:vAlign w:val="center"/>
            <w:hideMark/>
          </w:tcPr>
          <w:p w14:paraId="4C764440" w14:textId="77777777" w:rsidR="0027552C" w:rsidRPr="004F051F" w:rsidRDefault="0027552C" w:rsidP="00433A36">
            <w:pPr>
              <w:spacing w:after="0" w:line="240" w:lineRule="auto"/>
              <w:rPr>
                <w:rFonts w:ascii="Times New Roman" w:eastAsia="Times New Roman" w:hAnsi="Times New Roman" w:cs="Times New Roman"/>
                <w:color w:val="000000"/>
              </w:rPr>
            </w:pPr>
            <w:r w:rsidRPr="004F051F">
              <w:rPr>
                <w:rFonts w:ascii="Times New Roman" w:eastAsia="Times New Roman" w:hAnsi="Times New Roman" w:cs="Times New Roman"/>
                <w:color w:val="000000"/>
              </w:rPr>
              <w:t>Balancing the variability of seasonal electricity supplies that are used to produce heat resulting from heat demand and supply</w:t>
            </w:r>
          </w:p>
        </w:tc>
        <w:tc>
          <w:tcPr>
            <w:tcW w:w="299" w:type="pct"/>
            <w:tcBorders>
              <w:top w:val="nil"/>
              <w:left w:val="single" w:sz="4" w:space="0" w:color="auto"/>
              <w:bottom w:val="single" w:sz="4" w:space="0" w:color="auto"/>
              <w:right w:val="single" w:sz="4" w:space="0" w:color="auto"/>
            </w:tcBorders>
            <w:noWrap/>
            <w:vAlign w:val="center"/>
            <w:hideMark/>
          </w:tcPr>
          <w:p w14:paraId="702534BF"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11" w:type="pct"/>
            <w:tcBorders>
              <w:top w:val="nil"/>
              <w:left w:val="nil"/>
              <w:bottom w:val="single" w:sz="4" w:space="0" w:color="auto"/>
              <w:right w:val="single" w:sz="4" w:space="0" w:color="auto"/>
            </w:tcBorders>
            <w:noWrap/>
            <w:vAlign w:val="center"/>
            <w:hideMark/>
          </w:tcPr>
          <w:p w14:paraId="5E6579FF"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10" w:type="pct"/>
            <w:tcBorders>
              <w:top w:val="nil"/>
              <w:left w:val="nil"/>
              <w:bottom w:val="single" w:sz="4" w:space="0" w:color="auto"/>
              <w:right w:val="single" w:sz="4" w:space="0" w:color="auto"/>
            </w:tcBorders>
            <w:noWrap/>
            <w:vAlign w:val="center"/>
            <w:hideMark/>
          </w:tcPr>
          <w:p w14:paraId="76061A27"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1" w:type="pct"/>
            <w:tcBorders>
              <w:top w:val="nil"/>
              <w:left w:val="nil"/>
              <w:bottom w:val="single" w:sz="4" w:space="0" w:color="auto"/>
              <w:right w:val="single" w:sz="4" w:space="0" w:color="auto"/>
            </w:tcBorders>
            <w:noWrap/>
            <w:vAlign w:val="center"/>
            <w:hideMark/>
          </w:tcPr>
          <w:p w14:paraId="6326474C"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1" w:type="pct"/>
            <w:tcBorders>
              <w:top w:val="nil"/>
              <w:left w:val="nil"/>
              <w:bottom w:val="single" w:sz="4" w:space="0" w:color="auto"/>
              <w:right w:val="single" w:sz="4" w:space="0" w:color="auto"/>
            </w:tcBorders>
            <w:noWrap/>
            <w:vAlign w:val="center"/>
            <w:hideMark/>
          </w:tcPr>
          <w:p w14:paraId="4E8A15A3"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296" w:type="pct"/>
            <w:tcBorders>
              <w:top w:val="nil"/>
              <w:left w:val="nil"/>
              <w:bottom w:val="single" w:sz="4" w:space="0" w:color="auto"/>
              <w:right w:val="single" w:sz="4" w:space="0" w:color="auto"/>
            </w:tcBorders>
            <w:noWrap/>
            <w:vAlign w:val="center"/>
            <w:hideMark/>
          </w:tcPr>
          <w:p w14:paraId="226CDEB1"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99" w:type="pct"/>
            <w:tcBorders>
              <w:top w:val="nil"/>
              <w:left w:val="nil"/>
              <w:bottom w:val="single" w:sz="4" w:space="0" w:color="auto"/>
              <w:right w:val="single" w:sz="4" w:space="0" w:color="auto"/>
            </w:tcBorders>
            <w:noWrap/>
            <w:vAlign w:val="center"/>
            <w:hideMark/>
          </w:tcPr>
          <w:p w14:paraId="45A7E2EC"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99" w:type="pct"/>
            <w:tcBorders>
              <w:top w:val="nil"/>
              <w:left w:val="nil"/>
              <w:bottom w:val="single" w:sz="4" w:space="0" w:color="auto"/>
              <w:right w:val="single" w:sz="4" w:space="0" w:color="auto"/>
            </w:tcBorders>
            <w:noWrap/>
            <w:vAlign w:val="center"/>
            <w:hideMark/>
          </w:tcPr>
          <w:p w14:paraId="54B96188"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287" w:type="pct"/>
            <w:tcBorders>
              <w:top w:val="nil"/>
              <w:left w:val="nil"/>
              <w:bottom w:val="single" w:sz="4" w:space="0" w:color="auto"/>
              <w:right w:val="single" w:sz="4" w:space="0" w:color="auto"/>
            </w:tcBorders>
            <w:noWrap/>
            <w:vAlign w:val="center"/>
            <w:hideMark/>
          </w:tcPr>
          <w:p w14:paraId="66DF8A87"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4F051F">
              <w:rPr>
                <w:rFonts w:ascii="Times New Roman" w:eastAsia="Times New Roman" w:hAnsi="Times New Roman" w:cs="Times New Roman"/>
                <w:color w:val="000000"/>
              </w:rPr>
              <w:t>\</w:t>
            </w:r>
          </w:p>
        </w:tc>
        <w:tc>
          <w:tcPr>
            <w:tcW w:w="345" w:type="pct"/>
            <w:tcBorders>
              <w:top w:val="nil"/>
              <w:left w:val="nil"/>
              <w:bottom w:val="single" w:sz="4" w:space="0" w:color="auto"/>
              <w:right w:val="single" w:sz="4" w:space="0" w:color="auto"/>
            </w:tcBorders>
            <w:noWrap/>
            <w:vAlign w:val="center"/>
            <w:hideMark/>
          </w:tcPr>
          <w:p w14:paraId="28D23B01"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c>
          <w:tcPr>
            <w:tcW w:w="349" w:type="pct"/>
            <w:tcBorders>
              <w:top w:val="nil"/>
              <w:left w:val="nil"/>
              <w:bottom w:val="single" w:sz="4" w:space="0" w:color="auto"/>
              <w:right w:val="single" w:sz="4" w:space="0" w:color="auto"/>
            </w:tcBorders>
            <w:noWrap/>
            <w:vAlign w:val="center"/>
            <w:hideMark/>
          </w:tcPr>
          <w:p w14:paraId="242E66AA" w14:textId="77777777" w:rsidR="0027552C" w:rsidRPr="004F051F" w:rsidRDefault="0027552C" w:rsidP="00433A36">
            <w:pPr>
              <w:spacing w:after="0" w:line="240" w:lineRule="auto"/>
              <w:jc w:val="center"/>
              <w:rPr>
                <w:rFonts w:ascii="Times New Roman" w:eastAsia="Times New Roman" w:hAnsi="Times New Roman" w:cs="Times New Roman"/>
                <w:color w:val="000000"/>
              </w:rPr>
            </w:pPr>
            <w:r w:rsidRPr="00F8706F">
              <w:rPr>
                <w:rFonts w:ascii="Aptos Narrow" w:eastAsia="Times New Roman" w:hAnsi="Aptos Narrow" w:cs="Times New Roman"/>
                <w:color w:val="000000"/>
                <w:sz w:val="26"/>
                <w:szCs w:val="26"/>
              </w:rPr>
              <w:t>✓</w:t>
            </w:r>
          </w:p>
        </w:tc>
      </w:tr>
    </w:tbl>
    <w:p w14:paraId="66D4192A" w14:textId="77777777" w:rsidR="0027552C" w:rsidRPr="004F051F" w:rsidRDefault="0027552C" w:rsidP="0027552C">
      <w:pPr>
        <w:rPr>
          <w:rFonts w:ascii="Times New Roman" w:hAnsi="Times New Roman" w:cs="Times New Roman"/>
          <w:lang w:val="en-US"/>
        </w:rPr>
      </w:pPr>
    </w:p>
    <w:p w14:paraId="71D6507F" w14:textId="77777777" w:rsidR="0027552C" w:rsidRPr="004F051F" w:rsidRDefault="0027552C" w:rsidP="0027552C">
      <w:pPr>
        <w:rPr>
          <w:rFonts w:ascii="Times New Roman" w:hAnsi="Times New Roman" w:cs="Times New Roman"/>
          <w:lang w:val="en-US"/>
        </w:rPr>
      </w:pPr>
      <w:r w:rsidRPr="004F051F">
        <w:rPr>
          <w:rFonts w:ascii="Times New Roman" w:hAnsi="Times New Roman" w:cs="Times New Roman"/>
          <w:lang w:val="en-US"/>
        </w:rPr>
        <w:t>Notes:</w:t>
      </w:r>
    </w:p>
    <w:p w14:paraId="45DB1C16" w14:textId="583CDFFE" w:rsidR="0027552C" w:rsidRPr="004F051F" w:rsidRDefault="0027552C" w:rsidP="0027552C">
      <w:pPr>
        <w:pStyle w:val="ListParagraph"/>
        <w:numPr>
          <w:ilvl w:val="0"/>
          <w:numId w:val="2"/>
        </w:numPr>
        <w:rPr>
          <w:rFonts w:ascii="Times New Roman" w:hAnsi="Times New Roman" w:cs="Times New Roman"/>
          <w:lang w:val="en-US"/>
        </w:rPr>
      </w:pPr>
      <w:r w:rsidRPr="004F051F">
        <w:rPr>
          <w:rFonts w:ascii="Times New Roman" w:hAnsi="Times New Roman" w:cs="Times New Roman"/>
          <w:lang w:val="en-US"/>
        </w:rPr>
        <w:t xml:space="preserve">Energy time-shift service (sometimes called arbitrage) may provide a substantial part of the economic </w:t>
      </w:r>
      <w:proofErr w:type="gramStart"/>
      <w:r w:rsidRPr="004F051F">
        <w:rPr>
          <w:rFonts w:ascii="Times New Roman" w:hAnsi="Times New Roman" w:cs="Times New Roman"/>
          <w:lang w:val="en-US"/>
        </w:rPr>
        <w:t>benefits</w:t>
      </w:r>
      <w:proofErr w:type="gramEnd"/>
      <w:r w:rsidRPr="004F051F">
        <w:rPr>
          <w:rFonts w:ascii="Times New Roman" w:hAnsi="Times New Roman" w:cs="Times New Roman"/>
          <w:lang w:val="en-US"/>
        </w:rPr>
        <w:t xml:space="preserve">/revenues (net utility avoided production costs) of a storage project. Energy time-shift value will progressively increase over time, as a function of the portfolio </w:t>
      </w:r>
      <w:proofErr w:type="spellStart"/>
      <w:r w:rsidRPr="004F051F">
        <w:rPr>
          <w:rFonts w:ascii="Times New Roman" w:hAnsi="Times New Roman" w:cs="Times New Roman"/>
          <w:lang w:val="en-US"/>
        </w:rPr>
        <w:t>ofvariable</w:t>
      </w:r>
      <w:proofErr w:type="spellEnd"/>
      <w:r w:rsidRPr="004F051F">
        <w:rPr>
          <w:rFonts w:ascii="Times New Roman" w:hAnsi="Times New Roman" w:cs="Times New Roman"/>
          <w:lang w:val="en-US"/>
        </w:rPr>
        <w:t xml:space="preserve"> energy resources and other factors, such as natural gas prices and the implementation of carbon emissions policies</w:t>
      </w:r>
      <w:r w:rsidRPr="004F051F">
        <w:rPr>
          <w:rFonts w:ascii="Times New Roman" w:hAnsi="Times New Roman" w:cs="Times New Roman"/>
          <w:lang w:val="en-US"/>
        </w:rPr>
        <w:fldChar w:fldCharType="begin" w:fldLock="1"/>
      </w:r>
      <w:r w:rsidR="00404868">
        <w:rPr>
          <w:rFonts w:ascii="Times New Roman" w:hAnsi="Times New Roman" w:cs="Times New Roman"/>
          <w:lang w:val="en-US"/>
        </w:rPr>
        <w:instrText>ADDIN CSL_CITATION {"citationItems":[{"id":"ITEM-1","itemData":{"DOI":"10.3389/fenrg.2020.539752","ISSN":"2296598X","abstract":"Energy storage is a topic of increasing interest for purposes of decarbonization of the electric power system, and in particular for addressing integration of increasing quantities of variable energy resources, such as wind and solar PV. A growing focus of such assessment is the need for new long-duration storage, in addition to existing pumped storage hydropower. A limitation of much of the analysis on this topic to date has been limited consideration of how the economic value of long-duration storage will be affected by the large deployments of short-duration energy storage, primarily lithium-ion batteries, which are currently receiving state policy support (through mandates or financial incentives), or otherwise expected to enter the markets. This article reviews the literature on this topic, updates some simulation results, and helps advance the methodological questions which need to be addressed in subsequent simulation studies. The article examines each of the major components of potential long-duration storage value, including energy time-shift, different ancillary services, and resource adequacy (RA) capacity. It also draws attention to how state policies, resource planning methods, and market structure and regulatory factors can influence selection of different types of energy storage, whether short or long duration.","author":[{"dropping-particle":"","family":"Helman","given":"Udi","non-dropping-particle":"","parse-names":false,"suffix":""},{"dropping-particle":"","family":"Kaun","given":"Ben","non-dropping-particle":"","parse-names":false,"suffix":""},{"dropping-particle":"","family":"Stekli","given":"Joseph","non-dropping-particle":"","parse-names":false,"suffix":""}],"container-title":"Frontiers in Energy Research","id":"ITEM-1","issue":"November","issued":{"date-parts":[["2020"]]},"page":"1-15","title":"Development of Long-Duration Energy Storage Projects in Electric Power Systems in the United States: A Survey of Factors Which Are Shaping the Market","type":"article-journal","volume":"8"},"uris":["http://www.mendeley.com/documents/?uuid=f91ea9c9-223f-4376-8a6c-6e4b7fff7eb0"]}],"mendeley":{"formattedCitation":"&lt;sup&gt;22&lt;/sup&gt;","plainTextFormattedCitation":"22","previouslyFormattedCitation":"&lt;sup&gt;21&lt;/sup&gt;"},"properties":{"noteIndex":0},"schema":"https://github.com/citation-style-language/schema/raw/master/csl-citation.json"}</w:instrText>
      </w:r>
      <w:r w:rsidRPr="004F051F">
        <w:rPr>
          <w:rFonts w:ascii="Times New Roman" w:hAnsi="Times New Roman" w:cs="Times New Roman"/>
          <w:lang w:val="en-US"/>
        </w:rPr>
        <w:fldChar w:fldCharType="separate"/>
      </w:r>
      <w:r w:rsidR="00404868" w:rsidRPr="00404868">
        <w:rPr>
          <w:rFonts w:ascii="Times New Roman" w:hAnsi="Times New Roman" w:cs="Times New Roman"/>
          <w:noProof/>
          <w:vertAlign w:val="superscript"/>
          <w:lang w:val="en-US"/>
        </w:rPr>
        <w:t>22</w:t>
      </w:r>
      <w:r w:rsidRPr="004F051F">
        <w:rPr>
          <w:rFonts w:ascii="Times New Roman" w:hAnsi="Times New Roman" w:cs="Times New Roman"/>
          <w:lang w:val="en-US"/>
        </w:rPr>
        <w:fldChar w:fldCharType="end"/>
      </w:r>
      <w:r w:rsidRPr="004F051F">
        <w:rPr>
          <w:rFonts w:ascii="Times New Roman" w:hAnsi="Times New Roman" w:cs="Times New Roman"/>
          <w:lang w:val="en-US"/>
        </w:rPr>
        <w:t>.</w:t>
      </w:r>
    </w:p>
    <w:p w14:paraId="4FE8D807" w14:textId="77777777" w:rsidR="0027552C" w:rsidRPr="0027552C" w:rsidRDefault="0027552C" w:rsidP="0027552C">
      <w:pPr>
        <w:rPr>
          <w:rFonts w:ascii="Times New Roman" w:hAnsi="Times New Roman" w:cs="Times New Roman"/>
          <w:lang w:val="en-US"/>
        </w:rPr>
      </w:pPr>
    </w:p>
    <w:p w14:paraId="5F363999" w14:textId="77777777" w:rsidR="0027552C" w:rsidRDefault="0027552C">
      <w:pPr>
        <w:rPr>
          <w:rFonts w:ascii="Times New Roman" w:hAnsi="Times New Roman" w:cs="Times New Roman"/>
          <w:b/>
          <w:bCs/>
        </w:rPr>
      </w:pPr>
    </w:p>
    <w:p w14:paraId="17DDC671" w14:textId="77777777" w:rsidR="0027552C" w:rsidRDefault="0027552C">
      <w:pPr>
        <w:rPr>
          <w:rFonts w:ascii="Times New Roman" w:hAnsi="Times New Roman" w:cs="Times New Roman"/>
          <w:b/>
          <w:bCs/>
        </w:rPr>
      </w:pPr>
    </w:p>
    <w:p w14:paraId="2C354EE8" w14:textId="3FC52A2C" w:rsidR="001B53BD" w:rsidRPr="004F051F" w:rsidRDefault="00416F27">
      <w:pPr>
        <w:rPr>
          <w:rFonts w:ascii="Times New Roman" w:hAnsi="Times New Roman" w:cs="Times New Roman"/>
          <w:b/>
          <w:lang w:val="en-US"/>
        </w:rPr>
      </w:pPr>
      <w:r w:rsidRPr="004F051F">
        <w:rPr>
          <w:rFonts w:ascii="Times New Roman" w:hAnsi="Times New Roman" w:cs="Times New Roman"/>
          <w:b/>
          <w:lang w:val="en-US"/>
        </w:rPr>
        <w:t>References</w:t>
      </w:r>
    </w:p>
    <w:p w14:paraId="44FD71D0" w14:textId="20AE613C" w:rsidR="00404868" w:rsidRPr="00404868" w:rsidRDefault="001B53BD"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F051F">
        <w:rPr>
          <w:rFonts w:ascii="Times New Roman" w:hAnsi="Times New Roman" w:cs="Times New Roman"/>
        </w:rPr>
        <w:fldChar w:fldCharType="begin" w:fldLock="1"/>
      </w:r>
      <w:r w:rsidRPr="004F051F">
        <w:rPr>
          <w:rFonts w:ascii="Times New Roman" w:hAnsi="Times New Roman" w:cs="Times New Roman"/>
        </w:rPr>
        <w:instrText xml:space="preserve">ADDIN Mendeley Bibliography CSL_BIBLIOGRAPHY </w:instrText>
      </w:r>
      <w:r w:rsidRPr="004F051F">
        <w:rPr>
          <w:rFonts w:ascii="Times New Roman" w:hAnsi="Times New Roman" w:cs="Times New Roman"/>
        </w:rPr>
        <w:fldChar w:fldCharType="separate"/>
      </w:r>
      <w:r w:rsidR="00404868" w:rsidRPr="00404868">
        <w:rPr>
          <w:rFonts w:ascii="Times New Roman" w:hAnsi="Times New Roman" w:cs="Times New Roman"/>
          <w:noProof/>
          <w:kern w:val="0"/>
        </w:rPr>
        <w:t>1.</w:t>
      </w:r>
      <w:r w:rsidR="00404868" w:rsidRPr="00404868">
        <w:rPr>
          <w:rFonts w:ascii="Times New Roman" w:hAnsi="Times New Roman" w:cs="Times New Roman"/>
          <w:noProof/>
          <w:kern w:val="0"/>
        </w:rPr>
        <w:tab/>
        <w:t xml:space="preserve">Sepulveda NA, Jenkins JD, Edington A, Mallapragada DS, Lester RK. The design space for long-duration energy storage in decarbonized power systems. </w:t>
      </w:r>
      <w:r w:rsidR="00404868" w:rsidRPr="00404868">
        <w:rPr>
          <w:rFonts w:ascii="Times New Roman" w:hAnsi="Times New Roman" w:cs="Times New Roman"/>
          <w:i/>
          <w:iCs/>
          <w:noProof/>
          <w:kern w:val="0"/>
        </w:rPr>
        <w:t>Nat Energy</w:t>
      </w:r>
      <w:r w:rsidR="00404868" w:rsidRPr="00404868">
        <w:rPr>
          <w:rFonts w:ascii="Times New Roman" w:hAnsi="Times New Roman" w:cs="Times New Roman"/>
          <w:noProof/>
          <w:kern w:val="0"/>
        </w:rPr>
        <w:t>. 2021;6(5):506-516. doi:10.1038/s41560-021-00796-8</w:t>
      </w:r>
    </w:p>
    <w:p w14:paraId="4A041519"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2.</w:t>
      </w:r>
      <w:r w:rsidRPr="00404868">
        <w:rPr>
          <w:rFonts w:ascii="Times New Roman" w:hAnsi="Times New Roman" w:cs="Times New Roman"/>
          <w:noProof/>
          <w:kern w:val="0"/>
        </w:rPr>
        <w:tab/>
        <w:t xml:space="preserve">Mongird K, Viswanathan V, Alam J, Vartanian C, Sprenkle V, Northwest P. </w:t>
      </w:r>
      <w:r w:rsidRPr="00404868">
        <w:rPr>
          <w:rFonts w:ascii="Times New Roman" w:hAnsi="Times New Roman" w:cs="Times New Roman"/>
          <w:i/>
          <w:iCs/>
          <w:noProof/>
          <w:kern w:val="0"/>
        </w:rPr>
        <w:t>2020 Grid Energy Storage Technology Cost and Performance Assessment</w:t>
      </w:r>
      <w:r w:rsidRPr="00404868">
        <w:rPr>
          <w:rFonts w:ascii="Times New Roman" w:hAnsi="Times New Roman" w:cs="Times New Roman"/>
          <w:noProof/>
          <w:kern w:val="0"/>
        </w:rPr>
        <w:t>.; 2020.</w:t>
      </w:r>
    </w:p>
    <w:p w14:paraId="19AA4670"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3.</w:t>
      </w:r>
      <w:r w:rsidRPr="00404868">
        <w:rPr>
          <w:rFonts w:ascii="Times New Roman" w:hAnsi="Times New Roman" w:cs="Times New Roman"/>
          <w:noProof/>
          <w:kern w:val="0"/>
        </w:rPr>
        <w:tab/>
        <w:t xml:space="preserve">The Royal Society. </w:t>
      </w:r>
      <w:r w:rsidRPr="00404868">
        <w:rPr>
          <w:rFonts w:ascii="Times New Roman" w:hAnsi="Times New Roman" w:cs="Times New Roman"/>
          <w:i/>
          <w:iCs/>
          <w:noProof/>
          <w:kern w:val="0"/>
        </w:rPr>
        <w:t>Large-Scale Electricity Storage</w:t>
      </w:r>
      <w:r w:rsidRPr="00404868">
        <w:rPr>
          <w:rFonts w:ascii="Times New Roman" w:hAnsi="Times New Roman" w:cs="Times New Roman"/>
          <w:noProof/>
          <w:kern w:val="0"/>
        </w:rPr>
        <w:t>.; 2023. royalsociety.org/electricity-storage</w:t>
      </w:r>
    </w:p>
    <w:p w14:paraId="345CEECF"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4.</w:t>
      </w:r>
      <w:r w:rsidRPr="00404868">
        <w:rPr>
          <w:rFonts w:ascii="Times New Roman" w:hAnsi="Times New Roman" w:cs="Times New Roman"/>
          <w:noProof/>
          <w:kern w:val="0"/>
        </w:rPr>
        <w:tab/>
        <w:t xml:space="preserve">Liang T, Li Y, Nie B, Ahmad A, Ding Y. Achieving a net-zero-carbon energy system in the UK by 2050 with liquid air energy storage. </w:t>
      </w:r>
      <w:r w:rsidRPr="00404868">
        <w:rPr>
          <w:rFonts w:ascii="Times New Roman" w:hAnsi="Times New Roman" w:cs="Times New Roman"/>
          <w:i/>
          <w:iCs/>
          <w:noProof/>
          <w:kern w:val="0"/>
        </w:rPr>
        <w:t>Energy Convers Manag</w:t>
      </w:r>
      <w:r w:rsidRPr="00404868">
        <w:rPr>
          <w:rFonts w:ascii="Times New Roman" w:hAnsi="Times New Roman" w:cs="Times New Roman"/>
          <w:noProof/>
          <w:kern w:val="0"/>
        </w:rPr>
        <w:t>. 2025;327(January):119524. doi:10.1016/j.enconman.2025.119524</w:t>
      </w:r>
    </w:p>
    <w:p w14:paraId="6C4256E9"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5.</w:t>
      </w:r>
      <w:r w:rsidRPr="00404868">
        <w:rPr>
          <w:rFonts w:ascii="Times New Roman" w:hAnsi="Times New Roman" w:cs="Times New Roman"/>
          <w:noProof/>
          <w:kern w:val="0"/>
        </w:rPr>
        <w:tab/>
        <w:t xml:space="preserve">Vecchi A, Sciacovelli A. Long-duration thermo-mechanical energy storage – Present and future techno-economic competitiveness. </w:t>
      </w:r>
      <w:r w:rsidRPr="00404868">
        <w:rPr>
          <w:rFonts w:ascii="Times New Roman" w:hAnsi="Times New Roman" w:cs="Times New Roman"/>
          <w:i/>
          <w:iCs/>
          <w:noProof/>
          <w:kern w:val="0"/>
        </w:rPr>
        <w:t>Appl Energy</w:t>
      </w:r>
      <w:r w:rsidRPr="00404868">
        <w:rPr>
          <w:rFonts w:ascii="Times New Roman" w:hAnsi="Times New Roman" w:cs="Times New Roman"/>
          <w:noProof/>
          <w:kern w:val="0"/>
        </w:rPr>
        <w:t>. 2023;334(December 2022):120628. doi:10.1016/j.apenergy.2022.120628</w:t>
      </w:r>
    </w:p>
    <w:p w14:paraId="480D0F12"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6.</w:t>
      </w:r>
      <w:r w:rsidRPr="00404868">
        <w:rPr>
          <w:rFonts w:ascii="Times New Roman" w:hAnsi="Times New Roman" w:cs="Times New Roman"/>
          <w:noProof/>
          <w:kern w:val="0"/>
        </w:rPr>
        <w:tab/>
        <w:t xml:space="preserve">Jacob R, Hoffmann M, Weinand JM, Linßen J, Stolten D, Müller M. The future role of thermal energy storage in 100% renewable electricity systems. </w:t>
      </w:r>
      <w:r w:rsidRPr="00404868">
        <w:rPr>
          <w:rFonts w:ascii="Times New Roman" w:hAnsi="Times New Roman" w:cs="Times New Roman"/>
          <w:i/>
          <w:iCs/>
          <w:noProof/>
          <w:kern w:val="0"/>
        </w:rPr>
        <w:t>Renew Sustain Energy Transit</w:t>
      </w:r>
      <w:r w:rsidRPr="00404868">
        <w:rPr>
          <w:rFonts w:ascii="Times New Roman" w:hAnsi="Times New Roman" w:cs="Times New Roman"/>
          <w:noProof/>
          <w:kern w:val="0"/>
        </w:rPr>
        <w:t>. 2023;4(July). doi:10.1016/j.rset.2023.100059</w:t>
      </w:r>
    </w:p>
    <w:p w14:paraId="38080B11"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7.</w:t>
      </w:r>
      <w:r w:rsidRPr="00404868">
        <w:rPr>
          <w:rFonts w:ascii="Times New Roman" w:hAnsi="Times New Roman" w:cs="Times New Roman"/>
          <w:noProof/>
          <w:kern w:val="0"/>
        </w:rPr>
        <w:tab/>
        <w:t xml:space="preserve">Vecchi A, Knobloch K, Liang T, et al. Carnot Battery development: A review on system performance, applications and commercial state-of-the-art. </w:t>
      </w:r>
      <w:r w:rsidRPr="00404868">
        <w:rPr>
          <w:rFonts w:ascii="Times New Roman" w:hAnsi="Times New Roman" w:cs="Times New Roman"/>
          <w:i/>
          <w:iCs/>
          <w:noProof/>
          <w:kern w:val="0"/>
        </w:rPr>
        <w:t>J Energy Storage</w:t>
      </w:r>
      <w:r w:rsidRPr="00404868">
        <w:rPr>
          <w:rFonts w:ascii="Times New Roman" w:hAnsi="Times New Roman" w:cs="Times New Roman"/>
          <w:noProof/>
          <w:kern w:val="0"/>
        </w:rPr>
        <w:t>. 2022;55(PD):105782. doi:10.1016/j.est.2022.105782</w:t>
      </w:r>
    </w:p>
    <w:p w14:paraId="279D69BD"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8.</w:t>
      </w:r>
      <w:r w:rsidRPr="00404868">
        <w:rPr>
          <w:rFonts w:ascii="Times New Roman" w:hAnsi="Times New Roman" w:cs="Times New Roman"/>
          <w:noProof/>
          <w:kern w:val="0"/>
        </w:rPr>
        <w:tab/>
        <w:t>Mctigue J, Farres-Antunez P, White A. Crescent Dunes Solar Energy Facility, USA Pumped thermal energy storage: thermodynamics and economics. Published online 2019.</w:t>
      </w:r>
    </w:p>
    <w:p w14:paraId="5CEE33FA"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9.</w:t>
      </w:r>
      <w:r w:rsidRPr="00404868">
        <w:rPr>
          <w:rFonts w:ascii="Times New Roman" w:hAnsi="Times New Roman" w:cs="Times New Roman"/>
          <w:noProof/>
          <w:kern w:val="0"/>
        </w:rPr>
        <w:tab/>
        <w:t xml:space="preserve">Sun L, Tang B, Xie Y. Performance assessment of two compressed and liquid carbon dioxide energy storage systems: Thermodynamic, exergoeconomic analysis and multi-objective optimization. </w:t>
      </w:r>
      <w:r w:rsidRPr="00404868">
        <w:rPr>
          <w:rFonts w:ascii="Times New Roman" w:hAnsi="Times New Roman" w:cs="Times New Roman"/>
          <w:i/>
          <w:iCs/>
          <w:noProof/>
          <w:kern w:val="0"/>
        </w:rPr>
        <w:t>Energy</w:t>
      </w:r>
      <w:r w:rsidRPr="00404868">
        <w:rPr>
          <w:rFonts w:ascii="Times New Roman" w:hAnsi="Times New Roman" w:cs="Times New Roman"/>
          <w:noProof/>
          <w:kern w:val="0"/>
        </w:rPr>
        <w:t>. 2022;256:124648. doi:10.1016/j.energy.2022.124648</w:t>
      </w:r>
    </w:p>
    <w:p w14:paraId="394CE021"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10.</w:t>
      </w:r>
      <w:r w:rsidRPr="00404868">
        <w:rPr>
          <w:rFonts w:ascii="Times New Roman" w:hAnsi="Times New Roman" w:cs="Times New Roman"/>
          <w:noProof/>
          <w:kern w:val="0"/>
        </w:rPr>
        <w:tab/>
        <w:t xml:space="preserve">Guccione S, Guedez R. Techno-economic analysis of power-to-heat-to-power plants: Mapping optimal combinations of thermal energy storage and power cycles. </w:t>
      </w:r>
      <w:r w:rsidRPr="00404868">
        <w:rPr>
          <w:rFonts w:ascii="Times New Roman" w:hAnsi="Times New Roman" w:cs="Times New Roman"/>
          <w:i/>
          <w:iCs/>
          <w:noProof/>
          <w:kern w:val="0"/>
        </w:rPr>
        <w:t>Energy</w:t>
      </w:r>
      <w:r w:rsidRPr="00404868">
        <w:rPr>
          <w:rFonts w:ascii="Times New Roman" w:hAnsi="Times New Roman" w:cs="Times New Roman"/>
          <w:noProof/>
          <w:kern w:val="0"/>
        </w:rPr>
        <w:t>. 2024;312(February):133500. doi:10.1016/j.energy.2024.133500</w:t>
      </w:r>
    </w:p>
    <w:p w14:paraId="553F1174"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11.</w:t>
      </w:r>
      <w:r w:rsidRPr="00404868">
        <w:rPr>
          <w:rFonts w:ascii="Times New Roman" w:hAnsi="Times New Roman" w:cs="Times New Roman"/>
          <w:noProof/>
          <w:kern w:val="0"/>
        </w:rPr>
        <w:tab/>
        <w:t xml:space="preserve">Belik S. Techno-economic evaluation of a Brayton battery configuration with power-to-heat extension. </w:t>
      </w:r>
      <w:r w:rsidRPr="00404868">
        <w:rPr>
          <w:rFonts w:ascii="Times New Roman" w:hAnsi="Times New Roman" w:cs="Times New Roman"/>
          <w:i/>
          <w:iCs/>
          <w:noProof/>
          <w:kern w:val="0"/>
        </w:rPr>
        <w:t>J Energy Storage</w:t>
      </w:r>
      <w:r w:rsidRPr="00404868">
        <w:rPr>
          <w:rFonts w:ascii="Times New Roman" w:hAnsi="Times New Roman" w:cs="Times New Roman"/>
          <w:noProof/>
          <w:kern w:val="0"/>
        </w:rPr>
        <w:t>. 2023;68(June 2022):107416. doi:10.1016/j.est.2023.107416</w:t>
      </w:r>
    </w:p>
    <w:p w14:paraId="6F8D6335"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lastRenderedPageBreak/>
        <w:t>12.</w:t>
      </w:r>
      <w:r w:rsidRPr="00404868">
        <w:rPr>
          <w:rFonts w:ascii="Times New Roman" w:hAnsi="Times New Roman" w:cs="Times New Roman"/>
          <w:noProof/>
          <w:kern w:val="0"/>
        </w:rPr>
        <w:tab/>
        <w:t xml:space="preserve">McPherson M, Johnson N, Strubegger M. The role of electricity storage and hydrogen technologies in enabling global low-carbon energy transitions. </w:t>
      </w:r>
      <w:r w:rsidRPr="00404868">
        <w:rPr>
          <w:rFonts w:ascii="Times New Roman" w:hAnsi="Times New Roman" w:cs="Times New Roman"/>
          <w:i/>
          <w:iCs/>
          <w:noProof/>
          <w:kern w:val="0"/>
        </w:rPr>
        <w:t>Appl Energy</w:t>
      </w:r>
      <w:r w:rsidRPr="00404868">
        <w:rPr>
          <w:rFonts w:ascii="Times New Roman" w:hAnsi="Times New Roman" w:cs="Times New Roman"/>
          <w:noProof/>
          <w:kern w:val="0"/>
        </w:rPr>
        <w:t>. 2018;216(December 2017):649-661. doi:10.1016/j.apenergy.2018.02.110</w:t>
      </w:r>
    </w:p>
    <w:p w14:paraId="1E23E0D1"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13.</w:t>
      </w:r>
      <w:r w:rsidRPr="00404868">
        <w:rPr>
          <w:rFonts w:ascii="Times New Roman" w:hAnsi="Times New Roman" w:cs="Times New Roman"/>
          <w:noProof/>
          <w:kern w:val="0"/>
        </w:rPr>
        <w:tab/>
        <w:t xml:space="preserve">Smith CL. </w:t>
      </w:r>
      <w:r w:rsidRPr="00404868">
        <w:rPr>
          <w:rFonts w:ascii="Times New Roman" w:hAnsi="Times New Roman" w:cs="Times New Roman"/>
          <w:i/>
          <w:iCs/>
          <w:noProof/>
          <w:kern w:val="0"/>
        </w:rPr>
        <w:t>Large-Scale Electricity Storage Policy Briefing</w:t>
      </w:r>
      <w:r w:rsidRPr="00404868">
        <w:rPr>
          <w:rFonts w:ascii="Times New Roman" w:hAnsi="Times New Roman" w:cs="Times New Roman"/>
          <w:noProof/>
          <w:kern w:val="0"/>
        </w:rPr>
        <w:t>.; 2023. https://royalsociety.org/-/media/policy/projects/large-scale-electricity-storage/Large-scale-electricity-storage-policy-briefing.pdf</w:t>
      </w:r>
    </w:p>
    <w:p w14:paraId="61746F71"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14.</w:t>
      </w:r>
      <w:r w:rsidRPr="00404868">
        <w:rPr>
          <w:rFonts w:ascii="Times New Roman" w:hAnsi="Times New Roman" w:cs="Times New Roman"/>
          <w:noProof/>
          <w:kern w:val="0"/>
        </w:rPr>
        <w:tab/>
        <w:t xml:space="preserve">Shamsi SSM, Barberis S, Maccarini S, Traverso A. Large scale energy storage systems based on carbon dioxide thermal cycles: A critical review. </w:t>
      </w:r>
      <w:r w:rsidRPr="00404868">
        <w:rPr>
          <w:rFonts w:ascii="Times New Roman" w:hAnsi="Times New Roman" w:cs="Times New Roman"/>
          <w:i/>
          <w:iCs/>
          <w:noProof/>
          <w:kern w:val="0"/>
        </w:rPr>
        <w:t>Renew Sustain Energy Rev</w:t>
      </w:r>
      <w:r w:rsidRPr="00404868">
        <w:rPr>
          <w:rFonts w:ascii="Times New Roman" w:hAnsi="Times New Roman" w:cs="Times New Roman"/>
          <w:noProof/>
          <w:kern w:val="0"/>
        </w:rPr>
        <w:t>. 2024;192(June 2023):114245. doi:10.1016/j.rser.2023.114245</w:t>
      </w:r>
    </w:p>
    <w:p w14:paraId="4AE420C3"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15.</w:t>
      </w:r>
      <w:r w:rsidRPr="00404868">
        <w:rPr>
          <w:rFonts w:ascii="Times New Roman" w:hAnsi="Times New Roman" w:cs="Times New Roman"/>
          <w:noProof/>
          <w:kern w:val="0"/>
        </w:rPr>
        <w:tab/>
        <w:t xml:space="preserve">Vallese L, Javadi H, Badenes B, et al. A comprehensive review of thermal energy storage technologies and their applications: Creation of a database. </w:t>
      </w:r>
      <w:r w:rsidRPr="00404868">
        <w:rPr>
          <w:rFonts w:ascii="Times New Roman" w:hAnsi="Times New Roman" w:cs="Times New Roman"/>
          <w:i/>
          <w:iCs/>
          <w:noProof/>
          <w:kern w:val="0"/>
        </w:rPr>
        <w:t>Renew Sustain Energy Rev</w:t>
      </w:r>
      <w:r w:rsidRPr="00404868">
        <w:rPr>
          <w:rFonts w:ascii="Times New Roman" w:hAnsi="Times New Roman" w:cs="Times New Roman"/>
          <w:noProof/>
          <w:kern w:val="0"/>
        </w:rPr>
        <w:t>. 2026;225(June 2025). doi:10.1016/j.rser.2025.116133</w:t>
      </w:r>
    </w:p>
    <w:p w14:paraId="2CC9A318"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16.</w:t>
      </w:r>
      <w:r w:rsidRPr="00404868">
        <w:rPr>
          <w:rFonts w:ascii="Times New Roman" w:hAnsi="Times New Roman" w:cs="Times New Roman"/>
          <w:noProof/>
          <w:kern w:val="0"/>
        </w:rPr>
        <w:tab/>
        <w:t xml:space="preserve">Zakeri B, Syri S. Electrical energy storage systems: A comparative life cycle cost analysis. </w:t>
      </w:r>
      <w:r w:rsidRPr="00404868">
        <w:rPr>
          <w:rFonts w:ascii="Times New Roman" w:hAnsi="Times New Roman" w:cs="Times New Roman"/>
          <w:i/>
          <w:iCs/>
          <w:noProof/>
          <w:kern w:val="0"/>
        </w:rPr>
        <w:t>Renew Sustain Energy Rev</w:t>
      </w:r>
      <w:r w:rsidRPr="00404868">
        <w:rPr>
          <w:rFonts w:ascii="Times New Roman" w:hAnsi="Times New Roman" w:cs="Times New Roman"/>
          <w:noProof/>
          <w:kern w:val="0"/>
        </w:rPr>
        <w:t>. 2015;42:569-596. doi:10.1016/j.rser.2014.10.011</w:t>
      </w:r>
    </w:p>
    <w:p w14:paraId="4E82A9C8"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17.</w:t>
      </w:r>
      <w:r w:rsidRPr="00404868">
        <w:rPr>
          <w:rFonts w:ascii="Times New Roman" w:hAnsi="Times New Roman" w:cs="Times New Roman"/>
          <w:noProof/>
          <w:kern w:val="0"/>
        </w:rPr>
        <w:tab/>
        <w:t xml:space="preserve">Koohi-Fayegh S, Rosen MA. A review of energy storage types, applications and recent developments. </w:t>
      </w:r>
      <w:r w:rsidRPr="00404868">
        <w:rPr>
          <w:rFonts w:ascii="Times New Roman" w:hAnsi="Times New Roman" w:cs="Times New Roman"/>
          <w:i/>
          <w:iCs/>
          <w:noProof/>
          <w:kern w:val="0"/>
        </w:rPr>
        <w:t>J Energy Storage</w:t>
      </w:r>
      <w:r w:rsidRPr="00404868">
        <w:rPr>
          <w:rFonts w:ascii="Times New Roman" w:hAnsi="Times New Roman" w:cs="Times New Roman"/>
          <w:noProof/>
          <w:kern w:val="0"/>
        </w:rPr>
        <w:t>. 2020;27:101047. doi:10.1016/j.est.2019.101047</w:t>
      </w:r>
    </w:p>
    <w:p w14:paraId="05B8443D"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18.</w:t>
      </w:r>
      <w:r w:rsidRPr="00404868">
        <w:rPr>
          <w:rFonts w:ascii="Times New Roman" w:hAnsi="Times New Roman" w:cs="Times New Roman"/>
          <w:noProof/>
          <w:kern w:val="0"/>
        </w:rPr>
        <w:tab/>
        <w:t xml:space="preserve">Blanco H, Faaij A. A review at the role of storage in energy systems with a focus on Power to Gas and long-term storage. </w:t>
      </w:r>
      <w:r w:rsidRPr="00404868">
        <w:rPr>
          <w:rFonts w:ascii="Times New Roman" w:hAnsi="Times New Roman" w:cs="Times New Roman"/>
          <w:i/>
          <w:iCs/>
          <w:noProof/>
          <w:kern w:val="0"/>
        </w:rPr>
        <w:t>Renew Sustain Energy Rev</w:t>
      </w:r>
      <w:r w:rsidRPr="00404868">
        <w:rPr>
          <w:rFonts w:ascii="Times New Roman" w:hAnsi="Times New Roman" w:cs="Times New Roman"/>
          <w:noProof/>
          <w:kern w:val="0"/>
        </w:rPr>
        <w:t>. 2018;81(May 2017):1049-1086. doi:10.1016/j.rser.2017.07.062</w:t>
      </w:r>
    </w:p>
    <w:p w14:paraId="091E7ED4"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19.</w:t>
      </w:r>
      <w:r w:rsidRPr="00404868">
        <w:rPr>
          <w:rFonts w:ascii="Times New Roman" w:hAnsi="Times New Roman" w:cs="Times New Roman"/>
          <w:noProof/>
          <w:kern w:val="0"/>
        </w:rPr>
        <w:tab/>
        <w:t xml:space="preserve">Mongird K, Viswanathan V, Balducci P, et al. Energy Storage Technology and Cost Characterization Report | Department of Energy. </w:t>
      </w:r>
      <w:r w:rsidRPr="00404868">
        <w:rPr>
          <w:rFonts w:ascii="Times New Roman" w:hAnsi="Times New Roman" w:cs="Times New Roman"/>
          <w:i/>
          <w:iCs/>
          <w:noProof/>
          <w:kern w:val="0"/>
        </w:rPr>
        <w:t>US Dep Energy</w:t>
      </w:r>
      <w:r w:rsidRPr="00404868">
        <w:rPr>
          <w:rFonts w:ascii="Times New Roman" w:hAnsi="Times New Roman" w:cs="Times New Roman"/>
          <w:noProof/>
          <w:kern w:val="0"/>
        </w:rPr>
        <w:t>. 2019;(July):1-120. https://www.energy.gov/eere/water/downloads/energy-storage-technology-and-cost-characterization-report</w:t>
      </w:r>
    </w:p>
    <w:p w14:paraId="71F43400"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20.</w:t>
      </w:r>
      <w:r w:rsidRPr="00404868">
        <w:rPr>
          <w:rFonts w:ascii="Times New Roman" w:hAnsi="Times New Roman" w:cs="Times New Roman"/>
          <w:noProof/>
          <w:kern w:val="0"/>
        </w:rPr>
        <w:tab/>
        <w:t xml:space="preserve">McTigue J, Farres-Antunez P, Ellingwood K, Neises T, White A. Pumped thermal electricity storage with supercritical CO2 cycles and solar heat input. </w:t>
      </w:r>
      <w:r w:rsidRPr="00404868">
        <w:rPr>
          <w:rFonts w:ascii="Times New Roman" w:hAnsi="Times New Roman" w:cs="Times New Roman"/>
          <w:i/>
          <w:iCs/>
          <w:noProof/>
          <w:kern w:val="0"/>
        </w:rPr>
        <w:t>Vii Int Young Res Conf – Physics, Technol Innov</w:t>
      </w:r>
      <w:r w:rsidRPr="00404868">
        <w:rPr>
          <w:rFonts w:ascii="Times New Roman" w:hAnsi="Times New Roman" w:cs="Times New Roman"/>
          <w:noProof/>
          <w:kern w:val="0"/>
        </w:rPr>
        <w:t>. 2020;2313(September):190024. doi:10.1063/5.0032337</w:t>
      </w:r>
    </w:p>
    <w:p w14:paraId="407BCB8D"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kern w:val="0"/>
        </w:rPr>
      </w:pPr>
      <w:r w:rsidRPr="00404868">
        <w:rPr>
          <w:rFonts w:ascii="Times New Roman" w:hAnsi="Times New Roman" w:cs="Times New Roman"/>
          <w:noProof/>
          <w:kern w:val="0"/>
        </w:rPr>
        <w:t>21.</w:t>
      </w:r>
      <w:r w:rsidRPr="00404868">
        <w:rPr>
          <w:rFonts w:ascii="Times New Roman" w:hAnsi="Times New Roman" w:cs="Times New Roman"/>
          <w:noProof/>
          <w:kern w:val="0"/>
        </w:rPr>
        <w:tab/>
        <w:t xml:space="preserve">Zhang Y, Johansson P, Kalagasidis AS. Techno-economic assessment of thermal energy storage technologies for demand-side management in low-temperature individual heating systems. </w:t>
      </w:r>
      <w:r w:rsidRPr="00404868">
        <w:rPr>
          <w:rFonts w:ascii="Times New Roman" w:hAnsi="Times New Roman" w:cs="Times New Roman"/>
          <w:i/>
          <w:iCs/>
          <w:noProof/>
          <w:kern w:val="0"/>
        </w:rPr>
        <w:t>Energy</w:t>
      </w:r>
      <w:r w:rsidRPr="00404868">
        <w:rPr>
          <w:rFonts w:ascii="Times New Roman" w:hAnsi="Times New Roman" w:cs="Times New Roman"/>
          <w:noProof/>
          <w:kern w:val="0"/>
        </w:rPr>
        <w:t>. 2021;236. doi:10.1016/j.energy.2021.121496</w:t>
      </w:r>
    </w:p>
    <w:p w14:paraId="683CBB42" w14:textId="77777777" w:rsidR="00404868" w:rsidRPr="00404868" w:rsidRDefault="00404868" w:rsidP="00404868">
      <w:pPr>
        <w:widowControl w:val="0"/>
        <w:autoSpaceDE w:val="0"/>
        <w:autoSpaceDN w:val="0"/>
        <w:adjustRightInd w:val="0"/>
        <w:spacing w:line="240" w:lineRule="auto"/>
        <w:ind w:left="640" w:hanging="640"/>
        <w:rPr>
          <w:rFonts w:ascii="Times New Roman" w:hAnsi="Times New Roman" w:cs="Times New Roman"/>
          <w:noProof/>
        </w:rPr>
      </w:pPr>
      <w:r w:rsidRPr="00404868">
        <w:rPr>
          <w:rFonts w:ascii="Times New Roman" w:hAnsi="Times New Roman" w:cs="Times New Roman"/>
          <w:noProof/>
          <w:kern w:val="0"/>
        </w:rPr>
        <w:t>22.</w:t>
      </w:r>
      <w:r w:rsidRPr="00404868">
        <w:rPr>
          <w:rFonts w:ascii="Times New Roman" w:hAnsi="Times New Roman" w:cs="Times New Roman"/>
          <w:noProof/>
          <w:kern w:val="0"/>
        </w:rPr>
        <w:tab/>
        <w:t xml:space="preserve">Helman U, Kaun B, Stekli J. Development of Long-Duration Energy Storage Projects in Electric Power Systems in the United States: A Survey of Factors Which Are Shaping the Market. </w:t>
      </w:r>
      <w:r w:rsidRPr="00404868">
        <w:rPr>
          <w:rFonts w:ascii="Times New Roman" w:hAnsi="Times New Roman" w:cs="Times New Roman"/>
          <w:i/>
          <w:iCs/>
          <w:noProof/>
          <w:kern w:val="0"/>
        </w:rPr>
        <w:t>Front Energy Res</w:t>
      </w:r>
      <w:r w:rsidRPr="00404868">
        <w:rPr>
          <w:rFonts w:ascii="Times New Roman" w:hAnsi="Times New Roman" w:cs="Times New Roman"/>
          <w:noProof/>
          <w:kern w:val="0"/>
        </w:rPr>
        <w:t>. 2020;8(November):1-15. doi:10.3389/fenrg.2020.539752</w:t>
      </w:r>
    </w:p>
    <w:p w14:paraId="1B9BA51F" w14:textId="77777777" w:rsidR="00BB798E" w:rsidRDefault="001B53BD">
      <w:pPr>
        <w:rPr>
          <w:rFonts w:ascii="Times New Roman" w:hAnsi="Times New Roman" w:cs="Times New Roman"/>
        </w:rPr>
        <w:sectPr w:rsidR="00BB798E" w:rsidSect="009933E7">
          <w:pgSz w:w="16838" w:h="11906" w:orient="landscape"/>
          <w:pgMar w:top="1440" w:right="1440" w:bottom="1440" w:left="1440" w:header="708" w:footer="708" w:gutter="0"/>
          <w:cols w:space="708"/>
          <w:docGrid w:linePitch="360"/>
        </w:sectPr>
      </w:pPr>
      <w:r w:rsidRPr="004F051F">
        <w:rPr>
          <w:rFonts w:ascii="Times New Roman" w:hAnsi="Times New Roman" w:cs="Times New Roman"/>
        </w:rPr>
        <w:fldChar w:fldCharType="end"/>
      </w:r>
    </w:p>
    <w:p w14:paraId="68B346D2" w14:textId="77777777" w:rsidR="00A35518" w:rsidRPr="004F051F" w:rsidRDefault="00A35518" w:rsidP="0088635A">
      <w:pPr>
        <w:rPr>
          <w:rFonts w:ascii="Times New Roman" w:eastAsia="DengXian" w:hAnsi="Times New Roman" w:cs="Times New Roman"/>
          <w:b/>
        </w:rPr>
      </w:pPr>
    </w:p>
    <w:p w14:paraId="17B22F44" w14:textId="1A886140" w:rsidR="0088635A" w:rsidRPr="004F051F" w:rsidRDefault="0088635A" w:rsidP="0088635A">
      <w:pPr>
        <w:rPr>
          <w:rFonts w:ascii="Times New Roman" w:hAnsi="Times New Roman" w:cs="Times New Roman"/>
          <w:b/>
          <w:lang w:val="en-US"/>
        </w:rPr>
      </w:pPr>
      <w:r w:rsidRPr="004F051F">
        <w:rPr>
          <w:rFonts w:ascii="Times New Roman" w:hAnsi="Times New Roman" w:cs="Times New Roman"/>
          <w:b/>
          <w:lang w:val="en-US"/>
        </w:rPr>
        <w:t>References</w:t>
      </w:r>
      <w:r w:rsidR="0027552C">
        <w:rPr>
          <w:rFonts w:ascii="Times New Roman" w:hAnsi="Times New Roman" w:cs="Times New Roman" w:hint="eastAsia"/>
          <w:b/>
          <w:lang w:val="en-US"/>
        </w:rPr>
        <w:t xml:space="preserve"> for Table 2</w:t>
      </w:r>
    </w:p>
    <w:p w14:paraId="29CC05DE" w14:textId="77777777" w:rsidR="0088635A" w:rsidRPr="004F051F" w:rsidRDefault="0088635A" w:rsidP="0088635A">
      <w:pPr>
        <w:rPr>
          <w:rFonts w:ascii="Times New Roman" w:hAnsi="Times New Roman" w:cs="Times New Roman"/>
          <w:lang w:val="en-US"/>
        </w:rPr>
      </w:pPr>
      <w:r w:rsidRPr="004F051F">
        <w:rPr>
          <w:rFonts w:ascii="Times New Roman" w:hAnsi="Times New Roman" w:cs="Times New Roman"/>
          <w:lang w:val="en-US"/>
        </w:rPr>
        <w:t xml:space="preserve">[1] International Electrochemical Commission (IEC). White paper report: electrical energy storage. 2011. </w:t>
      </w:r>
      <w:hyperlink r:id="rId6" w:history="1">
        <w:r w:rsidRPr="004F051F">
          <w:rPr>
            <w:rStyle w:val="Hyperlink"/>
            <w:rFonts w:ascii="Times New Roman" w:hAnsi="Times New Roman" w:cs="Times New Roman"/>
            <w:lang w:val="en-US"/>
          </w:rPr>
          <w:t>http://www.iec.ch/whitepaper/pdf/iecWP-energystorage-LR-en.pdf. Accessed in May 2019</w:t>
        </w:r>
      </w:hyperlink>
      <w:r w:rsidRPr="004F051F">
        <w:rPr>
          <w:rFonts w:ascii="Times New Roman" w:hAnsi="Times New Roman" w:cs="Times New Roman"/>
          <w:lang w:val="en-US"/>
        </w:rPr>
        <w:t>.</w:t>
      </w:r>
    </w:p>
    <w:p w14:paraId="1309EF0A" w14:textId="77777777" w:rsidR="0088635A" w:rsidRPr="004F051F" w:rsidRDefault="0088635A" w:rsidP="0088635A">
      <w:pPr>
        <w:rPr>
          <w:rFonts w:ascii="Times New Roman" w:hAnsi="Times New Roman" w:cs="Times New Roman"/>
          <w:lang w:val="en-US"/>
        </w:rPr>
      </w:pPr>
      <w:r w:rsidRPr="004F051F">
        <w:rPr>
          <w:rFonts w:ascii="Times New Roman" w:hAnsi="Times New Roman" w:cs="Times New Roman"/>
          <w:lang w:val="en-US"/>
        </w:rPr>
        <w:t xml:space="preserve">[2] A. </w:t>
      </w:r>
      <w:proofErr w:type="spellStart"/>
      <w:r w:rsidRPr="004F051F">
        <w:rPr>
          <w:rFonts w:ascii="Times New Roman" w:hAnsi="Times New Roman" w:cs="Times New Roman"/>
          <w:lang w:val="en-US"/>
        </w:rPr>
        <w:t>Sabihuddin</w:t>
      </w:r>
      <w:proofErr w:type="spellEnd"/>
      <w:r w:rsidRPr="004F051F">
        <w:rPr>
          <w:rFonts w:ascii="Times New Roman" w:hAnsi="Times New Roman" w:cs="Times New Roman"/>
          <w:lang w:val="en-US"/>
        </w:rPr>
        <w:t>, A.E. Kiprakis, M. Mueller, A numerical and graphical review of energy storage technologies, Energies 8 (2015) 172–216.</w:t>
      </w:r>
    </w:p>
    <w:p w14:paraId="7F2420DB" w14:textId="77777777" w:rsidR="0088635A" w:rsidRPr="004F051F" w:rsidRDefault="0088635A" w:rsidP="0088635A">
      <w:pPr>
        <w:rPr>
          <w:rFonts w:ascii="Times New Roman" w:hAnsi="Times New Roman" w:cs="Times New Roman"/>
          <w:lang w:val="en-US"/>
        </w:rPr>
      </w:pPr>
      <w:r w:rsidRPr="004F051F">
        <w:rPr>
          <w:rFonts w:ascii="Times New Roman" w:hAnsi="Times New Roman" w:cs="Times New Roman"/>
          <w:lang w:val="en-US"/>
        </w:rPr>
        <w:t xml:space="preserve">[3] International Energy Agency (IEA). Technology roadmap: energy storage. 2014. </w:t>
      </w:r>
      <w:hyperlink r:id="rId7" w:history="1">
        <w:r w:rsidRPr="004F051F">
          <w:rPr>
            <w:rStyle w:val="Hyperlink"/>
            <w:rFonts w:ascii="Times New Roman" w:hAnsi="Times New Roman" w:cs="Times New Roman"/>
            <w:lang w:val="en-US"/>
          </w:rPr>
          <w:t>https://www.iea.org/publications/freepublications/publication/TechnologyRoadmapEnergystorage.pdf</w:t>
        </w:r>
      </w:hyperlink>
      <w:r w:rsidRPr="004F051F">
        <w:rPr>
          <w:rFonts w:ascii="Times New Roman" w:hAnsi="Times New Roman" w:cs="Times New Roman"/>
          <w:lang w:val="en-US"/>
        </w:rPr>
        <w:t>. Accessed in May 2019.</w:t>
      </w:r>
    </w:p>
    <w:p w14:paraId="280D63AD" w14:textId="77777777" w:rsidR="0088635A" w:rsidRPr="004F051F" w:rsidRDefault="0088635A" w:rsidP="0088635A">
      <w:pPr>
        <w:rPr>
          <w:rFonts w:ascii="Times New Roman" w:hAnsi="Times New Roman" w:cs="Times New Roman"/>
          <w:lang w:val="en-US"/>
        </w:rPr>
      </w:pPr>
      <w:r w:rsidRPr="004F051F">
        <w:rPr>
          <w:rFonts w:ascii="Times New Roman" w:hAnsi="Times New Roman" w:cs="Times New Roman"/>
          <w:lang w:val="en-US"/>
        </w:rPr>
        <w:t>[4] H. Chen, T.N. Cong, W. Yang, C. Tan, Y. Li, Y. Ding, Progress in electrical energy storage system: a critical review, Progress Nat. Sci. 19 (3) (2009) 291–312.</w:t>
      </w:r>
    </w:p>
    <w:p w14:paraId="24B5AFE7" w14:textId="77777777" w:rsidR="0088635A" w:rsidRPr="004F051F" w:rsidRDefault="0088635A" w:rsidP="0088635A">
      <w:pPr>
        <w:rPr>
          <w:rFonts w:ascii="Times New Roman" w:hAnsi="Times New Roman" w:cs="Times New Roman"/>
          <w:lang w:val="en-US"/>
        </w:rPr>
      </w:pPr>
      <w:r w:rsidRPr="004F051F">
        <w:rPr>
          <w:rFonts w:ascii="Times New Roman" w:hAnsi="Times New Roman" w:cs="Times New Roman"/>
          <w:lang w:val="en-US"/>
        </w:rPr>
        <w:t xml:space="preserve">[5] Andreas </w:t>
      </w:r>
      <w:proofErr w:type="spellStart"/>
      <w:r w:rsidRPr="004F051F">
        <w:rPr>
          <w:rFonts w:ascii="Times New Roman" w:hAnsi="Times New Roman" w:cs="Times New Roman"/>
          <w:lang w:val="en-US"/>
        </w:rPr>
        <w:t>Olympios</w:t>
      </w:r>
      <w:proofErr w:type="spellEnd"/>
      <w:r w:rsidRPr="004F051F">
        <w:rPr>
          <w:rFonts w:ascii="Times New Roman" w:hAnsi="Times New Roman" w:cs="Times New Roman"/>
          <w:lang w:val="en-US"/>
        </w:rPr>
        <w:t xml:space="preserve"> et al 2021 Prog. Energy in press </w:t>
      </w:r>
      <w:hyperlink r:id="rId8" w:history="1">
        <w:r w:rsidRPr="004F051F">
          <w:rPr>
            <w:rStyle w:val="Hyperlink"/>
            <w:rFonts w:ascii="Times New Roman" w:hAnsi="Times New Roman" w:cs="Times New Roman"/>
            <w:lang w:val="en-US"/>
          </w:rPr>
          <w:t>https://doi.org/10.1088/2516-1083/abdbb</w:t>
        </w:r>
      </w:hyperlink>
      <w:r w:rsidRPr="004F051F">
        <w:rPr>
          <w:rFonts w:ascii="Times New Roman" w:hAnsi="Times New Roman" w:cs="Times New Roman"/>
          <w:lang w:val="en-US"/>
        </w:rPr>
        <w:t xml:space="preserve"> </w:t>
      </w:r>
    </w:p>
    <w:p w14:paraId="6929F267" w14:textId="77777777" w:rsidR="0088635A" w:rsidRPr="004F051F" w:rsidRDefault="0088635A" w:rsidP="0088635A">
      <w:pPr>
        <w:rPr>
          <w:rFonts w:ascii="Times New Roman" w:hAnsi="Times New Roman" w:cs="Times New Roman"/>
          <w:lang w:val="en-US"/>
        </w:rPr>
      </w:pPr>
      <w:r w:rsidRPr="004F051F">
        <w:rPr>
          <w:rFonts w:ascii="Times New Roman" w:hAnsi="Times New Roman" w:cs="Times New Roman"/>
          <w:lang w:val="en-US"/>
        </w:rPr>
        <w:t xml:space="preserve">[6] F. </w:t>
      </w:r>
      <w:proofErr w:type="spellStart"/>
      <w:r w:rsidRPr="004F051F">
        <w:rPr>
          <w:rFonts w:ascii="Times New Roman" w:hAnsi="Times New Roman" w:cs="Times New Roman"/>
          <w:lang w:val="en-US"/>
        </w:rPr>
        <w:t>Meishner</w:t>
      </w:r>
      <w:proofErr w:type="spellEnd"/>
      <w:r w:rsidRPr="004F051F">
        <w:rPr>
          <w:rFonts w:ascii="Times New Roman" w:hAnsi="Times New Roman" w:cs="Times New Roman"/>
          <w:lang w:val="en-US"/>
        </w:rPr>
        <w:t xml:space="preserve">, D.U. Sauer, Wayside energy recovery systems in DC urban railway grids, </w:t>
      </w:r>
      <w:proofErr w:type="spellStart"/>
      <w:r w:rsidRPr="004F051F">
        <w:rPr>
          <w:rFonts w:ascii="Times New Roman" w:hAnsi="Times New Roman" w:cs="Times New Roman"/>
          <w:lang w:val="en-US"/>
        </w:rPr>
        <w:t>eTransportation</w:t>
      </w:r>
      <w:proofErr w:type="spellEnd"/>
      <w:r w:rsidRPr="004F051F">
        <w:rPr>
          <w:rFonts w:ascii="Times New Roman" w:hAnsi="Times New Roman" w:cs="Times New Roman"/>
          <w:lang w:val="en-US"/>
        </w:rPr>
        <w:t xml:space="preserve"> 1 (2019) 100001.</w:t>
      </w:r>
    </w:p>
    <w:p w14:paraId="0945502F" w14:textId="77777777" w:rsidR="0088635A" w:rsidRPr="004F051F" w:rsidRDefault="0088635A" w:rsidP="0088635A">
      <w:pPr>
        <w:rPr>
          <w:rFonts w:ascii="Times New Roman" w:hAnsi="Times New Roman" w:cs="Times New Roman"/>
          <w:lang w:val="en-US"/>
        </w:rPr>
      </w:pPr>
      <w:r w:rsidRPr="004F051F">
        <w:rPr>
          <w:rFonts w:ascii="Times New Roman" w:hAnsi="Times New Roman" w:cs="Times New Roman"/>
          <w:lang w:val="en-US"/>
        </w:rPr>
        <w:t xml:space="preserve">[7] International Renewable Energy Agency (IRENA). Innovation outlook: Thermal energy storage. 2020. </w:t>
      </w:r>
      <w:hyperlink r:id="rId9" w:history="1">
        <w:r w:rsidRPr="004F051F">
          <w:rPr>
            <w:rStyle w:val="Hyperlink"/>
            <w:rFonts w:ascii="Times New Roman" w:hAnsi="Times New Roman" w:cs="Times New Roman"/>
            <w:lang w:val="en-US"/>
          </w:rPr>
          <w:t>https://www.irena.org/-/media/Files/IRENA/Agency/Publication/2020/Nov/IRENA_Innovation_Outlook_TES_2020.pdf</w:t>
        </w:r>
      </w:hyperlink>
      <w:r w:rsidRPr="004F051F">
        <w:rPr>
          <w:rFonts w:ascii="Times New Roman" w:hAnsi="Times New Roman" w:cs="Times New Roman"/>
          <w:lang w:val="en-US"/>
        </w:rPr>
        <w:t xml:space="preserve"> . Accessed in February 2021.</w:t>
      </w:r>
    </w:p>
    <w:p w14:paraId="4321CABB" w14:textId="77777777" w:rsidR="0088635A" w:rsidRPr="004F051F" w:rsidRDefault="0088635A" w:rsidP="0088635A">
      <w:pPr>
        <w:rPr>
          <w:rFonts w:ascii="Times New Roman" w:hAnsi="Times New Roman" w:cs="Times New Roman"/>
          <w:lang w:val="en-US"/>
        </w:rPr>
      </w:pPr>
      <w:r w:rsidRPr="004F051F">
        <w:rPr>
          <w:rFonts w:ascii="Times New Roman" w:hAnsi="Times New Roman" w:cs="Times New Roman"/>
          <w:lang w:val="en-US"/>
        </w:rPr>
        <w:t>[8] Strategic Analysis, “Final report: hydrogen storage system cost analysis,” 2016.</w:t>
      </w:r>
    </w:p>
    <w:p w14:paraId="026B2F7F" w14:textId="77777777" w:rsidR="0088635A" w:rsidRPr="004F051F" w:rsidRDefault="0088635A" w:rsidP="0088635A">
      <w:pPr>
        <w:rPr>
          <w:rFonts w:ascii="Times New Roman" w:hAnsi="Times New Roman" w:cs="Times New Roman"/>
          <w:lang w:val="en-US"/>
        </w:rPr>
      </w:pPr>
      <w:r w:rsidRPr="004F051F">
        <w:rPr>
          <w:rFonts w:ascii="Times New Roman" w:hAnsi="Times New Roman" w:cs="Times New Roman"/>
          <w:lang w:val="en-US"/>
        </w:rPr>
        <w:t xml:space="preserve">[9] A. Le </w:t>
      </w:r>
      <w:proofErr w:type="spellStart"/>
      <w:r w:rsidRPr="004F051F">
        <w:rPr>
          <w:rFonts w:ascii="Times New Roman" w:hAnsi="Times New Roman" w:cs="Times New Roman"/>
          <w:lang w:val="en-US"/>
        </w:rPr>
        <w:t>Duigou</w:t>
      </w:r>
      <w:proofErr w:type="spellEnd"/>
      <w:r w:rsidRPr="004F051F">
        <w:rPr>
          <w:rFonts w:ascii="Times New Roman" w:hAnsi="Times New Roman" w:cs="Times New Roman"/>
          <w:lang w:val="en-US"/>
        </w:rPr>
        <w:t xml:space="preserve">, A.-G. Bader, J.-C. Lanoix, and L. Nadau, “Relevance and costs of </w:t>
      </w:r>
      <w:proofErr w:type="gramStart"/>
      <w:r w:rsidRPr="004F051F">
        <w:rPr>
          <w:rFonts w:ascii="Times New Roman" w:hAnsi="Times New Roman" w:cs="Times New Roman"/>
          <w:lang w:val="en-US"/>
        </w:rPr>
        <w:t>large scale</w:t>
      </w:r>
      <w:proofErr w:type="gramEnd"/>
      <w:r w:rsidRPr="004F051F">
        <w:rPr>
          <w:rFonts w:ascii="Times New Roman" w:hAnsi="Times New Roman" w:cs="Times New Roman"/>
          <w:lang w:val="en-US"/>
        </w:rPr>
        <w:t xml:space="preserve"> underground hydrogen storage in France,” Int. J. Hydrogen Energy, vol. 42, no. 36, pp. 22987–23003, Sep. 2017.</w:t>
      </w:r>
    </w:p>
    <w:p w14:paraId="6509BA28" w14:textId="77777777" w:rsidR="0088635A" w:rsidRPr="004F051F" w:rsidRDefault="0088635A" w:rsidP="0088635A">
      <w:pPr>
        <w:rPr>
          <w:rFonts w:ascii="Times New Roman" w:hAnsi="Times New Roman" w:cs="Times New Roman"/>
          <w:lang w:val="en-US"/>
        </w:rPr>
      </w:pPr>
      <w:r w:rsidRPr="004F051F">
        <w:rPr>
          <w:rFonts w:ascii="Times New Roman" w:hAnsi="Times New Roman" w:cs="Times New Roman"/>
          <w:lang w:val="en-US"/>
        </w:rPr>
        <w:t>[10] Bañares-Alcántara et al: Analysis of Islanded Ammonia-based Energy Storage Systems, University of Oxford, 09/2015</w:t>
      </w:r>
    </w:p>
    <w:p w14:paraId="41377204" w14:textId="77777777" w:rsidR="0088635A" w:rsidRPr="004F051F" w:rsidRDefault="0088635A" w:rsidP="0088635A">
      <w:pPr>
        <w:rPr>
          <w:rFonts w:ascii="Times New Roman" w:eastAsia="DengXian" w:hAnsi="Times New Roman" w:cs="Times New Roman"/>
          <w:lang w:val="en-US"/>
        </w:rPr>
      </w:pPr>
    </w:p>
    <w:p w14:paraId="3D184317" w14:textId="77777777" w:rsidR="00C722F3" w:rsidRPr="004F051F" w:rsidRDefault="00C722F3" w:rsidP="0088635A">
      <w:pPr>
        <w:rPr>
          <w:rFonts w:ascii="Times New Roman" w:eastAsia="DengXian" w:hAnsi="Times New Roman" w:cs="Times New Roman"/>
          <w:lang w:val="en-US"/>
        </w:rPr>
      </w:pPr>
    </w:p>
    <w:p w14:paraId="36A6AB0C" w14:textId="77777777" w:rsidR="00C722F3" w:rsidRPr="004F051F" w:rsidRDefault="00C722F3" w:rsidP="0088635A">
      <w:pPr>
        <w:rPr>
          <w:rFonts w:ascii="Times New Roman" w:eastAsia="DengXian" w:hAnsi="Times New Roman" w:cs="Times New Roman"/>
          <w:lang w:val="en-US"/>
        </w:rPr>
      </w:pPr>
    </w:p>
    <w:p w14:paraId="2687C2CE" w14:textId="77777777" w:rsidR="00C722F3" w:rsidRPr="004F051F" w:rsidRDefault="00C722F3" w:rsidP="0088635A">
      <w:pPr>
        <w:rPr>
          <w:rFonts w:ascii="Times New Roman" w:eastAsia="DengXian" w:hAnsi="Times New Roman" w:cs="Times New Roman"/>
          <w:lang w:val="en-US"/>
        </w:rPr>
      </w:pPr>
    </w:p>
    <w:p w14:paraId="2C58947E" w14:textId="77777777" w:rsidR="00C722F3" w:rsidRPr="004F051F" w:rsidRDefault="00C722F3" w:rsidP="0088635A">
      <w:pPr>
        <w:rPr>
          <w:rFonts w:ascii="Times New Roman" w:eastAsia="DengXian" w:hAnsi="Times New Roman" w:cs="Times New Roman"/>
          <w:lang w:val="en-US"/>
        </w:rPr>
      </w:pPr>
    </w:p>
    <w:p w14:paraId="4B6EDC0A" w14:textId="77777777" w:rsidR="00C722F3" w:rsidRPr="004F051F" w:rsidRDefault="00C722F3" w:rsidP="0088635A">
      <w:pPr>
        <w:rPr>
          <w:rFonts w:ascii="Times New Roman" w:eastAsia="DengXian" w:hAnsi="Times New Roman" w:cs="Times New Roman"/>
          <w:lang w:val="en-US"/>
        </w:rPr>
      </w:pPr>
    </w:p>
    <w:sectPr w:rsidR="00C722F3" w:rsidRPr="004F051F" w:rsidSect="009933E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D353E"/>
    <w:multiLevelType w:val="hybridMultilevel"/>
    <w:tmpl w:val="AA308E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6D844A0"/>
    <w:multiLevelType w:val="hybridMultilevel"/>
    <w:tmpl w:val="CF3CC5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1803528">
    <w:abstractNumId w:val="0"/>
  </w:num>
  <w:num w:numId="2" w16cid:durableId="1004670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88"/>
    <w:rsid w:val="00045C34"/>
    <w:rsid w:val="00060A54"/>
    <w:rsid w:val="0007609B"/>
    <w:rsid w:val="0007726D"/>
    <w:rsid w:val="00086CA5"/>
    <w:rsid w:val="00087332"/>
    <w:rsid w:val="00096465"/>
    <w:rsid w:val="000B002C"/>
    <w:rsid w:val="000C0181"/>
    <w:rsid w:val="000D0FDE"/>
    <w:rsid w:val="000D240A"/>
    <w:rsid w:val="000F0188"/>
    <w:rsid w:val="000F22C9"/>
    <w:rsid w:val="00102231"/>
    <w:rsid w:val="0010799A"/>
    <w:rsid w:val="00113488"/>
    <w:rsid w:val="0012296D"/>
    <w:rsid w:val="00124ADF"/>
    <w:rsid w:val="00125376"/>
    <w:rsid w:val="00137413"/>
    <w:rsid w:val="00140CE7"/>
    <w:rsid w:val="00142CB1"/>
    <w:rsid w:val="001448B9"/>
    <w:rsid w:val="0014691C"/>
    <w:rsid w:val="00156B29"/>
    <w:rsid w:val="00167C3E"/>
    <w:rsid w:val="001B0FB7"/>
    <w:rsid w:val="001B21E8"/>
    <w:rsid w:val="001B53BD"/>
    <w:rsid w:val="001B7F02"/>
    <w:rsid w:val="001E2DAA"/>
    <w:rsid w:val="00226444"/>
    <w:rsid w:val="00234829"/>
    <w:rsid w:val="00236E12"/>
    <w:rsid w:val="00241292"/>
    <w:rsid w:val="00243124"/>
    <w:rsid w:val="002435A0"/>
    <w:rsid w:val="00261ABD"/>
    <w:rsid w:val="00262B33"/>
    <w:rsid w:val="0027552C"/>
    <w:rsid w:val="00281A00"/>
    <w:rsid w:val="00284C8A"/>
    <w:rsid w:val="002856DD"/>
    <w:rsid w:val="002948F1"/>
    <w:rsid w:val="002E2C22"/>
    <w:rsid w:val="002F17A1"/>
    <w:rsid w:val="002F2428"/>
    <w:rsid w:val="0033114F"/>
    <w:rsid w:val="00333011"/>
    <w:rsid w:val="00354414"/>
    <w:rsid w:val="00362A5A"/>
    <w:rsid w:val="003643B1"/>
    <w:rsid w:val="0036581C"/>
    <w:rsid w:val="0037354D"/>
    <w:rsid w:val="003770C1"/>
    <w:rsid w:val="003900EB"/>
    <w:rsid w:val="003A0145"/>
    <w:rsid w:val="003B5D5D"/>
    <w:rsid w:val="003C063A"/>
    <w:rsid w:val="003C3B7A"/>
    <w:rsid w:val="003D7D33"/>
    <w:rsid w:val="00404868"/>
    <w:rsid w:val="004072A5"/>
    <w:rsid w:val="004073D5"/>
    <w:rsid w:val="004074EE"/>
    <w:rsid w:val="00416F27"/>
    <w:rsid w:val="004203D6"/>
    <w:rsid w:val="00421553"/>
    <w:rsid w:val="00436B97"/>
    <w:rsid w:val="00460815"/>
    <w:rsid w:val="004616FB"/>
    <w:rsid w:val="00463C96"/>
    <w:rsid w:val="0047372C"/>
    <w:rsid w:val="00497278"/>
    <w:rsid w:val="004A7B38"/>
    <w:rsid w:val="004B1321"/>
    <w:rsid w:val="004C186F"/>
    <w:rsid w:val="004D1688"/>
    <w:rsid w:val="004E53B8"/>
    <w:rsid w:val="004F051F"/>
    <w:rsid w:val="004F60E8"/>
    <w:rsid w:val="005001F5"/>
    <w:rsid w:val="00511536"/>
    <w:rsid w:val="00513D34"/>
    <w:rsid w:val="005264F3"/>
    <w:rsid w:val="00526754"/>
    <w:rsid w:val="00551241"/>
    <w:rsid w:val="0056364A"/>
    <w:rsid w:val="00590B1D"/>
    <w:rsid w:val="005B0A40"/>
    <w:rsid w:val="005B7A0F"/>
    <w:rsid w:val="005C00FF"/>
    <w:rsid w:val="005C07CC"/>
    <w:rsid w:val="005C61E1"/>
    <w:rsid w:val="005D3002"/>
    <w:rsid w:val="005D33E8"/>
    <w:rsid w:val="005D38A7"/>
    <w:rsid w:val="005F5D71"/>
    <w:rsid w:val="006040B0"/>
    <w:rsid w:val="006166FA"/>
    <w:rsid w:val="006257EE"/>
    <w:rsid w:val="0063699F"/>
    <w:rsid w:val="006447A3"/>
    <w:rsid w:val="006A216F"/>
    <w:rsid w:val="006B2D74"/>
    <w:rsid w:val="006C3440"/>
    <w:rsid w:val="006C725A"/>
    <w:rsid w:val="006E4379"/>
    <w:rsid w:val="006E4999"/>
    <w:rsid w:val="006E6DB5"/>
    <w:rsid w:val="006E7262"/>
    <w:rsid w:val="007621F7"/>
    <w:rsid w:val="00772272"/>
    <w:rsid w:val="007740A4"/>
    <w:rsid w:val="00780008"/>
    <w:rsid w:val="007804E6"/>
    <w:rsid w:val="007A0D2A"/>
    <w:rsid w:val="007C2F39"/>
    <w:rsid w:val="007E078E"/>
    <w:rsid w:val="007F24F3"/>
    <w:rsid w:val="00805AEF"/>
    <w:rsid w:val="008079AB"/>
    <w:rsid w:val="00812E02"/>
    <w:rsid w:val="00813BC8"/>
    <w:rsid w:val="00817F09"/>
    <w:rsid w:val="008243F1"/>
    <w:rsid w:val="008261B0"/>
    <w:rsid w:val="0084553C"/>
    <w:rsid w:val="008717CA"/>
    <w:rsid w:val="0088635A"/>
    <w:rsid w:val="008B119B"/>
    <w:rsid w:val="008B5C51"/>
    <w:rsid w:val="008C4E6C"/>
    <w:rsid w:val="008D6183"/>
    <w:rsid w:val="008F4009"/>
    <w:rsid w:val="008F4CC9"/>
    <w:rsid w:val="009323BB"/>
    <w:rsid w:val="0093751F"/>
    <w:rsid w:val="00946074"/>
    <w:rsid w:val="00951975"/>
    <w:rsid w:val="009933E7"/>
    <w:rsid w:val="009A4FAF"/>
    <w:rsid w:val="009B2007"/>
    <w:rsid w:val="009C1569"/>
    <w:rsid w:val="009E77CA"/>
    <w:rsid w:val="009F17E4"/>
    <w:rsid w:val="00A12732"/>
    <w:rsid w:val="00A20985"/>
    <w:rsid w:val="00A35518"/>
    <w:rsid w:val="00A36184"/>
    <w:rsid w:val="00A37AEB"/>
    <w:rsid w:val="00A4201F"/>
    <w:rsid w:val="00A436E8"/>
    <w:rsid w:val="00A57C0D"/>
    <w:rsid w:val="00A91141"/>
    <w:rsid w:val="00AA30AE"/>
    <w:rsid w:val="00AB1E33"/>
    <w:rsid w:val="00AC04AA"/>
    <w:rsid w:val="00AC3C7A"/>
    <w:rsid w:val="00AC499D"/>
    <w:rsid w:val="00AD2A7A"/>
    <w:rsid w:val="00AE08C6"/>
    <w:rsid w:val="00AE7547"/>
    <w:rsid w:val="00AF4560"/>
    <w:rsid w:val="00AF4786"/>
    <w:rsid w:val="00B04B53"/>
    <w:rsid w:val="00B05064"/>
    <w:rsid w:val="00B261EC"/>
    <w:rsid w:val="00B53B00"/>
    <w:rsid w:val="00B678F6"/>
    <w:rsid w:val="00B77896"/>
    <w:rsid w:val="00BA08CC"/>
    <w:rsid w:val="00BB3369"/>
    <w:rsid w:val="00BB53A0"/>
    <w:rsid w:val="00BB798E"/>
    <w:rsid w:val="00BC4CE3"/>
    <w:rsid w:val="00BD7FA9"/>
    <w:rsid w:val="00BE63B5"/>
    <w:rsid w:val="00C06E85"/>
    <w:rsid w:val="00C12F6F"/>
    <w:rsid w:val="00C218F6"/>
    <w:rsid w:val="00C44D89"/>
    <w:rsid w:val="00C46796"/>
    <w:rsid w:val="00C64D46"/>
    <w:rsid w:val="00C67AE8"/>
    <w:rsid w:val="00C722F3"/>
    <w:rsid w:val="00C754F0"/>
    <w:rsid w:val="00C761FF"/>
    <w:rsid w:val="00C826B0"/>
    <w:rsid w:val="00C8574A"/>
    <w:rsid w:val="00C87EF3"/>
    <w:rsid w:val="00C9622C"/>
    <w:rsid w:val="00CE768A"/>
    <w:rsid w:val="00D015FF"/>
    <w:rsid w:val="00D01624"/>
    <w:rsid w:val="00D0363A"/>
    <w:rsid w:val="00D15C64"/>
    <w:rsid w:val="00D15E1C"/>
    <w:rsid w:val="00D24888"/>
    <w:rsid w:val="00D552FB"/>
    <w:rsid w:val="00D636B8"/>
    <w:rsid w:val="00D63E8D"/>
    <w:rsid w:val="00D70FE3"/>
    <w:rsid w:val="00D724F6"/>
    <w:rsid w:val="00D9258B"/>
    <w:rsid w:val="00D96525"/>
    <w:rsid w:val="00DA5F7D"/>
    <w:rsid w:val="00DE3C65"/>
    <w:rsid w:val="00DF3980"/>
    <w:rsid w:val="00DF5563"/>
    <w:rsid w:val="00E0028F"/>
    <w:rsid w:val="00E242AF"/>
    <w:rsid w:val="00E26A52"/>
    <w:rsid w:val="00E32561"/>
    <w:rsid w:val="00E51076"/>
    <w:rsid w:val="00E63038"/>
    <w:rsid w:val="00E67C0E"/>
    <w:rsid w:val="00E84ABB"/>
    <w:rsid w:val="00EA1043"/>
    <w:rsid w:val="00EA52D9"/>
    <w:rsid w:val="00EC656C"/>
    <w:rsid w:val="00ED792E"/>
    <w:rsid w:val="00EE5158"/>
    <w:rsid w:val="00EF2EC4"/>
    <w:rsid w:val="00F17753"/>
    <w:rsid w:val="00F47448"/>
    <w:rsid w:val="00F71918"/>
    <w:rsid w:val="00F87029"/>
    <w:rsid w:val="00F8706F"/>
    <w:rsid w:val="00FA4468"/>
    <w:rsid w:val="00FC7134"/>
    <w:rsid w:val="00FD338E"/>
    <w:rsid w:val="00FD3D0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D40F1"/>
  <w15:chartTrackingRefBased/>
  <w15:docId w15:val="{9921EB2B-3EAF-4F86-A9D7-997396208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8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8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8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8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8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8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8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888"/>
    <w:rPr>
      <w:rFonts w:eastAsiaTheme="majorEastAsia" w:cstheme="majorBidi"/>
      <w:color w:val="272727" w:themeColor="text1" w:themeTint="D8"/>
    </w:rPr>
  </w:style>
  <w:style w:type="paragraph" w:styleId="Title">
    <w:name w:val="Title"/>
    <w:basedOn w:val="Normal"/>
    <w:next w:val="Normal"/>
    <w:link w:val="TitleChar"/>
    <w:uiPriority w:val="10"/>
    <w:qFormat/>
    <w:rsid w:val="00D24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888"/>
    <w:pPr>
      <w:spacing w:before="160"/>
      <w:jc w:val="center"/>
    </w:pPr>
    <w:rPr>
      <w:i/>
      <w:iCs/>
      <w:color w:val="404040" w:themeColor="text1" w:themeTint="BF"/>
    </w:rPr>
  </w:style>
  <w:style w:type="character" w:customStyle="1" w:styleId="QuoteChar">
    <w:name w:val="Quote Char"/>
    <w:basedOn w:val="DefaultParagraphFont"/>
    <w:link w:val="Quote"/>
    <w:uiPriority w:val="29"/>
    <w:rsid w:val="00D24888"/>
    <w:rPr>
      <w:i/>
      <w:iCs/>
      <w:color w:val="404040" w:themeColor="text1" w:themeTint="BF"/>
    </w:rPr>
  </w:style>
  <w:style w:type="paragraph" w:styleId="ListParagraph">
    <w:name w:val="List Paragraph"/>
    <w:basedOn w:val="Normal"/>
    <w:uiPriority w:val="34"/>
    <w:qFormat/>
    <w:rsid w:val="00D24888"/>
    <w:pPr>
      <w:ind w:left="720"/>
      <w:contextualSpacing/>
    </w:pPr>
  </w:style>
  <w:style w:type="character" w:styleId="IntenseEmphasis">
    <w:name w:val="Intense Emphasis"/>
    <w:basedOn w:val="DefaultParagraphFont"/>
    <w:uiPriority w:val="21"/>
    <w:qFormat/>
    <w:rsid w:val="00D24888"/>
    <w:rPr>
      <w:i/>
      <w:iCs/>
      <w:color w:val="2F5496" w:themeColor="accent1" w:themeShade="BF"/>
    </w:rPr>
  </w:style>
  <w:style w:type="paragraph" w:styleId="IntenseQuote">
    <w:name w:val="Intense Quote"/>
    <w:basedOn w:val="Normal"/>
    <w:next w:val="Normal"/>
    <w:link w:val="IntenseQuoteChar"/>
    <w:uiPriority w:val="30"/>
    <w:qFormat/>
    <w:rsid w:val="00D24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888"/>
    <w:rPr>
      <w:i/>
      <w:iCs/>
      <w:color w:val="2F5496" w:themeColor="accent1" w:themeShade="BF"/>
    </w:rPr>
  </w:style>
  <w:style w:type="character" w:styleId="IntenseReference">
    <w:name w:val="Intense Reference"/>
    <w:basedOn w:val="DefaultParagraphFont"/>
    <w:uiPriority w:val="32"/>
    <w:qFormat/>
    <w:rsid w:val="00D24888"/>
    <w:rPr>
      <w:b/>
      <w:bCs/>
      <w:smallCaps/>
      <w:color w:val="2F5496" w:themeColor="accent1" w:themeShade="BF"/>
      <w:spacing w:val="5"/>
    </w:rPr>
  </w:style>
  <w:style w:type="table" w:styleId="TableGrid">
    <w:name w:val="Table Grid"/>
    <w:basedOn w:val="TableNormal"/>
    <w:uiPriority w:val="39"/>
    <w:rsid w:val="009933E7"/>
    <w:pPr>
      <w:spacing w:after="0" w:line="240" w:lineRule="auto"/>
    </w:pPr>
    <w:rPr>
      <w:kern w:val="0"/>
      <w:lang w:eastAsia="zh-TW"/>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203D6"/>
    <w:rPr>
      <w:color w:val="666666"/>
    </w:rPr>
  </w:style>
  <w:style w:type="character" w:styleId="Hyperlink">
    <w:name w:val="Hyperlink"/>
    <w:basedOn w:val="DefaultParagraphFont"/>
    <w:uiPriority w:val="99"/>
    <w:unhideWhenUsed/>
    <w:rsid w:val="0088635A"/>
    <w:rPr>
      <w:color w:val="0563C1" w:themeColor="hyperlink"/>
      <w:u w:val="single"/>
    </w:rPr>
  </w:style>
  <w:style w:type="table" w:styleId="PlainTable1">
    <w:name w:val="Plain Table 1"/>
    <w:basedOn w:val="TableNormal"/>
    <w:uiPriority w:val="41"/>
    <w:rsid w:val="009519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95197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4-Accent2">
    <w:name w:val="List Table 4 Accent 2"/>
    <w:basedOn w:val="TableNormal"/>
    <w:uiPriority w:val="49"/>
    <w:rsid w:val="0095197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95197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9519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4">
    <w:name w:val="Grid Table 6 Colorful Accent 4"/>
    <w:basedOn w:val="TableNormal"/>
    <w:uiPriority w:val="51"/>
    <w:rsid w:val="000B002C"/>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0B002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928277">
      <w:bodyDiv w:val="1"/>
      <w:marLeft w:val="0"/>
      <w:marRight w:val="0"/>
      <w:marTop w:val="0"/>
      <w:marBottom w:val="0"/>
      <w:divBdr>
        <w:top w:val="none" w:sz="0" w:space="0" w:color="auto"/>
        <w:left w:val="none" w:sz="0" w:space="0" w:color="auto"/>
        <w:bottom w:val="none" w:sz="0" w:space="0" w:color="auto"/>
        <w:right w:val="none" w:sz="0" w:space="0" w:color="auto"/>
      </w:divBdr>
    </w:div>
    <w:div w:id="208876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8/2516-1083/abdbb" TargetMode="External"/><Relationship Id="rId3" Type="http://schemas.openxmlformats.org/officeDocument/2006/relationships/styles" Target="styles.xml"/><Relationship Id="rId7" Type="http://schemas.openxmlformats.org/officeDocument/2006/relationships/hyperlink" Target="https://www.iea.org/publications/freepublications/publication/TechnologyRoadmapEnergystorage.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iec.ch/whitepaper/pdf/iecWP-energystorage-LR-en.pdf.%20Accessed%20in%20May%202019" TargetMode="Externa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rena.org/-/media/Files/IRENA/Agency/Publication/2020/Nov/IRENA_Innovation_Outlook_TES_2020.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9B470627204463B1F052CD142B36EB"/>
        <w:category>
          <w:name w:val="General"/>
          <w:gallery w:val="placeholder"/>
        </w:category>
        <w:types>
          <w:type w:val="bbPlcHdr"/>
        </w:types>
        <w:behaviors>
          <w:behavior w:val="content"/>
        </w:behaviors>
        <w:guid w:val="{7BB39303-ECB1-428B-97B5-199DDFD97DE9}"/>
      </w:docPartPr>
      <w:docPartBody>
        <w:p w:rsidR="006F620E" w:rsidRDefault="00C83D9F" w:rsidP="00C83D9F">
          <w:pPr>
            <w:pStyle w:val="5E9B470627204463B1F052CD142B36EB"/>
          </w:pPr>
          <w:r w:rsidRPr="00A7768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87A"/>
    <w:rsid w:val="000D240A"/>
    <w:rsid w:val="0012064A"/>
    <w:rsid w:val="001C486C"/>
    <w:rsid w:val="0021580E"/>
    <w:rsid w:val="002E7400"/>
    <w:rsid w:val="00430DD3"/>
    <w:rsid w:val="006508C8"/>
    <w:rsid w:val="006C725A"/>
    <w:rsid w:val="006F620E"/>
    <w:rsid w:val="00712FB7"/>
    <w:rsid w:val="007518F5"/>
    <w:rsid w:val="00760339"/>
    <w:rsid w:val="00772272"/>
    <w:rsid w:val="007A0D2A"/>
    <w:rsid w:val="007C3FF5"/>
    <w:rsid w:val="008C4E6C"/>
    <w:rsid w:val="009879B8"/>
    <w:rsid w:val="00A12732"/>
    <w:rsid w:val="00BF703B"/>
    <w:rsid w:val="00C655CE"/>
    <w:rsid w:val="00C74587"/>
    <w:rsid w:val="00C83D9F"/>
    <w:rsid w:val="00DE3C65"/>
    <w:rsid w:val="00F0687A"/>
    <w:rsid w:val="00F4744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3D9F"/>
    <w:rPr>
      <w:color w:val="666666"/>
    </w:rPr>
  </w:style>
  <w:style w:type="paragraph" w:customStyle="1" w:styleId="5E9B470627204463B1F052CD142B36EB">
    <w:name w:val="5E9B470627204463B1F052CD142B36EB"/>
    <w:rsid w:val="00C83D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CF112-FBEA-430B-92AC-7CD6084BD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9</Pages>
  <Words>48157</Words>
  <Characters>268240</Characters>
  <Application>Microsoft Office Word</Application>
  <DocSecurity>0</DocSecurity>
  <Lines>8652</Lines>
  <Paragraphs>4867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Liang (Chemical Engineering)</dc:creator>
  <cp:keywords/>
  <dc:description/>
  <cp:lastModifiedBy>Ting Liang (Chemical Engineering)</cp:lastModifiedBy>
  <cp:revision>12</cp:revision>
  <dcterms:created xsi:type="dcterms:W3CDTF">2026-01-20T16:17:00Z</dcterms:created>
  <dcterms:modified xsi:type="dcterms:W3CDTF">2026-01-22T18:47:00Z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http://www.zotero.org/styles/energies</vt:lpwstr>
  </property>
  <property fmtid="{D5CDD505-2E9C-101B-9397-08002B2CF9AE}" pid="9" name="Mendeley Recent Style Name 3_1">
    <vt:lpwstr>Energies</vt:lpwstr>
  </property>
  <property fmtid="{D5CDD505-2E9C-101B-9397-08002B2CF9AE}" pid="10" name="Mendeley Recent Style Id 4_1">
    <vt:lpwstr>http://www.zotero.org/styles/energy</vt:lpwstr>
  </property>
  <property fmtid="{D5CDD505-2E9C-101B-9397-08002B2CF9AE}" pid="11" name="Mendeley Recent Style Name 4_1">
    <vt:lpwstr>Energy</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http://www.zotero.org/styles/renewable-and-sustainable-energy-reviews</vt:lpwstr>
  </property>
  <property fmtid="{D5CDD505-2E9C-101B-9397-08002B2CF9AE}" pid="21" name="Mendeley Recent Style Name 9_1">
    <vt:lpwstr>Renewable and Sustainable Energy Reviews</vt:lpwstr>
  </property>
  <property fmtid="{D5CDD505-2E9C-101B-9397-08002B2CF9AE}" pid="22" name="Mendeley Citation Style_1">
    <vt:lpwstr>http://www.zotero.org/styles/american-medical-association</vt:lpwstr>
  </property>
  <property fmtid="{D5CDD505-2E9C-101B-9397-08002B2CF9AE}" pid="23" name="Mendeley Document_1">
    <vt:lpwstr>True</vt:lpwstr>
  </property>
  <property fmtid="{D5CDD505-2E9C-101B-9397-08002B2CF9AE}" pid="24" name="Mendeley Unique User Id_1">
    <vt:lpwstr>4c9ad6b9-a9de-351a-aa9b-d04813e2c950</vt:lpwstr>
  </property>
</Properties>
</file>