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jc w:val="center"/>
      </w:pPr>
      <w:r>
        <w:t xml:space="preserve">MEMORANDUM FOR RECORD</w:t>
      </w:r>
    </w:p>
    <w:p>
      <w:r>
        <w:rPr>
          <w:b/>
        </w:rPr>
        <w:t>SUBJECT: Synthetic Test Memorandum for Automated Fixture Validation</w:t>
      </w:r>
    </w:p>
    <w:p>
      <w:r>
        <w:t xml:space="preserve"/>
      </w:r>
    </w:p>
    <w:p>
      <w:pPr>
        <w:pStyle w:val="BodyText"/>
      </w:pPr>
      <w:r>
        <w:t xml:space="preserve">1. PURPOSE. This memorandum provides a synthetic test fixture for automated unit tests of the DOCX parser and writer components.</w:t>
      </w:r>
    </w:p>
    <w:p>
      <w:pPr>
        <w:pStyle w:val="BodyText"/>
      </w:pPr>
      <w:r>
        <w:t xml:space="preserve">2. BACKGROUND. The document writer application parses Office Open XML documents to extract structural metadata including paragraph styles, formatting, and content controls.</w:t>
      </w:r>
    </w:p>
    <w:p>
      <w:r>
        <w:t xml:space="preserve">Before Tab</w:t>
      </w:r>
      <w:r>
        <w:tab/>
      </w:r>
      <w:r>
        <w:t>After Tab — DATE	April 2026</w:t>
      </w:r>
    </w:p>
    <w:p>
      <w:r>
        <w:t xml:space="preserve">Before Tab</w:t>
      </w:r>
      <w:r>
        <w:tab/>
      </w:r>
      <w:r>
        <w:t>After Tab — FROM	Test Suite Generator</w:t>
      </w:r>
    </w:p>
    <w:p>
      <w:r>
        <w:t xml:space="preserve">Before Tab</w:t>
      </w:r>
      <w:r>
        <w:tab/>
      </w:r>
      <w:r>
        <w:t>After Tab — TO	Automated CI Pipeline</w:t>
      </w:r>
    </w:p>
    <w:p>
      <w:pPr>
        <w:pStyle w:val="BodyText"/>
      </w:pPr>
      <w:r>
        <w:t xml:space="preserve">3. APPLICABILITY. This policy applies to all test cases that exercise the DOCX round-trip writer functionality.</w:t>
      </w:r>
    </w:p>
    <w:p>
      <w:r>
        <w:rPr>
          <w:b/>
        </w:rPr>
        <w:t>4. RESPONSIBILITIES.</w:t>
      </w:r>
    </w:p>
    <w:p>
      <w:pPr>
        <w:pStyle w:val="ListParagraph"/>
      </w:pPr>
      <w:r>
        <w:t xml:space="preserve">a. The testing infrastructure shall load this fixture and assert on its structural properties.</w:t>
      </w:r>
    </w:p>
    <w:p>
      <w:pPr>
        <w:pStyle w:val="ListParagraph"/>
      </w:pPr>
      <w:r>
        <w:t xml:space="preserve">b. The parser shall correctly identify tab elements within paragraph runs and expose them as tab characters in the output text.</w:t>
      </w:r>
    </w:p>
    <w:p>
      <w:pPr>
        <w:pStyle w:val="ListParagraph"/>
      </w:pPr>
      <w:r>
        <w:t xml:space="preserve">c. The writer shall preserve all structural elements during round-trip operations without modification to untouched paragraphs.</w:t>
      </w:r>
    </w:p>
    <w:p>
      <w:pPr>
        <w:pStyle w:val="ListParagraph"/>
      </w:pPr>
      <w:r>
        <w:t xml:space="preserve">d. Content control tags shall be surfaced on the paragraph objects that reside within the structured document tag.</w:t>
      </w:r>
    </w:p>
    <w:p>
      <w:r>
        <w:rPr>
          <w:b/>
        </w:rPr>
        <w:t>5. PROCEDURES.</w:t>
      </w:r>
    </w:p>
    <w:p>
      <w:pPr>
        <w:pStyle w:val="ListParagraph"/>
      </w:pPr>
      <w:r>
        <w:t xml:space="preserve">a. Load the fixture bytes from disk using readFileSync.</w:t>
      </w:r>
    </w:p>
    <w:p>
      <w:pPr>
        <w:pStyle w:val="ListParagraph"/>
      </w:pPr>
      <w:r>
        <w:t xml:space="preserve">b. Parse the fixture using the parseDocx function exported from the parser module.</w:t>
      </w:r>
    </w:p>
    <w:p>
      <w:pPr>
        <w:pStyle w:val="ListParagraph"/>
      </w:pPr>
      <w:r>
        <w:t xml:space="preserve">c. Assert that the returned paragraphs array contains the expected structural elements.</w:t>
      </w:r>
    </w:p>
    <w:p>
      <w:pPr>
        <w:pStyle w:val="ListParagraph"/>
      </w:pPr>
      <w:r>
        <w:t xml:space="preserve">d. Apply document edit operations using exportEditedDocx or applyDocumentEdits.</w:t>
      </w:r>
    </w:p>
    <w:p>
      <w:pPr>
        <w:pStyle w:val="ListParagraph"/>
      </w:pPr>
      <w:r>
        <w:t xml:space="preserve">e. Re-parse the resulting DOCX bytes and assert on the post-edit state.</w:t>
      </w:r>
    </w:p>
    <w:p>
      <w:r>
        <w:rPr>
          <w:b/>
        </w:rPr>
        <w:t>6. FORMATTING STANDARDS.</w:t>
      </w:r>
    </w:p>
    <w:p>
      <w:pPr>
        <w:pStyle w:val="BodyText"/>
      </w:pPr>
      <w:r>
        <w:t xml:space="preserve">The document shall conform to standard memorandum formatting requirements including proper margins, font sizes, and paragraph spacing as defined in the applicable style guide.</w:t>
      </w:r>
    </w:p>
    <w:p>
      <w:pPr>
        <w:pStyle w:val="BodyText"/>
      </w:pPr>
      <w:r>
        <w:t xml:space="preserve">All headings shall be formatted in bold using the appropriate paragraph style as defined in the styles.xml component of the DOCX package.</w:t>
      </w:r>
    </w:p>
    <w:p>
      <w:pPr>
        <w:pStyle w:val="BodyText"/>
      </w:pPr>
      <w:r>
        <w:t xml:space="preserve">7. COORDINATION. This document was coordinated with the automated test harness and does not require signatures from actual government personnel.</w:t>
      </w:r>
    </w:p>
    <w:p>
      <w:pPr>
        <w:pStyle w:val="BodyText"/>
      </w:pPr>
      <w:r>
        <w:t xml:space="preserve">8. EFFECTIVE DATE. This synthetic fixture is effective immediately upon generation and shall remain valid for the duration of the test suite lifecycle.</w:t>
      </w:r>
    </w:p>
    <w:p>
      <w:pPr>
        <w:pStyle w:val="BodyText"/>
      </w:pPr>
      <w:r>
        <w:t xml:space="preserve">9. SUPERSESSION. This document supersedes all prior synthetic test fixtures for the policy memorandum template type.</w:t>
      </w:r>
    </w:p>
    <w:p>
      <w:pPr>
        <w:pStyle w:val="BodyText"/>
      </w:pPr>
      <w:r>
        <w:t xml:space="preserve">10. AUTHORITY. The generator script has authority to create this fixture under the scope of the automated test infrastructure project.</w:t>
      </w:r>
    </w:p>
    <w:p>
      <w:pPr>
        <w:pStyle w:val="BodyText"/>
      </w:pPr>
      <w:r>
        <w:t xml:space="preserve">11. POINTS OF CONTACT. For questions regarding this synthetic fixture, contact the development team responsible for maintaining the DOCX parser module.</w:t>
      </w:r>
    </w:p>
    <w:p>
      <w:pPr>
        <w:pStyle w:val="BodyText"/>
      </w:pPr>
      <w:r>
        <w:t xml:space="preserve">12. ENCLOSURES. No enclosures are attached to this synthetic memorandum. All referenced materials exist only within the test fixture context.</w:t>
      </w:r>
    </w:p>
    <w:p>
      <w:pPr>
        <w:jc w:val="right"/>
      </w:pPr>
      <w:r>
        <w:t xml:space="preserve">// SIGNED //</w:t>
      </w:r>
    </w:p>
    <w:p>
      <w:pPr>
        <w:jc w:val="right"/>
      </w:pPr>
      <w:r>
        <w:t xml:space="preserve">Test Fixture Generator</w:t>
      </w:r>
    </w:p>
    <w:p>
      <w:pPr>
        <w:jc w:val="right"/>
      </w:pPr>
      <w:r>
        <w:t xml:space="preserve">Automated Systems Division</w:t>
      </w:r>
    </w:p>
    <w:p>
      <w:r>
        <w:rPr>
          <w:b/>
        </w:rPr>
        <w:t>ANNEX A: ADDITIONAL PROVISIONS</w:t>
      </w:r>
    </w:p>
    <w:p>
      <w:pPr>
        <w:pStyle w:val="BodyText"/>
      </w:pPr>
      <w:r>
        <w:t xml:space="preserve">A-1. This annex contains supplementary provisions that extend the main body of the memorandum for testing purposes.</w:t>
      </w:r>
    </w:p>
    <w:p>
      <w:pPr>
        <w:pStyle w:val="BodyText"/>
      </w:pPr>
      <w:r>
        <w:t xml:space="preserve">A-2. Paragraph text that spans more than thirty characters will be used in the split and delete test operations.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[PAGE] of [NUMPAGES]</w:t>
    </w:r>
  </w:p>
  <w:p>
    <w:r>
      <w:t xml:space="preserve">Synthetic Test Fixture — Not a Real Government Document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rPr>
        <w:b/>
      </w:rPr>
      <w:t>SYNTHETIC MEMORANDUM HEADER</w:t>
    </w:r>
  </w:p>
  <w:p>
    <w:r>
      <w:t xml:space="preserve">DISTRIBUTION: UNLIMITED — TEST FIXTURE ONLY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multilevel"/>
    <w:lvl w:ilvl="0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w14="http://schemas.microsoft.com/office/word/2010/wordml">
  <w:style w:type="paragraph" w:default="1" w:styleId="Normal">
    <w:name w:val="Normal"/>
    <w:pPr>
      <w:jc w:val="left"/>
    </w:pPr>
  </w:style>
  <w:style w:type="paragraph" w:styleId="Heading1">
    <w:name w:val="Heading 1"/>
    <w:basedOn w:val="Normal"/>
    <w:pPr>
      <w:outlineLvl w:val="0"/>
      <w:jc w:val="left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BodyText">
    <w:name w:val="Body Text"/>
    <w:basedOn w:val="Normal"/>
  </w:style>
  <w:style w:type="paragraph" w:styleId="ListParagraph">
    <w:name w:val="List Paragraph"/>
    <w:basedOn w:val="Normal"/>
    <w:pPr>
      <w:ind w:left="720"/>
    </w:pPr>
  </w:style>
  <w:style w:type="paragraph" w:styleId="TableGrid">
    <w:name w:val="Table Grid"/>
  </w:style>
  <w:style w:type="paragraph" w:styleId="Caption">
    <w:name w:val="Caption"/>
    <w:basedOn w:val="Normal"/>
    <w:rPr>
      <w:i/>
    </w:rPr>
  </w:style>
  <w:style w:type="paragraph" w:styleId="Title">
    <w:name w:val="Title"/>
    <w:basedOn w:val="Normal"/>
    <w:pPr>
      <w:jc w:val="center"/>
    </w:pPr>
    <w:rPr>
      <w:b/>
      <w:sz w:val="48"/>
    </w:rPr>
  </w:style>
  <w:style w:type="paragraph" w:styleId="Subtitle">
    <w:name w:val="Subtitle"/>
    <w:basedOn w:val="Normal"/>
    <w:pPr>
      <w:jc w:val="center"/>
    </w:pPr>
  </w:style>
  <w:style w:type="character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