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sdt>
      <w:sdtPr>
        <w:tag w:val="doc_number"/>
        <w:alias w:val="Document Number"/>
      </w:sdtPr>
      <w:sdtContent>
        <w:p>
          <w:r>
            <w:t>[Enter Document Number]</w:t>
          </w:r>
        </w:p>
      </w:sdtContent>
    </w:sdt>
    <w:sdt>
      <w:sdtPr>
        <w:tag w:val="pub_title"/>
        <w:alias w:val="Publication Title"/>
      </w:sdtPr>
      <w:sdtContent>
        <w:p>
          <w:r>
            <w:t>[Enter Publication Title]</w:t>
          </w:r>
        </w:p>
      </w:sdtContent>
    </w:sdt>
    <w:sdt>
      <w:sdtPr>
        <w:tag w:val="effective_date"/>
        <w:alias w:val="Effective Date"/>
      </w:sdtPr>
      <w:sdtContent>
        <w:p>
          <w:r>
            <w:t>[Enter Effective Date]</w:t>
          </w:r>
        </w:p>
      </w:sdtContent>
    </w:sdt>
    <w:sdt>
      <w:sdtPr>
        <w:tag w:val="supersedes"/>
        <w:alias w:val="Supersedes"/>
      </w:sdtPr>
      <w:sdtContent>
        <w:p>
          <w:r>
            <w:t>[Enter Superseded Document]</w:t>
          </w:r>
        </w:p>
      </w:sdtContent>
    </w:sdt>
    <w:sdt>
      <w:sdtPr>
        <w:tag w:val="applicability"/>
        <w:alias w:val="Applicability"/>
      </w:sdtPr>
      <w:sdtContent>
        <w:p>
          <w:r>
            <w:t>[Enter Applicability Statement]</w:t>
          </w:r>
        </w:p>
      </w:sdtContent>
    </w:sdt>
    <w:sdt>
      <w:sdtPr>
        <w:tag w:val="subject"/>
        <w:alias w:val="Subject"/>
      </w:sdtPr>
      <w:sdtContent>
        <w:p>
          <w:r>
            <w:t>[Enter Subject]</w:t>
          </w:r>
        </w:p>
      </w:sdtContent>
    </w:sdt>
    <w:sdt>
      <w:sdtPr>
        <w:tag w:val="issuing_authority"/>
        <w:alias w:val="Issuing Authority"/>
      </w:sdtPr>
      <w:sdtContent>
        <w:p>
          <w:r>
            <w:t>[Enter Issuing Authority]</w:t>
          </w:r>
        </w:p>
      </w:sdtContent>
    </w:sdt>
    <w:sdt>
      <w:sdtPr>
        <w:tag w:val="page_count"/>
        <w:alias w:val="Page Count"/>
      </w:sdtPr>
      <w:sdtContent>
        <w:p>
          <w:r>
            <w:t>[Enter Page Count]</w:t>
          </w:r>
        </w:p>
      </w:sdtContent>
    </w:sdt>
    <w:sdt>
      <w:sdtPr>
        <w:tag w:val="classification"/>
        <w:alias w:val="Classification"/>
      </w:sdtPr>
      <w:sdtContent>
        <w:p>
          <w:r>
            <w:t>[Enter Classification]</w:t>
          </w:r>
        </w:p>
      </w:sdtContent>
    </w:sdt>
    <w:sdt>
      <w:sdtPr>
        <w:tag w:val="distribution"/>
        <w:alias w:val="Distribution Statement"/>
      </w:sdtPr>
      <w:sdtContent>
        <w:p>
          <w:r>
            <w:t>[Enter Distribution Statement]</w:t>
          </w:r>
        </w:p>
      </w:sdtContent>
    </w:sdt>
    <w:sdt>
      <w:sdtPr>
        <w:tag w:val="poc_name"/>
        <w:alias w:val="POC Name"/>
      </w:sdtPr>
      <w:sdtContent>
        <w:p>
          <w:r>
            <w:t>[Enter Point of Contact Name]</w:t>
          </w:r>
        </w:p>
      </w:sdtContent>
    </w:sdt>
    <w:sdt>
      <w:sdtPr>
        <w:tag w:val="poc_phone"/>
        <w:alias w:val="POC Phone"/>
      </w:sdtPr>
      <w:sdtContent>
        <w:p>
          <w:r>
            <w:t>[Enter POC Phone Number]</w:t>
          </w:r>
        </w:p>
      </w:sdtContent>
    </w:sdt>
    <w:p>
      <w:pPr>
        <w:pStyle w:val="Heading1"/>
      </w:pPr>
      <w:r>
        <w:t>CHAPTER 1: PURPOSE AND SCOPE</w:t>
      </w:r>
    </w:p>
    <w:p>
      <w:pPr>
        <w:pStyle w:val="BodyText"/>
      </w:pPr>
      <w:r>
        <w:t xml:space="preserve">1.1. PURPOSE. This publication establishes policies and procedures for the management of automated test fixtures within the document generation system.</w:t>
      </w:r>
    </w:p>
    <w:p>
      <w:pPr>
        <w:pStyle w:val="BodyText"/>
      </w:pPr>
      <w:r>
        <w:t xml:space="preserve">1.2. SCOPE. This publication applies to all automated testing activities that exercise DOCX parsing and editing functionality within the test suite infrastructure.</w:t>
      </w:r>
    </w:p>
    <w:p>
      <w:pPr>
        <w:pStyle w:val="BodyText"/>
      </w:pPr>
      <w:r>
        <w:t xml:space="preserve">1.3. AUTHORITY. The authority for this publication derives from the requirements of the test framework and the need for reproducible, controlled test fixtures.</w:t>
      </w:r>
    </w:p>
    <w:p>
      <w:pPr>
        <w:pStyle w:val="BodyText"/>
      </w:pPr>
      <w:r>
        <w:t xml:space="preserve">1.4. RESPONSIBILITIES. The development team shall maintain these synthetic fixtures in a state that accurately represents the structural features required by each test case.</w:t>
      </w:r>
    </w:p>
    <w:p>
      <w:pPr>
        <w:pStyle w:val="Heading1"/>
      </w:pPr>
      <w:r>
        <w:t>CHAPTER 2: POLICY</w:t>
      </w:r>
    </w:p>
    <w:p>
      <w:pPr>
        <w:pStyle w:val="Heading2"/>
      </w:pPr>
      <w:r>
        <w:t>2.1 General Policy Requirements</w:t>
      </w:r>
    </w:p>
    <w:p>
      <w:pPr>
        <w:pStyle w:val="BodyText"/>
      </w:pPr>
      <w:r>
        <w:t xml:space="preserve">This chapter defines the general policy requirements for document template management. Templates shall conform to OOXML specification requirements and shall include all required structural elements.</w:t>
      </w:r>
    </w:p>
    <w:p>
      <w:pPr>
        <w:pStyle w:val="BodyText"/>
      </w:pPr>
      <w:r>
        <w:t xml:space="preserve">The parser component shall extract all structural metadata from templates including paragraph styles, content controls, headers, footers, numbering definitions, and page setup parameters.</w:t>
      </w:r>
    </w:p>
    <w:p>
      <w:pPr>
        <w:pStyle w:val="Heading2"/>
      </w:pPr>
      <w:r>
        <w:t>2.2 Content Control Requirements</w:t>
      </w:r>
    </w:p>
    <w:p>
      <w:pPr>
        <w:pStyle w:val="BodyText"/>
      </w:pPr>
      <w:r>
        <w:t xml:space="preserve">Content controls shall be tagged with machine-readable identifiers to enable programmatic access to metadata fill regions within the document template.</w:t>
      </w:r>
    </w:p>
    <w:p>
      <w:pPr>
        <w:pStyle w:val="BodyText"/>
      </w:pPr>
      <w:r>
        <w:t xml:space="preserve">Each content control shall specify an alias attribute that provides a human-readable label for the associated fill region.</w:t>
      </w:r>
    </w:p>
    <w:p>
      <w:pPr>
        <w:pStyle w:val="Heading2"/>
      </w:pPr>
      <w:r>
        <w:t>2.3 Style Requirements</w:t>
      </w:r>
    </w:p>
    <w:p>
      <w:pPr>
        <w:pStyle w:val="BodyText"/>
      </w:pPr>
      <w:r>
        <w:t xml:space="preserve">Documents shall define named paragraph styles in the styles.xml component of the DOCX package. Heading styles shall be defined using the standard Heading1 through Heading9 style identifiers.</w:t>
      </w:r>
    </w:p>
    <w:p>
      <w:pPr>
        <w:pStyle w:val="BodyText"/>
      </w:pPr>
      <w:r>
        <w:t xml:space="preserve">Style definitions shall include formatting properties such as font size, bold weight, alignment, and indentation as appropriate for each style type.</w:t>
      </w:r>
    </w:p>
    <w:p>
      <w:pPr>
        <w:pStyle w:val="Heading1"/>
      </w:pPr>
      <w:r>
        <w:t>CHAPTER 3: PROCEDURES</w:t>
      </w:r>
    </w:p>
    <w:p>
      <w:pPr>
        <w:pStyle w:val="Heading2"/>
      </w:pPr>
      <w:r>
        <w:t>3.1 Template Creation</w:t>
      </w:r>
    </w:p>
    <w:p>
      <w:pPr>
        <w:pStyle w:val="BodyText"/>
      </w:pPr>
      <w:r>
        <w:t xml:space="preserve">3.1.1. Templates shall be created using the approved document generator tools and shall conform to the structural requirements defined in this publication.</w:t>
      </w:r>
    </w:p>
    <w:p>
      <w:pPr>
        <w:pStyle w:val="BodyText"/>
      </w:pPr>
      <w:r>
        <w:t xml:space="preserve">3.1.2. All required content controls shall be present in the template before it is approved for use in the test suite.</w:t>
      </w:r>
    </w:p>
    <w:p>
      <w:pPr>
        <w:pStyle w:val="BodyText"/>
      </w:pPr>
      <w:r>
        <w:t xml:space="preserve">3.1.3. The template shall be validated by running the full test suite against the generated fixture before committing to version control.</w:t>
      </w:r>
    </w:p>
    <w:p>
      <w:pPr>
        <w:pStyle w:val="Heading2"/>
      </w:pPr>
      <w:r>
        <w:t>3.2 Template Validation</w:t>
      </w:r>
    </w:p>
    <w:p>
      <w:pPr>
        <w:pStyle w:val="BodyText"/>
      </w:pPr>
      <w:r>
        <w:t xml:space="preserve">3.2.1. Template validation shall include parsing verification, round-trip identity testing, and structural property assertion.</w:t>
      </w:r>
    </w:p>
    <w:p>
      <w:pPr>
        <w:pStyle w:val="BodyText"/>
      </w:pPr>
      <w:r>
        <w:t xml:space="preserve">3.2.2. The validation process shall verify that all content controls are correctly tagged and that heading-bounded sections are properly delimited.</w:t>
      </w:r>
    </w:p>
    <w:p>
      <w:pPr>
        <w:pStyle w:val="Heading3"/>
      </w:pPr>
      <w:r>
        <w:t>3.2.1 Parsing Validation Steps</w:t>
      </w:r>
    </w:p>
    <w:p>
      <w:pPr>
        <w:pStyle w:val="ListParagraph"/>
      </w:pPr>
      <w:r>
        <w:t xml:space="preserve">a. Load fixture bytes from disk.</w:t>
      </w:r>
    </w:p>
    <w:p>
      <w:pPr>
        <w:pStyle w:val="ListParagraph"/>
      </w:pPr>
      <w:r>
        <w:t xml:space="preserve">b. Invoke parseDocx with appropriate metadata.</w:t>
      </w:r>
    </w:p>
    <w:p>
      <w:pPr>
        <w:pStyle w:val="ListParagraph"/>
      </w:pPr>
      <w:r>
        <w:t xml:space="preserve">c. Assert paragraph count is within expected range.</w:t>
      </w:r>
    </w:p>
    <w:p>
      <w:pPr>
        <w:pStyle w:val="ListParagraph"/>
      </w:pPr>
      <w:r>
        <w:t xml:space="preserve">d. Assert at least one heading-bounded section exists.</w:t>
      </w:r>
    </w:p>
    <w:p>
      <w:pPr>
        <w:pStyle w:val="Heading1"/>
      </w:pPr>
      <w:r>
        <w:t>CHAPTER 4: REFERENCES</w:t>
      </w:r>
    </w:p>
    <w:p>
      <w:pPr>
        <w:pStyle w:val="BodyText"/>
      </w:pPr>
      <w:r>
        <w:t xml:space="preserve">4.1. The following references apply to this publication:</w:t>
      </w:r>
    </w:p>
    <w:p>
      <w:pPr>
        <w:pStyle w:val="ListParagraph"/>
      </w:pPr>
      <w:r>
        <w:t xml:space="preserve">a. OOXML Specification (ISO/IEC 29500)</w:t>
      </w:r>
    </w:p>
    <w:p>
      <w:pPr>
        <w:pStyle w:val="ListParagraph"/>
      </w:pPr>
      <w:r>
        <w:t xml:space="preserve">b. Vitest Testing Framework Documentation</w:t>
      </w:r>
    </w:p>
    <w:p>
      <w:pPr>
        <w:pStyle w:val="ListParagraph"/>
      </w:pPr>
      <w:r>
        <w:t xml:space="preserve">c. JSZip Library Documentation</w:t>
      </w:r>
    </w:p>
    <w:p>
      <w:pPr>
        <w:pStyle w:val="ListParagraph"/>
      </w:pPr>
      <w:r>
        <w:t xml:space="preserve">d. Project test suite README</w:t>
      </w:r>
    </w:p>
    <w:p>
      <w:pPr>
        <w:pStyle w:val="Heading1"/>
      </w:pPr>
      <w:r>
        <w:t>CHAPTER 5: DEFINITIONS</w:t>
      </w:r>
    </w:p>
    <w:p>
      <w:pPr>
        <w:pStyle w:val="BodyText"/>
      </w:pPr>
      <w:r>
        <w:t xml:space="preserve">5.1. CONTENT CONTROL. A structured document tag (SDT) element that defines a fill region within a DOCX template.</w:t>
      </w:r>
    </w:p>
    <w:p>
      <w:pPr>
        <w:pStyle w:val="BodyText"/>
      </w:pPr>
      <w:r>
        <w:t xml:space="preserve">5.2. HEADING-BOUNDED SECTION. A body region delimited by heading-styled paragraphs in the document body.</w:t>
      </w:r>
    </w:p>
    <w:p>
      <w:pPr>
        <w:pStyle w:val="BodyText"/>
      </w:pPr>
      <w:r>
        <w:t xml:space="preserve">5.3. ROUND-TRIP. The process of parsing a DOCX, applying edits, and re-parsing to verify structural integrity.</w:t>
      </w:r>
    </w:p>
    <w:p>
      <w:pPr>
        <w:pStyle w:val="BodyText"/>
      </w:pPr>
      <w:r>
        <w:t xml:space="preserve">5.4. NAMED STYLE. A paragraph or character style definition in the styles.xml component of a DOCX package.</w:t>
      </w:r>
    </w:p>
    <w:p>
      <w:pPr>
        <w:pStyle w:val="BodyText"/>
      </w:pPr>
      <w:r>
        <w:t xml:space="preserve">5.5. PAGE SETUP. The collection of page size, orientation, and margin settings defined in the sectPr element.</w:t>
      </w:r>
    </w:p>
    <w:sectPr>
      <w:headerReference w:type="default" r:id="rId4"/>
      <w:footerReference w:type="default" r:id="rId5"/>
      <w:footerReference w:type="first" r:id="rId6"/>
      <w:pgSz w:w="12240" w:h="15840" w:orient="portrait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DISTRIBUTION STATEMENT A: Approved for public release; distribution is unlimited.</w:t>
    </w:r>
  </w:p>
  <w:p>
    <w:r>
      <w:t xml:space="preserve">Synthetic Test Fixture — Page [PAGE]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SYNTHETIC PUBLICATION — CHAPTER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rPr>
        <w:b/>
      </w:rPr>
      <w:t>SYNTHETIC PUBLICATION HEADER</w:t>
    </w:r>
  </w:p>
  <w:p>
    <w:r>
      <w:t xml:space="preserve">FOR TESTING PURPOSES ONLY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multilevel"/>
    <w:lvl w:ilvl="0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w14="http://schemas.microsoft.com/office/word/2010/wordml">
  <w:style w:type="paragraph" w:default="1" w:styleId="Normal">
    <w:name w:val="Normal"/>
    <w:pPr>
      <w:jc w:val="left"/>
    </w:pPr>
  </w:style>
  <w:style w:type="paragraph" w:styleId="Heading1">
    <w:name w:val="Heading 1"/>
    <w:basedOn w:val="Normal"/>
    <w:pPr>
      <w:outlineLvl w:val="0"/>
      <w:jc w:val="left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Heading3">
    <w:name w:val="Heading 3"/>
    <w:basedOn w:val="Normal"/>
    <w:pPr>
      <w:outlineLvl w:val="2"/>
    </w:pPr>
    <w:rPr>
      <w:b/>
      <w:sz w:val="22"/>
    </w:rPr>
  </w:style>
  <w:style w:type="paragraph" w:styleId="BodyText">
    <w:name w:val="Body Text"/>
    <w:basedOn w:val="Normal"/>
  </w:style>
  <w:style w:type="paragraph" w:styleId="ListParagraph">
    <w:name w:val="List Paragraph"/>
    <w:basedOn w:val="Normal"/>
    <w:pPr>
      <w:ind w:left="720"/>
    </w:pPr>
  </w:style>
  <w:style w:type="paragraph" w:styleId="TableGrid">
    <w:name w:val="Table Grid"/>
  </w:style>
  <w:style w:type="paragraph" w:styleId="Caption">
    <w:name w:val="Caption"/>
    <w:basedOn w:val="Normal"/>
    <w:rPr>
      <w:i/>
    </w:rPr>
  </w:style>
  <w:style w:type="paragraph" w:styleId="Title">
    <w:name w:val="Title"/>
    <w:basedOn w:val="Normal"/>
    <w:pPr>
      <w:jc w:val="center"/>
    </w:pPr>
    <w:rPr>
      <w:b/>
      <w:sz w:val="48"/>
    </w:rPr>
  </w:style>
  <w:style w:type="paragraph" w:styleId="Subtitle">
    <w:name w:val="Subtitle"/>
    <w:basedOn w:val="Normal"/>
    <w:pPr>
      <w:jc w:val="center"/>
    </w:pPr>
  </w:style>
  <w:style w:type="character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footer" Target="footer2.xml"/>
</Relationships>
</file>