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35B4" w:rsidRDefault="00985820">
      <w:pPr>
        <w:pStyle w:val="Title"/>
      </w:pPr>
      <w:r>
        <w:t>SNPsea Reference Manual</w:t>
      </w:r>
    </w:p>
    <w:p w:rsidR="004F35B4" w:rsidRDefault="00985820">
      <w:pPr>
        <w:pStyle w:val="Authors"/>
      </w:pPr>
      <w:r>
        <w:t>Kamil Slowikowski</w:t>
      </w:r>
    </w:p>
    <w:p w:rsidR="004F35B4" w:rsidRDefault="00985820">
      <w:pPr>
        <w:pStyle w:val="Date"/>
      </w:pPr>
      <w:r>
        <w:t>March 31, 2014</w:t>
      </w:r>
    </w:p>
    <w:p w:rsidR="004F35B4" w:rsidRDefault="004F35B4"/>
    <w:p w:rsidR="004F35B4" w:rsidRDefault="00985820">
      <w:pPr>
        <w:pStyle w:val="Heading1"/>
      </w:pPr>
      <w:bookmarkStart w:id="0" w:name="introduction"/>
      <w:r>
        <w:t>Introduction</w:t>
      </w:r>
    </w:p>
    <w:bookmarkEnd w:id="0"/>
    <w:p w:rsidR="004F35B4" w:rsidRDefault="00985820">
      <w:r>
        <w:t>SNPsea is a general algorithm to identify cell types, tissues, and pathways likely to be affected by risk loci. The required input is a list of SNP identifiers and a matrix of genes and conditions.</w:t>
      </w:r>
    </w:p>
    <w:p w:rsidR="004F35B4" w:rsidRDefault="00985820">
      <w:r>
        <w:t>Suppose we have a gene expression matrix with expression p</w:t>
      </w:r>
      <w:r>
        <w:t>rofiles for multiple cell types. Our goal may be to determine if some alleles associated to a trait contain genes that are important for the function of a particular cell type.</w:t>
      </w:r>
    </w:p>
    <w:p w:rsidR="004F35B4" w:rsidRDefault="00985820">
      <w:r>
        <w:t>First, we identify the genes in linkage disequilibrium with the given trait-ass</w:t>
      </w:r>
      <w:r>
        <w:t>ociated SNPs and score them for specificity to each cell type. To evaluate significance of the specificity, we calculate an exact permutation p-value as follows. We take the sum of the specificity scores and compare it to a null distribution that is define</w:t>
      </w:r>
      <w:r>
        <w:t>d by sampling random matched SNP sets. They are matched to the original trait-associated SNPs on the number of linked genes.</w:t>
      </w:r>
    </w:p>
    <w:p w:rsidR="004F35B4" w:rsidRDefault="00985820">
      <w:r>
        <w:t>This implementation is generalized, so you may provide (1) a continuous gene matrix with gene expression (or any other values) or (</w:t>
      </w:r>
      <w:r>
        <w:t>2) a binary gene matrix with presence/absence 1/0 values. We provide two continuous matrices and one binary matrix for you.</w:t>
      </w:r>
    </w:p>
    <w:p w:rsidR="004F35B4" w:rsidRDefault="00985820">
      <w:r>
        <w:t xml:space="preserve">The columns of the matrix could be tissues, cell types, GO annotation codes, or any other types of </w:t>
      </w:r>
      <w:r>
        <w:rPr>
          <w:i/>
        </w:rPr>
        <w:t>conditions</w:t>
      </w:r>
      <w:r>
        <w:t xml:space="preserve">. Continuous matrices </w:t>
      </w:r>
      <w:r>
        <w:rPr>
          <w:i/>
        </w:rPr>
        <w:t>m</w:t>
      </w:r>
      <w:r>
        <w:rPr>
          <w:i/>
        </w:rPr>
        <w:t>ust</w:t>
      </w:r>
      <w:r>
        <w:t xml:space="preserve"> be normalized before running SNPsea so that columns are directly comparable to each other.</w:t>
      </w:r>
    </w:p>
    <w:p w:rsidR="004F35B4" w:rsidRDefault="00985820">
      <w:r>
        <w:t>This analysis is able to detect if there is an enrichment of condition-specificity of the genes linked with trait-associated SNPs.</w:t>
      </w:r>
    </w:p>
    <w:p w:rsidR="004F35B4" w:rsidRDefault="00985820">
      <w:r>
        <w:t>If trait-associated alleles in</w:t>
      </w:r>
      <w:r>
        <w:t>fluence a small number of pathogenic tissues or cell types, we hypothesize that the subset of genes with critical functions in those pathogenic cell types are likely to be within trait-associated loci.</w:t>
      </w:r>
    </w:p>
    <w:p w:rsidR="004F35B4" w:rsidRDefault="00985820">
      <w:r>
        <w:t>We assume that a gene's specificity to a given cell ty</w:t>
      </w:r>
      <w:r>
        <w:t>pe or condition is a reasonable indicator of the gene's importance to its function.</w:t>
      </w:r>
    </w:p>
    <w:p w:rsidR="004F35B4" w:rsidRDefault="00985820">
      <w:r>
        <w:t>If you benefit from this method, please cite:</w:t>
      </w:r>
    </w:p>
    <w:p w:rsidR="004F35B4" w:rsidRDefault="00985820">
      <w:pPr>
        <w:pStyle w:val="BlockQuote"/>
      </w:pPr>
      <w:r>
        <w:t xml:space="preserve">Slowikowski, K. et al. </w:t>
      </w:r>
      <w:r>
        <w:rPr>
          <w:b/>
        </w:rPr>
        <w:t>SNPsea: an algorithm to identify cell types, tissues, and pathways affected by risk loci.</w:t>
      </w:r>
      <w:r>
        <w:t xml:space="preserve"> Bioinformatic</w:t>
      </w:r>
      <w:r>
        <w:t>s (2014). doi:</w:t>
      </w:r>
      <w:hyperlink r:id="rId6">
        <w:r>
          <w:rPr>
            <w:rStyle w:val="Link"/>
          </w:rPr>
          <w:t>10.1093/bioinformatics/btu326</w:t>
        </w:r>
      </w:hyperlink>
    </w:p>
    <w:p w:rsidR="004F35B4" w:rsidRDefault="00985820">
      <w:r>
        <w:lastRenderedPageBreak/>
        <w:t>See additional examples:</w:t>
      </w:r>
    </w:p>
    <w:p w:rsidR="004F35B4" w:rsidRDefault="00985820">
      <w:pPr>
        <w:pStyle w:val="BlockQuote"/>
      </w:pPr>
      <w:r>
        <w:t xml:space="preserve">Hu, X. et al. </w:t>
      </w:r>
      <w:r>
        <w:rPr>
          <w:b/>
        </w:rPr>
        <w:t>Integrating autoimmune risk loci with gene-expression data identif</w:t>
      </w:r>
      <w:r>
        <w:rPr>
          <w:b/>
        </w:rPr>
        <w:t>ies specific pathogenic immune cell subsets.</w:t>
      </w:r>
      <w:r>
        <w:t xml:space="preserve"> The American Journal of Human Genetics 89, 496–506 (2011). </w:t>
      </w:r>
      <w:hyperlink r:id="rId7">
        <w:r>
          <w:rPr>
            <w:rStyle w:val="Link"/>
          </w:rPr>
          <w:t>PubMed</w:t>
        </w:r>
      </w:hyperlink>
    </w:p>
    <w:p w:rsidR="004F35B4" w:rsidRDefault="00985820">
      <w:pPr>
        <w:pStyle w:val="Heading2"/>
      </w:pPr>
      <w:bookmarkStart w:id="1" w:name="contact"/>
      <w:r>
        <w:t>Contact</w:t>
      </w:r>
    </w:p>
    <w:bookmarkEnd w:id="1"/>
    <w:p w:rsidR="004F35B4" w:rsidRDefault="00985820">
      <w:r>
        <w:t xml:space="preserve">Please contact me with questions and comments: </w:t>
      </w:r>
      <w:hyperlink r:id="rId8">
        <w:r>
          <w:rPr>
            <w:rStyle w:val="Link"/>
          </w:rPr>
          <w:t>slowikow@broadinstitute.org</w:t>
        </w:r>
      </w:hyperlink>
    </w:p>
    <w:p w:rsidR="004F35B4" w:rsidRDefault="00985820">
      <w:pPr>
        <w:pStyle w:val="Heading2"/>
      </w:pPr>
      <w:bookmarkStart w:id="2" w:name="visual-summary"/>
      <w:r>
        <w:t>Visual Summary</w:t>
      </w:r>
    </w:p>
    <w:p w:rsidR="004F35B4" w:rsidRDefault="00985820">
      <w:pPr>
        <w:pStyle w:val="Heading3"/>
      </w:pPr>
      <w:bookmarkStart w:id="3" w:name="cartoon"/>
      <w:bookmarkEnd w:id="2"/>
      <w:r>
        <w:t>Cartoon</w:t>
      </w:r>
    </w:p>
    <w:bookmarkEnd w:id="3"/>
    <w:p w:rsidR="004F35B4" w:rsidRDefault="00985820">
      <w:r>
        <w:rPr>
          <w:noProof/>
        </w:rPr>
        <w:drawing>
          <wp:inline distT="0" distB="0" distL="0" distR="0">
            <wp:extent cx="5983506" cy="277124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cartoon.png"/>
                    <pic:cNvPicPr>
                      <a:picLocks noChangeAspect="1" noChangeArrowheads="1"/>
                    </pic:cNvPicPr>
                  </pic:nvPicPr>
                  <pic:blipFill>
                    <a:blip r:embed="rId9"/>
                    <a:stretch>
                      <a:fillRect/>
                    </a:stretch>
                  </pic:blipFill>
                  <pic:spPr bwMode="auto">
                    <a:xfrm>
                      <a:off x="0" y="0"/>
                      <a:ext cx="5985943" cy="2772378"/>
                    </a:xfrm>
                    <a:prstGeom prst="rect">
                      <a:avLst/>
                    </a:prstGeom>
                    <a:noFill/>
                    <a:ln w="9525">
                      <a:noFill/>
                      <a:headEnd/>
                      <a:tailEnd/>
                    </a:ln>
                  </pic:spPr>
                </pic:pic>
              </a:graphicData>
            </a:graphic>
          </wp:inline>
        </w:drawing>
      </w:r>
    </w:p>
    <w:p w:rsidR="004F35B4" w:rsidRDefault="00985820">
      <w:r>
        <w:t>This cartoon illustrates the key ideas of the algorithm:</w:t>
      </w:r>
    </w:p>
    <w:p w:rsidR="004F35B4" w:rsidRDefault="00985820">
      <w:pPr>
        <w:numPr>
          <w:ilvl w:val="0"/>
          <w:numId w:val="2"/>
        </w:numPr>
      </w:pPr>
      <w:r>
        <w:t>Each SNP in a set of disease-associated SNPs is in linkage disequilibrium (LD) with multiple genes. The genes are score</w:t>
      </w:r>
      <w:r>
        <w:t>d, in aggregate, for specificity to each tissue.</w:t>
      </w:r>
    </w:p>
    <w:p w:rsidR="004F35B4" w:rsidRDefault="00985820">
      <w:pPr>
        <w:numPr>
          <w:ilvl w:val="0"/>
          <w:numId w:val="2"/>
        </w:numPr>
      </w:pPr>
      <w:r>
        <w:t>The procedure is repeated with random null SNP sets that are not associated with any phenotype.</w:t>
      </w:r>
    </w:p>
    <w:p w:rsidR="004F35B4" w:rsidRDefault="00985820">
      <w:pPr>
        <w:numPr>
          <w:ilvl w:val="0"/>
          <w:numId w:val="2"/>
        </w:numPr>
      </w:pPr>
      <w:r>
        <w:t>The random SNP sets form the null distribution which allows us to determine the statistical significance of enr</w:t>
      </w:r>
      <w:r>
        <w:t>ichment for specificity to a particular tissue.</w:t>
      </w:r>
    </w:p>
    <w:p w:rsidR="004F35B4" w:rsidRDefault="00985820">
      <w:pPr>
        <w:pStyle w:val="Heading3"/>
      </w:pPr>
      <w:bookmarkStart w:id="4" w:name="flow-chart"/>
      <w:r>
        <w:t>Flow Chart</w:t>
      </w:r>
    </w:p>
    <w:bookmarkEnd w:id="4"/>
    <w:p w:rsidR="004F35B4" w:rsidRDefault="00985820">
      <w:r>
        <w:rPr>
          <w:noProof/>
        </w:rPr>
        <w:drawing>
          <wp:inline distT="0" distB="0" distL="0" distR="0">
            <wp:extent cx="5480643" cy="3786626"/>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flowchart.png"/>
                    <pic:cNvPicPr>
                      <a:picLocks noChangeAspect="1" noChangeArrowheads="1"/>
                    </pic:cNvPicPr>
                  </pic:nvPicPr>
                  <pic:blipFill>
                    <a:blip r:embed="rId10"/>
                    <a:stretch>
                      <a:fillRect/>
                    </a:stretch>
                  </pic:blipFill>
                  <pic:spPr bwMode="auto">
                    <a:xfrm>
                      <a:off x="0" y="0"/>
                      <a:ext cx="5486688" cy="3790803"/>
                    </a:xfrm>
                    <a:prstGeom prst="rect">
                      <a:avLst/>
                    </a:prstGeom>
                    <a:noFill/>
                    <a:ln w="9525">
                      <a:noFill/>
                      <a:headEnd/>
                      <a:tailEnd/>
                    </a:ln>
                  </pic:spPr>
                </pic:pic>
              </a:graphicData>
            </a:graphic>
          </wp:inline>
        </w:drawing>
      </w:r>
    </w:p>
    <w:p w:rsidR="004F35B4" w:rsidRDefault="00985820">
      <w:r>
        <w:t>This flow chart shows the input data required to perform the analysis, and a summary of the intermediate steps.</w:t>
      </w:r>
    </w:p>
    <w:p w:rsidR="004F35B4" w:rsidRDefault="00985820">
      <w:pPr>
        <w:pStyle w:val="Heading2"/>
      </w:pPr>
      <w:bookmarkStart w:id="5" w:name="algorithm-details"/>
      <w:r>
        <w:t>Algorithm Details</w:t>
      </w:r>
    </w:p>
    <w:bookmarkEnd w:id="5"/>
    <w:p w:rsidR="004F35B4" w:rsidRDefault="00985820">
      <w:r>
        <w:t>SNPsea tests if genes implicated by risk loci (e</w:t>
      </w:r>
      <w:bookmarkStart w:id="6" w:name="_GoBack"/>
      <w:bookmarkEnd w:id="6"/>
      <w:r>
        <w:t>.g., those discovered through genome-wide association (GWA) studies) are specifically expressed in some conditions over others, and if this specificity is statistically significant. The program requires two i</w:t>
      </w:r>
      <w:r>
        <w:t>nputs:</w:t>
      </w:r>
    </w:p>
    <w:p w:rsidR="004F35B4" w:rsidRDefault="00985820">
      <w:pPr>
        <w:numPr>
          <w:ilvl w:val="0"/>
          <w:numId w:val="3"/>
        </w:numPr>
      </w:pPr>
      <w:r>
        <w:t>A list of SNP identifiers: rs123, 12:456, ...</w:t>
      </w:r>
    </w:p>
    <w:p w:rsidR="004F35B4" w:rsidRDefault="00985820">
      <w:pPr>
        <w:numPr>
          <w:ilvl w:val="0"/>
          <w:numId w:val="3"/>
        </w:numPr>
      </w:pPr>
      <w:r>
        <w:t>A matrix of genes and conditions, such as:</w:t>
      </w:r>
    </w:p>
    <w:p w:rsidR="004F35B4" w:rsidRDefault="00985820">
      <w:pPr>
        <w:numPr>
          <w:ilvl w:val="1"/>
          <w:numId w:val="4"/>
        </w:numPr>
      </w:pPr>
      <w:r>
        <w:t>Gene expression profiles of multiple different cell types.</w:t>
      </w:r>
    </w:p>
    <w:p w:rsidR="004F35B4" w:rsidRDefault="00985820">
      <w:pPr>
        <w:numPr>
          <w:ilvl w:val="1"/>
          <w:numId w:val="4"/>
        </w:numPr>
      </w:pPr>
      <w:r>
        <w:t>Ontology terms and presence/absence 1/0 values for each gene in each term.</w:t>
      </w:r>
    </w:p>
    <w:p w:rsidR="004F35B4" w:rsidRDefault="00985820">
      <w:r>
        <w:t>For example, SNPsea can be</w:t>
      </w:r>
      <w:r>
        <w:t xml:space="preserve"> used to find tissues or cell types whose function is likely to be influenced by genes in risk loci. If the genes in risk loci are used in relatively few cell types, we hypothesize that they are likely to affect those cell types’ unique functions. This ass</w:t>
      </w:r>
      <w:r>
        <w:t>umes that expression specificity is a good indicator of a gene’s importance to the unique function of the cell type.</w:t>
      </w:r>
    </w:p>
    <w:p w:rsidR="004F35B4" w:rsidRDefault="00985820">
      <w:r>
        <w:t>For a given set of SNPs associated to some phenotype, SNPsea tests whether all implicated genes, in aggregate, are enriched for specificity to a condition in a user-provided matrix of genes and conditions/annotations. The algorithm consists of three steps:</w:t>
      </w:r>
    </w:p>
    <w:p w:rsidR="004F35B4" w:rsidRDefault="00985820">
      <w:pPr>
        <w:numPr>
          <w:ilvl w:val="0"/>
          <w:numId w:val="5"/>
        </w:numPr>
      </w:pPr>
      <w:r>
        <w:rPr>
          <w:b/>
        </w:rPr>
        <w:t>Step 1: Assigning genes to each SNP</w:t>
      </w:r>
    </w:p>
    <w:p w:rsidR="004F35B4" w:rsidRDefault="00985820">
      <w:pPr>
        <w:pStyle w:val="Compact"/>
        <w:numPr>
          <w:ilvl w:val="1"/>
          <w:numId w:val="6"/>
        </w:numPr>
      </w:pPr>
      <w:r>
        <w:t>We use linkage disequilibrium (LD) to identify the genes implicated by each SNP.</w:t>
      </w:r>
    </w:p>
    <w:p w:rsidR="004F35B4" w:rsidRDefault="00985820">
      <w:pPr>
        <w:numPr>
          <w:ilvl w:val="0"/>
          <w:numId w:val="5"/>
        </w:numPr>
      </w:pPr>
      <w:r>
        <w:rPr>
          <w:b/>
        </w:rPr>
        <w:t>Step 2: Calculating specificity scores</w:t>
      </w:r>
    </w:p>
    <w:p w:rsidR="004F35B4" w:rsidRDefault="00985820">
      <w:pPr>
        <w:pStyle w:val="Compact"/>
        <w:numPr>
          <w:ilvl w:val="1"/>
          <w:numId w:val="7"/>
        </w:numPr>
      </w:pPr>
      <w:r>
        <w:t>We look up implicated genes in a user-provided matrix and calculate a specificity score for each an</w:t>
      </w:r>
      <w:r>
        <w:t>notation/condition based on the values of these genes.</w:t>
      </w:r>
    </w:p>
    <w:p w:rsidR="004F35B4" w:rsidRDefault="00985820">
      <w:pPr>
        <w:numPr>
          <w:ilvl w:val="0"/>
          <w:numId w:val="5"/>
        </w:numPr>
      </w:pPr>
      <w:r>
        <w:rPr>
          <w:b/>
        </w:rPr>
        <w:t>Step 3: Testing significance</w:t>
      </w:r>
    </w:p>
    <w:p w:rsidR="004F35B4" w:rsidRDefault="00985820">
      <w:pPr>
        <w:pStyle w:val="Compact"/>
        <w:numPr>
          <w:ilvl w:val="1"/>
          <w:numId w:val="8"/>
        </w:numPr>
      </w:pPr>
      <w:r>
        <w:t xml:space="preserve">We compare the specificity scores to a null distribution of scores obtained with random sets of matched SNP sets and compute an empirical </w:t>
      </w:r>
      <m:oMath>
        <m:r>
          <w:rPr>
            <w:rFonts w:ascii="Cambria Math" w:hAnsi="Cambria Math"/>
          </w:rPr>
          <m:t>P</m:t>
        </m:r>
      </m:oMath>
      <w:r>
        <w:t>-value.</w:t>
      </w:r>
    </w:p>
    <w:p w:rsidR="004F35B4" w:rsidRDefault="00985820">
      <w:pPr>
        <w:pStyle w:val="Heading3"/>
      </w:pPr>
      <w:bookmarkStart w:id="7" w:name="step-1-assigning-genes-to-each-snp"/>
      <w:r>
        <w:t xml:space="preserve">Step 1: Assigning genes </w:t>
      </w:r>
      <w:r>
        <w:t>to each SNP</w:t>
      </w:r>
    </w:p>
    <w:bookmarkEnd w:id="7"/>
    <w:p w:rsidR="004F35B4" w:rsidRDefault="00985820">
      <w:r>
        <w:t>Accurate analyses must address the critical issue that SNPs frequently implicate a region with multiple different genes (</w:t>
      </w:r>
      <w:r>
        <w:rPr>
          <w:b/>
        </w:rPr>
        <w:t>Supplementary Figure 2</w:t>
      </w:r>
      <w:r>
        <w:t>). The challenge is to find evidence to show which of those genes are associated with a given trait.</w:t>
      </w:r>
    </w:p>
    <w:p w:rsidR="004F35B4" w:rsidRDefault="00985820">
      <w:r>
        <w:t>We determine the genes plausibly implicated by each trait-associated SNP using a previously described strategy (</w:t>
      </w:r>
      <w:r>
        <w:rPr>
          <w:b/>
        </w:rPr>
        <w:t>Supplementary Figure 1</w:t>
      </w:r>
      <w:r>
        <w:t xml:space="preserve"> and Rossin </w:t>
      </w:r>
      <w:r>
        <w:rPr>
          <w:i/>
        </w:rPr>
        <w:t>et al.</w:t>
      </w:r>
      <w:r>
        <w:t xml:space="preserve"> 2011). First, we define the linkage interval for a given SNP as the span between the furthest correlate</w:t>
      </w:r>
      <w:r>
        <w:t xml:space="preserve">d SNPs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&gt;0.5</m:t>
        </m:r>
      </m:oMath>
      <w:r>
        <w:t xml:space="preserve"> (EUR) within a 1 Mb window (1000 Genomes Consortium 2012). Next, we extend the interval to the nearest recombination hotspots with recombination rate &gt;3 cM/Mb (Myers </w:t>
      </w:r>
      <w:r>
        <w:rPr>
          <w:i/>
        </w:rPr>
        <w:t>et al.</w:t>
      </w:r>
      <w:r>
        <w:t xml:space="preserve"> 2005). To address the case when no genes overlap an interval, we pro</w:t>
      </w:r>
      <w:r>
        <w:t>vide an option for SNPsea to extend the interval up- and downstream (by default 10 Kb).</w:t>
      </w:r>
    </w:p>
    <w:p w:rsidR="004F35B4" w:rsidRDefault="00985820">
      <w:r>
        <w:t xml:space="preserve">Most frequently, we find multiple genes </w:t>
      </w:r>
      <m:oMath>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&gt;1)</m:t>
        </m:r>
      </m:oMath>
      <w:r>
        <w:t xml:space="preserve"> in a single SNP locus </w:t>
      </w:r>
      <m:oMath>
        <m:r>
          <w:rPr>
            <w:rFonts w:ascii="Cambria Math" w:hAnsi="Cambria Math"/>
          </w:rPr>
          <m:t>k</m:t>
        </m:r>
      </m:oMath>
      <w:r>
        <w:t>. We expect many loci with multiple genes because of regions with high LD across long stretches</w:t>
      </w:r>
      <w:r>
        <w:t xml:space="preserve"> of a chromosome. Less frequently, a locus has a single gene </w:t>
      </w:r>
      <m:oMath>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=1)</m:t>
        </m:r>
      </m:oMath>
      <w:r>
        <w:t xml:space="preserve">, and loci with no genes </w:t>
      </w:r>
      <m:oMath>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=0)</m:t>
        </m:r>
      </m:oMath>
      <w:r>
        <w:t xml:space="preserve"> are discarded.</w:t>
      </w:r>
    </w:p>
    <w:p w:rsidR="004F35B4" w:rsidRDefault="00985820">
      <w:r>
        <w:t>After each SNP has been assigned an interval and a set of genes overlapping the interval, we merge SNPs with shared genes into a single lo</w:t>
      </w:r>
      <w:r>
        <w:t>cus to avoid multiple-counting of genes.</w:t>
      </w:r>
    </w:p>
    <w:p w:rsidR="004F35B4" w:rsidRDefault="00985820">
      <w:pPr>
        <w:pStyle w:val="Heading4"/>
      </w:pPr>
      <w:bookmarkStart w:id="8" w:name="two-score-options"/>
      <w:r>
        <w:t>Two score options</w:t>
      </w:r>
    </w:p>
    <w:bookmarkEnd w:id="8"/>
    <w:p w:rsidR="004F35B4" w:rsidRDefault="00985820">
      <w:r>
        <w:t xml:space="preserve">By default, SNPsea assumes one gene in each associated locus is associated with the given trait. We also include the option to assume all genes within a locus are associated. We compare results of </w:t>
      </w:r>
      <w:r>
        <w:t>the two options with four phenotypes (</w:t>
      </w:r>
      <w:r>
        <w:rPr>
          <w:b/>
        </w:rPr>
        <w:t>Supplementary Figure 4</w:t>
      </w:r>
      <w:r>
        <w:t>).</w:t>
      </w:r>
    </w:p>
    <w:p w:rsidR="004F35B4" w:rsidRDefault="00985820">
      <w:pPr>
        <w:numPr>
          <w:ilvl w:val="0"/>
          <w:numId w:val="9"/>
        </w:numPr>
      </w:pPr>
      <w:r>
        <w:t xml:space="preserve">The </w:t>
      </w:r>
      <w:r>
        <w:rPr>
          <w:rStyle w:val="VerbatimChar"/>
        </w:rPr>
        <w:t>’--score single’</w:t>
      </w:r>
      <w:r>
        <w:t xml:space="preserve"> method (default option) assumes that a single gene in each locus is associated with the given phenotype. For each condition, we choose the gene in each locus with the great</w:t>
      </w:r>
      <w:r>
        <w:t>est specificity to that condition.</w:t>
      </w:r>
    </w:p>
    <w:p w:rsidR="004F35B4" w:rsidRDefault="00985820">
      <w:pPr>
        <w:numPr>
          <w:ilvl w:val="0"/>
          <w:numId w:val="9"/>
        </w:numPr>
      </w:pPr>
      <w:r>
        <w:t xml:space="preserve">The </w:t>
      </w:r>
      <w:r>
        <w:rPr>
          <w:rStyle w:val="VerbatimChar"/>
        </w:rPr>
        <w:t>’--score total’</w:t>
      </w:r>
      <w:r>
        <w:t xml:space="preserve"> method assumes that all genes in a SNP’s linkage interval are associated. We account for all linked genes when calculating scores.</w:t>
      </w:r>
    </w:p>
    <w:p w:rsidR="004F35B4" w:rsidRDefault="00985820">
      <w:pPr>
        <w:pStyle w:val="Heading3"/>
      </w:pPr>
      <w:bookmarkStart w:id="9" w:name="step-2-calculating-specificity-scores"/>
      <w:r>
        <w:t>Step 2: Calculating specificity scores</w:t>
      </w:r>
    </w:p>
    <w:bookmarkEnd w:id="9"/>
    <w:p w:rsidR="004F35B4" w:rsidRDefault="00985820">
      <w:r>
        <w:t xml:space="preserve">SNPsea uses different algorithms for matrices with continuous or binary values. Before running SNPsea, a matrix with continuous values must be normalized so that columns are directly comparable. </w:t>
      </w:r>
      <w:r>
        <w:rPr>
          <w:i/>
        </w:rPr>
        <w:t>It is not appropriate to use this method on a “raw” matrix of</w:t>
      </w:r>
      <w:r>
        <w:rPr>
          <w:i/>
        </w:rPr>
        <w:t xml:space="preserve"> expression values</w:t>
      </w:r>
      <w:r>
        <w:t>.</w:t>
      </w:r>
    </w:p>
    <w:p w:rsidR="004F35B4" w:rsidRDefault="00985820">
      <w:pPr>
        <w:pStyle w:val="Heading4"/>
      </w:pPr>
      <w:bookmarkStart w:id="10" w:name="specificity-for-a-matrix-of-continuous-v"/>
      <w:r>
        <w:t>Specificity for a matrix of continuous values</w:t>
      </w:r>
    </w:p>
    <w:bookmarkEnd w:id="10"/>
    <w:p w:rsidR="004F35B4" w:rsidRDefault="00985820">
      <w:r>
        <w:t xml:space="preserve">We extend an approach we have previoulsy described in detail (Hu </w:t>
      </w:r>
      <w:r>
        <w:rPr>
          <w:i/>
        </w:rPr>
        <w:t>et al.</w:t>
      </w:r>
      <w:r>
        <w:t xml:space="preserve"> 2011). Let </w:t>
      </w:r>
      <m:oMath>
        <m:r>
          <w:rPr>
            <w:rFonts w:ascii="Cambria Math" w:hAnsi="Cambria Math"/>
          </w:rPr>
          <m:t>A</m:t>
        </m:r>
      </m:oMath>
      <w:r>
        <w:t xml:space="preserve"> denote a continuous gene expression matrix with </w:t>
      </w:r>
      <m:oMath>
        <m:r>
          <w:rPr>
            <w:rFonts w:ascii="Cambria Math" w:hAnsi="Cambria Math"/>
          </w:rPr>
          <m:t>m</m:t>
        </m:r>
      </m:oMath>
      <w:r>
        <w:t xml:space="preserve"> genes and </w:t>
      </w:r>
      <m:oMath>
        <m:r>
          <w:rPr>
            <w:rFonts w:ascii="Cambria Math" w:hAnsi="Cambria Math"/>
          </w:rPr>
          <m:t>n</m:t>
        </m:r>
      </m:oMath>
      <w:r>
        <w:t xml:space="preserve"> conditions. First, we normalize the expr</w:t>
      </w:r>
      <w:r>
        <w:t>ession of each gene by dividing each value by the L2 norm of the genes values in different conditions.</w:t>
      </w:r>
    </w:p>
    <w:p w:rsidR="004F35B4" w:rsidRDefault="00985820">
      <m:oMathPara>
        <m:oMathParaPr>
          <m:jc m:val="center"/>
        </m:oMathParaPr>
        <m:oMath>
          <m:r>
            <w:rPr>
              <w:rFonts w:ascii="Cambria Math" w:hAnsi="Cambria Math"/>
            </w:rPr>
            <m:t>A</m:t>
          </m:r>
          <m:sSub>
            <m:sSubPr>
              <m:ctrlPr>
                <w:rPr>
                  <w:rFonts w:ascii="Cambria Math" w:hAnsi="Cambria Math"/>
                </w:rPr>
              </m:ctrlPr>
            </m:sSubPr>
            <m:e>
              <m:r>
                <w:rPr>
                  <w:rFonts w:ascii="Cambria Math" w:hAnsi="Cambria Math"/>
                </w:rPr>
                <m:t>ʹ</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m:t>
                  </m:r>
                  <m:r>
                    <w:rPr>
                      <w:rFonts w:ascii="Cambria Math" w:hAnsi="Cambria Math"/>
                    </w:rPr>
                    <m:t>,</m:t>
                  </m:r>
                  <m:r>
                    <w:rPr>
                      <w:rFonts w:ascii="Cambria Math" w:hAnsi="Cambria Math"/>
                    </w:rPr>
                    <m:t>j</m:t>
                  </m:r>
                </m:sub>
              </m:sSub>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A</m:t>
                      </m:r>
                    </m:e>
                    <m:sub>
                      <m:r>
                        <w:rPr>
                          <w:rFonts w:ascii="Cambria Math" w:hAnsi="Cambria Math"/>
                        </w:rPr>
                        <m:t>i</m:t>
                      </m:r>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r>
                        <w:rPr>
                          <w:rFonts w:ascii="Cambria Math" w:hAnsi="Cambria Math"/>
                        </w:rPr>
                        <m:t>,</m:t>
                      </m:r>
                      <m:r>
                        <w:rPr>
                          <w:rFonts w:ascii="Cambria Math" w:hAnsi="Cambria Math"/>
                        </w:rPr>
                        <m:t>n</m:t>
                      </m:r>
                    </m:sub>
                    <m:sup>
                      <m:r>
                        <w:rPr>
                          <w:rFonts w:ascii="Cambria Math" w:hAnsi="Cambria Math"/>
                        </w:rPr>
                        <m:t>2</m:t>
                      </m:r>
                    </m:sup>
                  </m:sSubSup>
                </m:e>
              </m:rad>
            </m:den>
          </m:f>
        </m:oMath>
      </m:oMathPara>
    </w:p>
    <w:p w:rsidR="004F35B4" w:rsidRDefault="00985820">
      <w:r>
        <w:t xml:space="preserve">The resulting matrix </w:t>
      </w:r>
      <m:oMath>
        <m:r>
          <w:rPr>
            <w:rFonts w:ascii="Cambria Math" w:hAnsi="Cambria Math"/>
          </w:rPr>
          <m:t>A</m:t>
        </m:r>
        <m:r>
          <w:rPr>
            <w:rFonts w:ascii="Cambria Math" w:hAnsi="Cambria Math"/>
          </w:rPr>
          <m:t>ʹ</m:t>
        </m:r>
      </m:oMath>
      <w:r>
        <w:t xml:space="preserve"> has values </w:t>
      </w:r>
      <m:oMath>
        <m:r>
          <w:rPr>
            <w:rFonts w:ascii="Cambria Math" w:hAnsi="Cambria Math"/>
          </w:rPr>
          <m:t>A</m:t>
        </m:r>
        <m:sSub>
          <m:sSubPr>
            <m:ctrlPr>
              <w:rPr>
                <w:rFonts w:ascii="Cambria Math" w:hAnsi="Cambria Math"/>
              </w:rPr>
            </m:ctrlPr>
          </m:sSubPr>
          <m:e>
            <m:r>
              <w:rPr>
                <w:rFonts w:ascii="Cambria Math" w:hAnsi="Cambria Math"/>
              </w:rPr>
              <m:t>ʹ</m:t>
            </m:r>
          </m:e>
          <m:sub>
            <m:r>
              <w:rPr>
                <w:rFonts w:ascii="Cambria Math" w:hAnsi="Cambria Math"/>
              </w:rPr>
              <m:t>i</m:t>
            </m:r>
            <m:r>
              <w:rPr>
                <w:rFonts w:ascii="Cambria Math" w:hAnsi="Cambria Math"/>
              </w:rPr>
              <m:t>,</m:t>
            </m:r>
            <m:r>
              <w:rPr>
                <w:rFonts w:ascii="Cambria Math" w:hAnsi="Cambria Math"/>
              </w:rPr>
              <m:t>j</m:t>
            </m:r>
          </m:sub>
        </m:sSub>
      </m:oMath>
      <w:r>
        <w:t xml:space="preserve"> between 0 and 1 indicating specificity of gene </w:t>
      </w:r>
      <m:oMath>
        <m:r>
          <w:rPr>
            <w:rFonts w:ascii="Cambria Math" w:hAnsi="Cambria Math"/>
          </w:rPr>
          <m:t>i</m:t>
        </m:r>
      </m:oMath>
      <w:r>
        <w:t xml:space="preserve"> to condition </w:t>
      </w:r>
      <m:oMath>
        <m:r>
          <w:rPr>
            <w:rFonts w:ascii="Cambria Math" w:hAnsi="Cambria Math"/>
          </w:rPr>
          <m:t>j</m:t>
        </m:r>
      </m:oMath>
      <w:r>
        <w:t xml:space="preserve">. A value </w:t>
      </w:r>
      <m:oMath>
        <m:r>
          <w:rPr>
            <w:rFonts w:ascii="Cambria Math" w:hAnsi="Cambria Math"/>
          </w:rPr>
          <m:t>A</m:t>
        </m:r>
        <m:sSub>
          <m:sSubPr>
            <m:ctrlPr>
              <w:rPr>
                <w:rFonts w:ascii="Cambria Math" w:hAnsi="Cambria Math"/>
              </w:rPr>
            </m:ctrlPr>
          </m:sSubPr>
          <m:e>
            <m:r>
              <w:rPr>
                <w:rFonts w:ascii="Cambria Math" w:hAnsi="Cambria Math"/>
              </w:rPr>
              <m:t>ʹ</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=1</m:t>
        </m:r>
      </m:oMath>
      <w:r>
        <w:t xml:space="preserve"> indicates that gene </w:t>
      </w:r>
      <m:oMath>
        <m:r>
          <w:rPr>
            <w:rFonts w:ascii="Cambria Math" w:hAnsi="Cambria Math"/>
          </w:rPr>
          <m:t>i</m:t>
        </m:r>
      </m:oMath>
      <w:r>
        <w:t xml:space="preserve"> is exclusively expressed in condition </w:t>
      </w:r>
      <m:oMath>
        <m:r>
          <w:rPr>
            <w:rFonts w:ascii="Cambria Math" w:hAnsi="Cambria Math"/>
          </w:rPr>
          <m:t>j</m:t>
        </m:r>
      </m:oMath>
      <w:r>
        <w:t xml:space="preserve">, and </w:t>
      </w:r>
      <m:oMath>
        <m:r>
          <w:rPr>
            <w:rFonts w:ascii="Cambria Math" w:hAnsi="Cambria Math"/>
          </w:rPr>
          <m:t>A</m:t>
        </m:r>
        <m:sSub>
          <m:sSubPr>
            <m:ctrlPr>
              <w:rPr>
                <w:rFonts w:ascii="Cambria Math" w:hAnsi="Cambria Math"/>
              </w:rPr>
            </m:ctrlPr>
          </m:sSubPr>
          <m:e>
            <m:r>
              <w:rPr>
                <w:rFonts w:ascii="Cambria Math" w:hAnsi="Cambria Math"/>
              </w:rPr>
              <m:t>ʹ</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=0</m:t>
        </m:r>
      </m:oMath>
      <w:r>
        <w:t xml:space="preserve"> indicates that gene </w:t>
      </w:r>
      <m:oMath>
        <m:r>
          <w:rPr>
            <w:rFonts w:ascii="Cambria Math" w:hAnsi="Cambria Math"/>
          </w:rPr>
          <m:t>i</m:t>
        </m:r>
      </m:oMath>
      <w:r>
        <w:t xml:space="preserve"> is not expressed in condition </w:t>
      </w:r>
      <m:oMath>
        <m:r>
          <w:rPr>
            <w:rFonts w:ascii="Cambria Math" w:hAnsi="Cambria Math"/>
          </w:rPr>
          <m:t>j</m:t>
        </m:r>
      </m:oMath>
      <w:r>
        <w:t>.</w:t>
      </w:r>
    </w:p>
    <w:p w:rsidR="004F35B4" w:rsidRDefault="00985820">
      <w:r>
        <w:t xml:space="preserve">Next, we transform </w:t>
      </w:r>
      <m:oMath>
        <m:r>
          <w:rPr>
            <w:rFonts w:ascii="Cambria Math" w:hAnsi="Cambria Math"/>
          </w:rPr>
          <m:t>A</m:t>
        </m:r>
        <m:r>
          <w:rPr>
            <w:rFonts w:ascii="Cambria Math" w:hAnsi="Cambria Math"/>
          </w:rPr>
          <m:t>ʹ</m:t>
        </m:r>
      </m:oMath>
      <w:r>
        <w:t xml:space="preserve"> to a matrix </w:t>
      </w:r>
      <m:oMath>
        <m:r>
          <w:rPr>
            <w:rFonts w:ascii="Cambria Math" w:hAnsi="Cambria Math"/>
          </w:rPr>
          <m:t>A</m:t>
        </m:r>
        <m:r>
          <w:rPr>
            <w:rFonts w:ascii="Cambria Math" w:hAnsi="Cambria Math"/>
          </w:rPr>
          <m:t>ʺ</m:t>
        </m:r>
      </m:oMath>
      <w:r>
        <w:t xml:space="preserve"> </w:t>
      </w:r>
      <w:r>
        <w:t xml:space="preserve">of non-parametric condition-specificity percentiles as follows. For each condition </w:t>
      </w:r>
      <m:oMath>
        <m:r>
          <w:rPr>
            <w:rFonts w:ascii="Cambria Math" w:hAnsi="Cambria Math"/>
          </w:rPr>
          <m:t>j</m:t>
        </m:r>
      </m:oMath>
      <w:r>
        <w:t xml:space="preserve">, we rank the values of </w:t>
      </w:r>
      <m:oMath>
        <m:r>
          <w:rPr>
            <w:rFonts w:ascii="Cambria Math" w:hAnsi="Cambria Math"/>
          </w:rPr>
          <m:t>A</m:t>
        </m:r>
        <m:sSub>
          <m:sSubPr>
            <m:ctrlPr>
              <w:rPr>
                <w:rFonts w:ascii="Cambria Math" w:hAnsi="Cambria Math"/>
              </w:rPr>
            </m:ctrlPr>
          </m:sSubPr>
          <m:e>
            <m:r>
              <w:rPr>
                <w:rFonts w:ascii="Cambria Math" w:hAnsi="Cambria Math"/>
              </w:rPr>
              <m:t>ʹ</m:t>
            </m:r>
          </m:e>
          <m:sub>
            <m:r>
              <w:rPr>
                <w:rFonts w:ascii="Cambria Math" w:hAnsi="Cambria Math"/>
              </w:rPr>
              <m:t>,</m:t>
            </m:r>
            <m:r>
              <w:rPr>
                <w:rFonts w:ascii="Cambria Math" w:hAnsi="Cambria Math"/>
              </w:rPr>
              <m:t>j</m:t>
            </m:r>
          </m:sub>
        </m:sSub>
      </m:oMath>
      <w:r>
        <w:t xml:space="preserve"> in ascending order and divide them by the number of genes </w:t>
      </w:r>
      <m:oMath>
        <m:r>
          <w:rPr>
            <w:rFonts w:ascii="Cambria Math" w:hAnsi="Cambria Math"/>
          </w:rPr>
          <m:t>m</m:t>
        </m:r>
      </m:oMath>
      <w:r>
        <w:t>, resulting in percentiles between 0 and 1 where a lower value indicates greater</w:t>
      </w:r>
      <w:r>
        <w:t xml:space="preserve"> specificity to the given condition.</w:t>
      </w:r>
    </w:p>
    <w:p w:rsidR="004F35B4" w:rsidRDefault="00985820">
      <m:oMathPara>
        <m:oMathParaPr>
          <m:jc m:val="center"/>
        </m:oMathParaPr>
        <m:oMath>
          <m:r>
            <w:rPr>
              <w:rFonts w:ascii="Cambria Math" w:hAnsi="Cambria Math"/>
            </w:rPr>
            <m:t>A</m:t>
          </m:r>
          <m:sSub>
            <m:sSubPr>
              <m:ctrlPr>
                <w:rPr>
                  <w:rFonts w:ascii="Cambria Math" w:hAnsi="Cambria Math"/>
                </w:rPr>
              </m:ctrlPr>
            </m:sSubPr>
            <m:e>
              <m:r>
                <w:rPr>
                  <w:rFonts w:ascii="Cambria Math" w:hAnsi="Cambria Math"/>
                </w:rPr>
                <m:t>ʺ</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Rank</m:t>
                  </m:r>
                </m:e>
                <m:sub>
                  <m:r>
                    <w:rPr>
                      <w:rFonts w:ascii="Cambria Math" w:hAnsi="Cambria Math"/>
                    </w:rPr>
                    <m:t>j</m:t>
                  </m:r>
                </m:sub>
              </m:sSub>
              <m: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ʹ</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num>
            <m:den>
              <m:r>
                <w:rPr>
                  <w:rFonts w:ascii="Cambria Math" w:hAnsi="Cambria Math"/>
                </w:rPr>
                <m:t>m</m:t>
              </m:r>
            </m:den>
          </m:f>
        </m:oMath>
      </m:oMathPara>
    </w:p>
    <w:p w:rsidR="004F35B4" w:rsidRDefault="00985820">
      <w:pPr>
        <w:pStyle w:val="Heading4"/>
      </w:pPr>
      <w:bookmarkStart w:id="11" w:name="locus-scores-for-a-matrix-of-continuous-"/>
      <w:r>
        <w:t>Locus scores for a matrix of continuous values</w:t>
      </w:r>
    </w:p>
    <w:bookmarkEnd w:id="11"/>
    <w:p w:rsidR="004F35B4" w:rsidRDefault="00985820">
      <w:r>
        <w:t xml:space="preserve">We create a new matrix </w:t>
      </w:r>
      <m:oMath>
        <m:r>
          <w:rPr>
            <w:rFonts w:ascii="Cambria Math" w:hAnsi="Cambria Math"/>
          </w:rPr>
          <m:t>P</m:t>
        </m:r>
      </m:oMath>
      <w:r>
        <w:t xml:space="preserve">, where each value </w:t>
      </w:r>
      <m:oMath>
        <m:sSub>
          <m:sSubPr>
            <m:ctrlPr>
              <w:rPr>
                <w:rFonts w:ascii="Cambria Math" w:hAnsi="Cambria Math"/>
              </w:rPr>
            </m:ctrlPr>
          </m:sSubPr>
          <m:e>
            <m:r>
              <w:rPr>
                <w:rFonts w:ascii="Cambria Math" w:hAnsi="Cambria Math"/>
              </w:rPr>
              <m:t>P</m:t>
            </m:r>
          </m:e>
          <m:sub>
            <m:r>
              <w:rPr>
                <w:rFonts w:ascii="Cambria Math" w:hAnsi="Cambria Math"/>
              </w:rPr>
              <m:t>k</m:t>
            </m:r>
            <m:r>
              <w:rPr>
                <w:rFonts w:ascii="Cambria Math" w:hAnsi="Cambria Math"/>
              </w:rPr>
              <m:t>,</m:t>
            </m:r>
            <m:r>
              <w:rPr>
                <w:rFonts w:ascii="Cambria Math" w:hAnsi="Cambria Math"/>
              </w:rPr>
              <m:t>j</m:t>
            </m:r>
          </m:sub>
        </m:sSub>
      </m:oMath>
      <w:r>
        <w:t xml:space="preserve"> is a score for a SNP locus </w:t>
      </w:r>
      <m:oMath>
        <m:r>
          <w:rPr>
            <w:rFonts w:ascii="Cambria Math" w:hAnsi="Cambria Math"/>
          </w:rPr>
          <m:t>k</m:t>
        </m:r>
      </m:oMath>
      <w:r>
        <w:t xml:space="preserve"> and a condition </w:t>
      </w:r>
      <m:oMath>
        <m:r>
          <w:rPr>
            <w:rFonts w:ascii="Cambria Math" w:hAnsi="Cambria Math"/>
          </w:rPr>
          <m:t>j</m:t>
        </m:r>
      </m:oMath>
      <w:r>
        <w:t xml:space="preserve">. The locus scores </w:t>
      </w:r>
      <m:oMath>
        <m:sSub>
          <m:sSubPr>
            <m:ctrlPr>
              <w:rPr>
                <w:rFonts w:ascii="Cambria Math" w:hAnsi="Cambria Math"/>
              </w:rPr>
            </m:ctrlPr>
          </m:sSubPr>
          <m:e>
            <m:r>
              <w:rPr>
                <w:rFonts w:ascii="Cambria Math" w:hAnsi="Cambria Math"/>
              </w:rPr>
              <m:t>P</m:t>
            </m:r>
          </m:e>
          <m:sub>
            <m:r>
              <w:rPr>
                <w:rFonts w:ascii="Cambria Math" w:hAnsi="Cambria Math"/>
              </w:rPr>
              <m:t>,</m:t>
            </m:r>
            <m:r>
              <w:rPr>
                <w:rFonts w:ascii="Cambria Math" w:hAnsi="Cambria Math"/>
              </w:rPr>
              <m:t>j</m:t>
            </m:r>
          </m:sub>
        </m:sSub>
      </m:oMath>
      <w:r>
        <w:t xml:space="preserve"> for a single condit</w:t>
      </w:r>
      <w:r>
        <w:t xml:space="preserve">ion </w:t>
      </w:r>
      <m:oMath>
        <m:r>
          <w:rPr>
            <w:rFonts w:ascii="Cambria Math" w:hAnsi="Cambria Math"/>
          </w:rPr>
          <m:t>j</m:t>
        </m:r>
      </m:oMath>
      <w:r>
        <w:t xml:space="preserve"> are approximately uniformly distributed for a set of randomly selected loci under the following assumption: for the set of genes in a given SNP locus </w:t>
      </w:r>
      <m:oMath>
        <m:sSub>
          <m:sSubPr>
            <m:ctrlPr>
              <w:rPr>
                <w:rFonts w:ascii="Cambria Math" w:hAnsi="Cambria Math"/>
              </w:rPr>
            </m:ctrlPr>
          </m:sSubPr>
          <m:e>
            <m:r>
              <w:rPr>
                <w:rFonts w:ascii="Cambria Math" w:hAnsi="Cambria Math"/>
              </w:rPr>
              <m:t>I</m:t>
            </m:r>
          </m:e>
          <m:sub>
            <m:r>
              <w:rPr>
                <w:rFonts w:ascii="Cambria Math" w:hAnsi="Cambria Math"/>
              </w:rPr>
              <m:t>k</m:t>
            </m:r>
          </m:sub>
        </m:sSub>
      </m:oMath>
      <w:r>
        <w:t xml:space="preserve">, the values </w:t>
      </w:r>
      <m:oMath>
        <m:r>
          <w:rPr>
            <w:rFonts w:ascii="Cambria Math" w:hAnsi="Cambria Math"/>
          </w:rPr>
          <m:t>A</m:t>
        </m:r>
        <m:sSub>
          <m:sSubPr>
            <m:ctrlPr>
              <w:rPr>
                <w:rFonts w:ascii="Cambria Math" w:hAnsi="Cambria Math"/>
              </w:rPr>
            </m:ctrlPr>
          </m:sSubPr>
          <m:e>
            <m:r>
              <w:rPr>
                <w:rFonts w:ascii="Cambria Math" w:hAnsi="Cambria Math"/>
              </w:rPr>
              <m:t>ʺ</m:t>
            </m:r>
          </m:e>
          <m:sub>
            <m:r>
              <w:rPr>
                <w:rFonts w:ascii="Cambria Math" w:hAnsi="Cambria Math"/>
              </w:rPr>
              <m:t>i</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m:t>
                </m:r>
              </m:sub>
            </m:sSub>
            <m:r>
              <w:rPr>
                <w:rFonts w:ascii="Cambria Math" w:hAnsi="Cambria Math"/>
              </w:rPr>
              <m:t>,</m:t>
            </m:r>
            <m:r>
              <w:rPr>
                <w:rFonts w:ascii="Cambria Math" w:hAnsi="Cambria Math"/>
              </w:rPr>
              <m:t>j</m:t>
            </m:r>
          </m:sub>
        </m:sSub>
      </m:oMath>
      <w:r>
        <w:t xml:space="preserve"> are random, independent, and approximately uniformly distributed. We</w:t>
      </w:r>
      <w:r>
        <w:t>’ll come back to this assumption later when testing significance in Step 3 below.</w:t>
      </w:r>
    </w:p>
    <w:p w:rsidR="004F35B4" w:rsidRDefault="00985820">
      <w:pPr>
        <w:pStyle w:val="Heading4"/>
      </w:pPr>
      <w:bookmarkStart w:id="12" w:name="score-single-default"/>
      <w:r>
        <w:rPr>
          <w:rStyle w:val="VerbatimChar"/>
        </w:rPr>
        <w:t>’--score single’ (default)</w:t>
      </w:r>
    </w:p>
    <w:bookmarkEnd w:id="12"/>
    <w:p w:rsidR="004F35B4" w:rsidRDefault="00985820">
      <w:r>
        <w:t>This approach assumes one gene in each SNP locus is associated with the trait.</w:t>
      </w:r>
    </w:p>
    <w:p w:rsidR="004F35B4" w:rsidRDefault="00985820">
      <w:r>
        <w:t xml:space="preserve">For each locus-condition pair </w:t>
      </w:r>
      <m:oMath>
        <m:r>
          <w:rPr>
            <w:rFonts w:ascii="Cambria Math" w:hAnsi="Cambria Math"/>
          </w:rPr>
          <m:t>(</m:t>
        </m:r>
        <m:r>
          <w:rPr>
            <w:rFonts w:ascii="Cambria Math" w:hAnsi="Cambria Math"/>
          </w:rPr>
          <m:t>k</m:t>
        </m:r>
        <m:r>
          <w:rPr>
            <w:rFonts w:ascii="Cambria Math" w:hAnsi="Cambria Math"/>
          </w:rPr>
          <m:t>,</m:t>
        </m:r>
        <m:r>
          <w:rPr>
            <w:rFonts w:ascii="Cambria Math" w:hAnsi="Cambria Math"/>
          </w:rPr>
          <m:t>j</m:t>
        </m:r>
        <m:r>
          <w:rPr>
            <w:rFonts w:ascii="Cambria Math" w:hAnsi="Cambria Math"/>
          </w:rPr>
          <m:t>)</m:t>
        </m:r>
      </m:oMath>
      <w:r>
        <w:t xml:space="preserve">, we choose the single gene </w:t>
      </w:r>
      <m:oMath>
        <m:r>
          <w:rPr>
            <w:rFonts w:ascii="Cambria Math" w:hAnsi="Cambria Math"/>
          </w:rPr>
          <m:t>i</m:t>
        </m:r>
      </m:oMath>
      <w:r>
        <w:t xml:space="preserve"> </w:t>
      </w:r>
      <w:r>
        <w:t xml:space="preserve">in locus </w:t>
      </w:r>
      <m:oMath>
        <m:r>
          <w:rPr>
            <w:rFonts w:ascii="Cambria Math" w:hAnsi="Cambria Math"/>
          </w:rPr>
          <m:t>k</m:t>
        </m:r>
      </m:oMath>
      <w:r>
        <w:t xml:space="preserve"> with greatest specificity to condition </w:t>
      </w:r>
      <m:oMath>
        <m:r>
          <w:rPr>
            <w:rFonts w:ascii="Cambria Math" w:hAnsi="Cambria Math"/>
          </w:rPr>
          <m:t>j</m:t>
        </m:r>
      </m:oMath>
      <w:r>
        <w:t xml:space="preserve"> among the </w:t>
      </w:r>
      <m:oMath>
        <m:sSub>
          <m:sSubPr>
            <m:ctrlPr>
              <w:rPr>
                <w:rFonts w:ascii="Cambria Math" w:hAnsi="Cambria Math"/>
              </w:rPr>
            </m:ctrlPr>
          </m:sSubPr>
          <m:e>
            <m:r>
              <w:rPr>
                <w:rFonts w:ascii="Cambria Math" w:hAnsi="Cambria Math"/>
              </w:rPr>
              <m:t>m</m:t>
            </m:r>
          </m:e>
          <m:sub>
            <m:r>
              <w:rPr>
                <w:rFonts w:ascii="Cambria Math" w:hAnsi="Cambria Math"/>
              </w:rPr>
              <m:t>k</m:t>
            </m:r>
          </m:sub>
        </m:sSub>
      </m:oMath>
      <w:r>
        <w:t xml:space="preserve"> genes in the locus, as previously described in Hu </w:t>
      </w:r>
      <w:r>
        <w:rPr>
          <w:i/>
        </w:rPr>
        <w:t>et al.</w:t>
      </w:r>
      <w:r>
        <w:t xml:space="preserve"> (Hu </w:t>
      </w:r>
      <w:r>
        <w:rPr>
          <w:i/>
        </w:rPr>
        <w:t>et al.</w:t>
      </w:r>
      <w:r>
        <w:t xml:space="preserve"> 2011). Let </w:t>
      </w:r>
      <m:oMath>
        <m:sSub>
          <m:sSubPr>
            <m:ctrlPr>
              <w:rPr>
                <w:rFonts w:ascii="Cambria Math" w:hAnsi="Cambria Math"/>
              </w:rPr>
            </m:ctrlPr>
          </m:sSubPr>
          <m:e>
            <m:r>
              <w:rPr>
                <w:rFonts w:ascii="Cambria Math" w:hAnsi="Cambria Math"/>
              </w:rPr>
              <m:t>g</m:t>
            </m:r>
          </m:e>
          <m:sub>
            <m:r>
              <w:rPr>
                <w:rFonts w:ascii="Cambria Math" w:hAnsi="Cambria Math"/>
              </w:rPr>
              <m:t>k</m:t>
            </m:r>
          </m:sub>
        </m:sSub>
      </m:oMath>
      <w:r>
        <w:t xml:space="preserve"> denote this most specific gene, so that </w:t>
      </w:r>
      <m:oMath>
        <m:r>
          <w:rPr>
            <w:rFonts w:ascii="Cambria Math" w:hAnsi="Cambria Math"/>
          </w:rPr>
          <m:t>A</m:t>
        </m:r>
        <m:sSub>
          <m:sSubPr>
            <m:ctrlPr>
              <w:rPr>
                <w:rFonts w:ascii="Cambria Math" w:hAnsi="Cambria Math"/>
              </w:rPr>
            </m:ctrlPr>
          </m:sSubPr>
          <m:e>
            <m:r>
              <w:rPr>
                <w:rFonts w:ascii="Cambria Math" w:hAnsi="Cambria Math"/>
              </w:rPr>
              <m:t>ʺ</m:t>
            </m:r>
          </m:e>
          <m:sub>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r>
              <w:rPr>
                <w:rFonts w:ascii="Cambria Math" w:hAnsi="Cambria Math"/>
              </w:rPr>
              <m:t>j</m:t>
            </m:r>
          </m:sub>
        </m:sSub>
        <m:r>
          <w:rPr>
            <w:rFonts w:ascii="Cambria Math" w:hAnsi="Cambria Math"/>
          </w:rPr>
          <m:t>=</m:t>
        </m:r>
        <m:sSub>
          <m:sSubPr>
            <m:ctrlPr>
              <w:rPr>
                <w:rFonts w:ascii="Cambria Math" w:hAnsi="Cambria Math"/>
              </w:rPr>
            </m:ctrlPr>
          </m:sSubPr>
          <m:e>
            <m:r>
              <m:rPr>
                <m:sty m:val="p"/>
              </m:rPr>
              <w:rPr>
                <w:rFonts w:ascii="Cambria Math" w:hAnsi="Cambria Math"/>
              </w:rPr>
              <m:t>Min</m:t>
            </m:r>
          </m:e>
          <m:sub>
            <m:r>
              <w:rPr>
                <w:rFonts w:ascii="Cambria Math" w:hAnsi="Cambria Math"/>
              </w:rPr>
              <m:t>i</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m:t>
                </m:r>
              </m:sub>
            </m:sSub>
          </m:sub>
        </m:sSub>
        <m: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ʺ</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oMath>
      <w:r>
        <w:t xml:space="preserve"> where </w:t>
      </w:r>
      <m:oMath>
        <m:sSub>
          <m:sSubPr>
            <m:ctrlPr>
              <w:rPr>
                <w:rFonts w:ascii="Cambria Math" w:hAnsi="Cambria Math"/>
              </w:rPr>
            </m:ctrlPr>
          </m:sSubPr>
          <m:e>
            <m:r>
              <w:rPr>
                <w:rFonts w:ascii="Cambria Math" w:hAnsi="Cambria Math"/>
              </w:rPr>
              <m:t>I</m:t>
            </m:r>
          </m:e>
          <m:sub>
            <m:r>
              <w:rPr>
                <w:rFonts w:ascii="Cambria Math" w:hAnsi="Cambria Math"/>
              </w:rPr>
              <m:t>k</m:t>
            </m:r>
          </m:sub>
        </m:sSub>
      </m:oMath>
      <w:r>
        <w:t xml:space="preserve"> denotes the set of g</w:t>
      </w:r>
      <w:r>
        <w:t xml:space="preserve">enes in locus </w:t>
      </w:r>
      <m:oMath>
        <m:r>
          <w:rPr>
            <w:rFonts w:ascii="Cambria Math" w:hAnsi="Cambria Math"/>
          </w:rPr>
          <m:t>k</m:t>
        </m:r>
      </m:oMath>
      <w:r>
        <w:t xml:space="preserve">. If we assume values of </w:t>
      </w:r>
      <m:oMath>
        <m:r>
          <w:rPr>
            <w:rFonts w:ascii="Cambria Math" w:hAnsi="Cambria Math"/>
          </w:rPr>
          <m:t>A</m:t>
        </m:r>
        <m:sSub>
          <m:sSubPr>
            <m:ctrlPr>
              <w:rPr>
                <w:rFonts w:ascii="Cambria Math" w:hAnsi="Cambria Math"/>
              </w:rPr>
            </m:ctrlPr>
          </m:sSubPr>
          <m:e>
            <m:r>
              <w:rPr>
                <w:rFonts w:ascii="Cambria Math" w:hAnsi="Cambria Math"/>
              </w:rPr>
              <m:t>ʺ</m:t>
            </m:r>
          </m:e>
          <m:sub>
            <m:r>
              <w:rPr>
                <w:rFonts w:ascii="Cambria Math" w:hAnsi="Cambria Math"/>
              </w:rPr>
              <m:t>i</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m:t>
                </m:r>
              </m:sub>
            </m:sSub>
            <m:r>
              <w:rPr>
                <w:rFonts w:ascii="Cambria Math" w:hAnsi="Cambria Math"/>
              </w:rPr>
              <m:t>,</m:t>
            </m:r>
            <m:r>
              <w:rPr>
                <w:rFonts w:ascii="Cambria Math" w:hAnsi="Cambria Math"/>
              </w:rPr>
              <m:t>j</m:t>
            </m:r>
          </m:sub>
        </m:sSub>
      </m:oMath>
      <w:r>
        <w:t xml:space="preserve"> are uniformly distributed for a given condition </w:t>
      </w:r>
      <m:oMath>
        <m:r>
          <w:rPr>
            <w:rFonts w:ascii="Cambria Math" w:hAnsi="Cambria Math"/>
          </w:rPr>
          <m:t>j</m:t>
        </m:r>
      </m:oMath>
      <w:r>
        <w:t xml:space="preserve"> and genes </w:t>
      </w:r>
      <m:oMath>
        <m:r>
          <w:rPr>
            <w:rFonts w:ascii="Cambria Math" w:hAnsi="Cambria Math"/>
          </w:rPr>
          <m:t>i</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m:t>
            </m:r>
          </m:sub>
        </m:sSub>
      </m:oMath>
      <w:r>
        <w:t xml:space="preserve">, then the probability of obtaining a value equal to or less than </w:t>
      </w:r>
      <m:oMath>
        <m:r>
          <w:rPr>
            <w:rFonts w:ascii="Cambria Math" w:hAnsi="Cambria Math"/>
          </w:rPr>
          <m:t>A</m:t>
        </m:r>
        <m:sSub>
          <m:sSubPr>
            <m:ctrlPr>
              <w:rPr>
                <w:rFonts w:ascii="Cambria Math" w:hAnsi="Cambria Math"/>
              </w:rPr>
            </m:ctrlPr>
          </m:sSubPr>
          <m:e>
            <m:r>
              <w:rPr>
                <w:rFonts w:ascii="Cambria Math" w:hAnsi="Cambria Math"/>
              </w:rPr>
              <m:t>ʺ</m:t>
            </m:r>
          </m:e>
          <m:sub>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r>
              <w:rPr>
                <w:rFonts w:ascii="Cambria Math" w:hAnsi="Cambria Math"/>
              </w:rPr>
              <m:t>j</m:t>
            </m:r>
          </m:sub>
        </m:sSub>
      </m:oMath>
      <w:r>
        <w:t xml:space="preserve"> is as follows:</w:t>
      </w:r>
    </w:p>
    <w:p w:rsidR="004F35B4" w:rsidRDefault="00985820">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k</m:t>
              </m:r>
              <m:r>
                <w:rPr>
                  <w:rFonts w:ascii="Cambria Math" w:hAnsi="Cambria Math"/>
                </w:rPr>
                <m:t>,</m:t>
              </m:r>
              <m:r>
                <w:rPr>
                  <w:rFonts w:ascii="Cambria Math" w:hAnsi="Cambria Math"/>
                </w:rPr>
                <m:t>j</m:t>
              </m:r>
            </m:sub>
          </m:sSub>
          <m:r>
            <w:rPr>
              <w:rFonts w:ascii="Cambria Math" w:hAnsi="Cambria Math"/>
            </w:rPr>
            <m:t>=1-(1-</m:t>
          </m:r>
          <m:sSub>
            <m:sSubPr>
              <m:ctrlPr>
                <w:rPr>
                  <w:rFonts w:ascii="Cambria Math" w:hAnsi="Cambria Math"/>
                </w:rPr>
              </m:ctrlPr>
            </m:sSubPr>
            <m:e>
              <m:r>
                <m:rPr>
                  <m:sty m:val="p"/>
                </m:rPr>
                <w:rPr>
                  <w:rFonts w:ascii="Cambria Math" w:hAnsi="Cambria Math"/>
                </w:rPr>
                <m:t>Min</m:t>
              </m:r>
            </m:e>
            <m:sub>
              <m:r>
                <w:rPr>
                  <w:rFonts w:ascii="Cambria Math" w:hAnsi="Cambria Math"/>
                </w:rPr>
                <m:t>i</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m:t>
                  </m:r>
                </m:sub>
              </m:sSub>
            </m:sub>
          </m:sSub>
          <m: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ʺ</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sSup>
            <m:sSupPr>
              <m:ctrlPr>
                <w:rPr>
                  <w:rFonts w:ascii="Cambria Math" w:hAnsi="Cambria Math"/>
                </w:rPr>
              </m:ctrlPr>
            </m:sSupPr>
            <m:e>
              <m:r>
                <w:rPr>
                  <w:rFonts w:ascii="Cambria Math" w:hAnsi="Cambria Math"/>
                </w:rPr>
                <m:t>)</m:t>
              </m:r>
            </m:e>
            <m:sup>
              <m:sSub>
                <m:sSubPr>
                  <m:ctrlPr>
                    <w:rPr>
                      <w:rFonts w:ascii="Cambria Math" w:hAnsi="Cambria Math"/>
                    </w:rPr>
                  </m:ctrlPr>
                </m:sSubPr>
                <m:e>
                  <m:r>
                    <w:rPr>
                      <w:rFonts w:ascii="Cambria Math" w:hAnsi="Cambria Math"/>
                    </w:rPr>
                    <m:t>m</m:t>
                  </m:r>
                </m:e>
                <m:sub>
                  <m:r>
                    <w:rPr>
                      <w:rFonts w:ascii="Cambria Math" w:hAnsi="Cambria Math"/>
                    </w:rPr>
                    <m:t>k</m:t>
                  </m:r>
                </m:sub>
              </m:sSub>
            </m:sup>
          </m:sSup>
        </m:oMath>
      </m:oMathPara>
    </w:p>
    <w:p w:rsidR="004F35B4" w:rsidRDefault="00985820">
      <w:pPr>
        <w:pStyle w:val="Heading4"/>
      </w:pPr>
      <w:bookmarkStart w:id="13" w:name="score-total"/>
      <w:r>
        <w:rPr>
          <w:rStyle w:val="VerbatimChar"/>
        </w:rPr>
        <w:t>’-</w:t>
      </w:r>
      <w:r>
        <w:rPr>
          <w:rStyle w:val="VerbatimChar"/>
        </w:rPr>
        <w:t>-score total’</w:t>
      </w:r>
    </w:p>
    <w:bookmarkEnd w:id="13"/>
    <w:p w:rsidR="004F35B4" w:rsidRDefault="00985820">
      <w:r>
        <w:t xml:space="preserve">This assumes all genes in a given SNP locus are associated with a trait — in most circumstances, we consider this model to be unlikely in most situations. We compute the probability of observing values </w:t>
      </w:r>
      <m:oMath>
        <m:r>
          <w:rPr>
            <w:rFonts w:ascii="Cambria Math" w:hAnsi="Cambria Math"/>
          </w:rPr>
          <m:t>A</m:t>
        </m:r>
        <m:sSub>
          <m:sSubPr>
            <m:ctrlPr>
              <w:rPr>
                <w:rFonts w:ascii="Cambria Math" w:hAnsi="Cambria Math"/>
              </w:rPr>
            </m:ctrlPr>
          </m:sSubPr>
          <m:e>
            <m:r>
              <w:rPr>
                <w:rFonts w:ascii="Cambria Math" w:hAnsi="Cambria Math"/>
              </w:rPr>
              <m:t>ʺ</m:t>
            </m:r>
          </m:e>
          <m:sub>
            <m:r>
              <w:rPr>
                <w:rFonts w:ascii="Cambria Math" w:hAnsi="Cambria Math"/>
              </w:rPr>
              <m:t>i</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m:t>
                </m:r>
              </m:sub>
            </m:sSub>
          </m:sub>
        </m:sSub>
      </m:oMath>
      <w:r>
        <w:t xml:space="preserve"> for some locus </w:t>
      </w:r>
      <m:oMath>
        <m:r>
          <w:rPr>
            <w:rFonts w:ascii="Cambria Math" w:hAnsi="Cambria Math"/>
          </w:rPr>
          <m:t>k</m:t>
        </m:r>
      </m:oMath>
      <w:r>
        <w:t xml:space="preserve"> as the prod</w:t>
      </w:r>
      <w:r>
        <w:t xml:space="preserve">uct of percentiles. This assumes </w:t>
      </w:r>
      <m:oMath>
        <m:r>
          <w:rPr>
            <w:rFonts w:ascii="Cambria Math" w:hAnsi="Cambria Math"/>
          </w:rPr>
          <m:t>A</m:t>
        </m:r>
        <m:sSub>
          <m:sSubPr>
            <m:ctrlPr>
              <w:rPr>
                <w:rFonts w:ascii="Cambria Math" w:hAnsi="Cambria Math"/>
              </w:rPr>
            </m:ctrlPr>
          </m:sSubPr>
          <m:e>
            <m:r>
              <w:rPr>
                <w:rFonts w:ascii="Cambria Math" w:hAnsi="Cambria Math"/>
              </w:rPr>
              <m:t>ʺ</m:t>
            </m:r>
          </m:e>
          <m:sub>
            <m:r>
              <w:rPr>
                <w:rFonts w:ascii="Cambria Math" w:hAnsi="Cambria Math"/>
              </w:rPr>
              <m:t>i</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m:t>
                </m:r>
              </m:sub>
            </m:sSub>
          </m:sub>
        </m:sSub>
      </m:oMath>
      <w:r>
        <w:t xml:space="preserve"> values are uniformly distributed.</w:t>
      </w:r>
    </w:p>
    <w:p w:rsidR="004F35B4" w:rsidRDefault="00985820">
      <m:oMathPara>
        <m:oMathParaPr>
          <m:jc m:val="center"/>
        </m:oMathParaPr>
        <m:oMath>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w:rPr>
                        <w:rFonts w:ascii="Cambria Math" w:hAnsi="Cambria Math"/>
                      </w:rPr>
                      <m:t>k</m:t>
                    </m:r>
                    <m:r>
                      <w:rPr>
                        <w:rFonts w:ascii="Cambria Math" w:hAnsi="Cambria Math"/>
                      </w:rPr>
                      <m:t>,</m:t>
                    </m:r>
                    <m:r>
                      <w:rPr>
                        <w:rFonts w:ascii="Cambria Math" w:hAnsi="Cambria Math"/>
                      </w:rPr>
                      <m:t>j</m:t>
                    </m:r>
                  </m:sub>
                </m:sSub>
              </m:e>
              <m:e>
                <m:r>
                  <w:rPr>
                    <w:rFonts w:ascii="Cambria Math" w:hAnsi="Cambria Math"/>
                  </w:rPr>
                  <m:t>=</m:t>
                </m:r>
              </m:e>
              <m:e>
                <m:nary>
                  <m:naryPr>
                    <m:limLoc m:val="subSup"/>
                    <m:ctrlPr>
                      <w:rPr>
                        <w:rFonts w:ascii="Cambria Math" w:hAnsi="Cambria Math"/>
                      </w:rPr>
                    </m:ctrlPr>
                  </m:naryPr>
                  <m:sub>
                    <m:r>
                      <w:rPr>
                        <w:rFonts w:ascii="Cambria Math" w:hAnsi="Cambria Math"/>
                      </w:rPr>
                      <m:t>x</m:t>
                    </m:r>
                  </m:sub>
                  <m:sup>
                    <m:r>
                      <w:rPr>
                        <w:rFonts w:ascii="Cambria Math" w:hAnsi="Cambria Math"/>
                      </w:rPr>
                      <m:t>∞</m:t>
                    </m:r>
                  </m:sup>
                  <m:e>
                    <m:r>
                      <w:rPr>
                        <w:rFonts w:ascii="Cambria Math" w:hAnsi="Cambria Math"/>
                      </w:rPr>
                      <m:t>Γ</m:t>
                    </m:r>
                  </m:e>
                </m:nary>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r>
                  <w:rPr>
                    <w:rFonts w:ascii="Cambria Math" w:hAnsi="Cambria Math"/>
                  </w:rPr>
                  <m:t xml:space="preserve">,1)  </m:t>
                </m:r>
                <m:r>
                  <m:rPr>
                    <m:sty m:val="p"/>
                  </m:rPr>
                  <w:rPr>
                    <w:rFonts w:ascii="Cambria Math" w:hAnsi="Cambria Math"/>
                  </w:rPr>
                  <m:t>for</m:t>
                </m:r>
                <m:r>
                  <w:rPr>
                    <w:rFonts w:ascii="Cambria Math" w:hAnsi="Cambria Math"/>
                  </w:rPr>
                  <m:t xml:space="preserve">  </m:t>
                </m:r>
                <m:r>
                  <w:rPr>
                    <w:rFonts w:ascii="Cambria Math" w:hAnsi="Cambria Math"/>
                  </w:rPr>
                  <m:t>x</m:t>
                </m:r>
                <m:r>
                  <w:rPr>
                    <w:rFonts w:ascii="Cambria Math" w:hAnsi="Cambria Math"/>
                  </w:rPr>
                  <m:t>=</m:t>
                </m:r>
                <m:nary>
                  <m:naryPr>
                    <m:chr m:val="∑"/>
                    <m:limLoc m:val="undOvr"/>
                    <m:ctrlPr>
                      <w:rPr>
                        <w:rFonts w:ascii="Cambria Math" w:hAnsi="Cambria Math"/>
                      </w:rPr>
                    </m:ctrlPr>
                  </m:naryPr>
                  <m:sub>
                    <m:r>
                      <w:rPr>
                        <w:rFonts w:ascii="Cambria Math" w:hAnsi="Cambria Math"/>
                      </w:rPr>
                      <m:t>i</m:t>
                    </m:r>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k</m:t>
                        </m:r>
                      </m:sub>
                    </m:sSub>
                  </m:sub>
                  <m:sup/>
                  <m:e>
                    <m:r>
                      <w:rPr>
                        <w:rFonts w:ascii="Cambria Math" w:hAnsi="Cambria Math"/>
                      </w:rPr>
                      <m:t>-</m:t>
                    </m:r>
                  </m:e>
                </m:nary>
                <m:r>
                  <m:rPr>
                    <m:sty m:val="p"/>
                  </m:rPr>
                  <w:rPr>
                    <w:rFonts w:ascii="Cambria Math" w:hAnsi="Cambria Math"/>
                  </w:rPr>
                  <m:t>ln</m:t>
                </m:r>
                <m:r>
                  <w:rPr>
                    <w:rFonts w:ascii="Cambria Math" w:hAnsi="Cambria Math"/>
                  </w:rPr>
                  <m:t>A</m:t>
                </m:r>
                <m:sSub>
                  <m:sSubPr>
                    <m:ctrlPr>
                      <w:rPr>
                        <w:rFonts w:ascii="Cambria Math" w:hAnsi="Cambria Math"/>
                      </w:rPr>
                    </m:ctrlPr>
                  </m:sSubPr>
                  <m:e>
                    <m:r>
                      <w:rPr>
                        <w:rFonts w:ascii="Cambria Math" w:hAnsi="Cambria Math"/>
                      </w:rPr>
                      <m:t>ʺ</m:t>
                    </m:r>
                  </m:e>
                  <m:sub>
                    <m:r>
                      <w:rPr>
                        <w:rFonts w:ascii="Cambria Math" w:hAnsi="Cambria Math"/>
                      </w:rPr>
                      <m:t>i</m:t>
                    </m:r>
                    <m:r>
                      <w:rPr>
                        <w:rFonts w:ascii="Cambria Math" w:hAnsi="Cambria Math"/>
                      </w:rPr>
                      <m:t>,</m:t>
                    </m:r>
                    <m:r>
                      <w:rPr>
                        <w:rFonts w:ascii="Cambria Math" w:hAnsi="Cambria Math"/>
                      </w:rPr>
                      <m:t>j</m:t>
                    </m:r>
                  </m:sub>
                </m:sSub>
              </m:e>
            </m:mr>
          </m:m>
        </m:oMath>
      </m:oMathPara>
    </w:p>
    <w:p w:rsidR="004F35B4" w:rsidRDefault="00985820">
      <w:pPr>
        <w:pStyle w:val="Heading4"/>
      </w:pPr>
      <w:bookmarkStart w:id="14" w:name="locus-scores-for-a-matrix-of-binary-valu"/>
      <w:r>
        <w:t>Locus scores for a matrix of binary values</w:t>
      </w:r>
    </w:p>
    <w:bookmarkEnd w:id="14"/>
    <w:p w:rsidR="004F35B4" w:rsidRDefault="00985820">
      <w:r>
        <w:t xml:space="preserve">Let </w:t>
      </w:r>
      <m:oMath>
        <m:r>
          <w:rPr>
            <w:rFonts w:ascii="Cambria Math" w:hAnsi="Cambria Math"/>
          </w:rPr>
          <m:t>B</m:t>
        </m:r>
      </m:oMath>
      <w:r>
        <w:t xml:space="preserve"> denote a binary matrix (1=present, 0=absent) with </w:t>
      </w:r>
      <m:oMath>
        <m:r>
          <w:rPr>
            <w:rFonts w:ascii="Cambria Math" w:hAnsi="Cambria Math"/>
          </w:rPr>
          <m:t>m</m:t>
        </m:r>
      </m:oMath>
      <w:r>
        <w:t xml:space="preserve"> genes and </w:t>
      </w:r>
      <m:oMath>
        <m:r>
          <w:rPr>
            <w:rFonts w:ascii="Cambria Math" w:hAnsi="Cambria Math"/>
          </w:rPr>
          <m:t>n</m:t>
        </m:r>
      </m:oMath>
      <w:r>
        <w:t xml:space="preserve"> </w:t>
      </w:r>
      <w:r>
        <w:t xml:space="preserve">conditions. Let </w:t>
      </w:r>
      <m:oMath>
        <m:sSub>
          <m:sSubPr>
            <m:ctrlPr>
              <w:rPr>
                <w:rFonts w:ascii="Cambria Math" w:hAnsi="Cambria Math"/>
              </w:rPr>
            </m:ctrlPr>
          </m:sSubPr>
          <m:e>
            <m:r>
              <w:rPr>
                <w:rFonts w:ascii="Cambria Math" w:hAnsi="Cambria Math"/>
              </w:rPr>
              <m:t>m</m:t>
            </m:r>
          </m:e>
          <m:sub>
            <m:r>
              <w:rPr>
                <w:rFonts w:ascii="Cambria Math" w:hAnsi="Cambria Math"/>
              </w:rPr>
              <m:t>j</m:t>
            </m:r>
          </m:sub>
        </m:sSub>
      </m:oMath>
      <w:r>
        <w:t xml:space="preserve"> denote the number of genes present in condition </w:t>
      </w:r>
      <m:oMath>
        <m:r>
          <w:rPr>
            <w:rFonts w:ascii="Cambria Math" w:hAnsi="Cambria Math"/>
          </w:rPr>
          <m:t>j</m:t>
        </m:r>
      </m:oMath>
      <w:r>
        <w:t xml:space="preserve">. Let </w:t>
      </w:r>
      <m:oMath>
        <m:sSub>
          <m:sSubPr>
            <m:ctrlPr>
              <w:rPr>
                <w:rFonts w:ascii="Cambria Math" w:hAnsi="Cambria Math"/>
              </w:rPr>
            </m:ctrlPr>
          </m:sSubPr>
          <m:e>
            <m:r>
              <w:rPr>
                <w:rFonts w:ascii="Cambria Math" w:hAnsi="Cambria Math"/>
              </w:rPr>
              <m:t>m</m:t>
            </m:r>
          </m:e>
          <m:sub>
            <m:r>
              <w:rPr>
                <w:rFonts w:ascii="Cambria Math" w:hAnsi="Cambria Math"/>
              </w:rPr>
              <m:t>k</m:t>
            </m:r>
          </m:sub>
        </m:sSub>
      </m:oMath>
      <w:r>
        <w:t xml:space="preserve"> denote the number of genes in locus </w:t>
      </w:r>
      <m:oMath>
        <m:r>
          <w:rPr>
            <w:rFonts w:ascii="Cambria Math" w:hAnsi="Cambria Math"/>
          </w:rPr>
          <m:t>k</m:t>
        </m:r>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k</m:t>
            </m:r>
            <m:r>
              <w:rPr>
                <w:rFonts w:ascii="Cambria Math" w:hAnsi="Cambria Math"/>
              </w:rPr>
              <m:t>,</m:t>
            </m:r>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oMath>
      <w:r>
        <w:t xml:space="preserve"> denote the number of genes in locus </w:t>
      </w:r>
      <m:oMath>
        <m:r>
          <w:rPr>
            <w:rFonts w:ascii="Cambria Math" w:hAnsi="Cambria Math"/>
          </w:rPr>
          <m:t>k</m:t>
        </m:r>
      </m:oMath>
      <w:r>
        <w:t xml:space="preserve"> that are present in condition </w:t>
      </w:r>
      <m:oMath>
        <m:r>
          <w:rPr>
            <w:rFonts w:ascii="Cambria Math" w:hAnsi="Cambria Math"/>
          </w:rPr>
          <m:t>j</m:t>
        </m:r>
      </m:oMath>
      <w:r>
        <w:t>.</w:t>
      </w:r>
    </w:p>
    <w:p w:rsidR="004F35B4" w:rsidRDefault="00985820">
      <w:r>
        <w:t>We provide two options to calculate locus sco</w:t>
      </w:r>
      <w:r>
        <w:t xml:space="preserve">res. By default, we account for presence or absence of any of the </w:t>
      </w:r>
      <m:oMath>
        <m:sSub>
          <m:sSubPr>
            <m:ctrlPr>
              <w:rPr>
                <w:rFonts w:ascii="Cambria Math" w:hAnsi="Cambria Math"/>
              </w:rPr>
            </m:ctrlPr>
          </m:sSubPr>
          <m:e>
            <m:r>
              <w:rPr>
                <w:rFonts w:ascii="Cambria Math" w:hAnsi="Cambria Math"/>
              </w:rPr>
              <m:t>m</m:t>
            </m:r>
          </m:e>
          <m:sub>
            <m:r>
              <w:rPr>
                <w:rFonts w:ascii="Cambria Math" w:hAnsi="Cambria Math"/>
              </w:rPr>
              <m:t>k</m:t>
            </m:r>
          </m:sub>
        </m:sSub>
      </m:oMath>
      <w:r>
        <w:t xml:space="preserve"> genes in condition </w:t>
      </w:r>
      <m:oMath>
        <m:r>
          <w:rPr>
            <w:rFonts w:ascii="Cambria Math" w:hAnsi="Cambria Math"/>
          </w:rPr>
          <m:t>j</m:t>
        </m:r>
      </m:oMath>
      <w:r>
        <w:t>, as shown below (</w:t>
      </w:r>
      <w:r>
        <w:rPr>
          <w:rStyle w:val="VerbatimChar"/>
        </w:rPr>
        <w:t>’--score single’</w:t>
      </w:r>
      <w:r>
        <w:t>). Alternatively, we account for the number of genes in a given locus (</w:t>
      </w:r>
      <w:r>
        <w:rPr>
          <w:rStyle w:val="VerbatimChar"/>
        </w:rPr>
        <w:t>’--score total’</w:t>
      </w:r>
      <w:r>
        <w:t>).</w:t>
      </w:r>
    </w:p>
    <w:tbl>
      <w:tblPr>
        <w:tblW w:w="0" w:type="auto"/>
        <w:tblLook w:val="04A0" w:firstRow="1" w:lastRow="0" w:firstColumn="1" w:lastColumn="0" w:noHBand="0" w:noVBand="1"/>
      </w:tblPr>
      <w:tblGrid>
        <w:gridCol w:w="2996"/>
        <w:gridCol w:w="3982"/>
      </w:tblGrid>
      <w:tr w:rsidR="004F35B4">
        <w:tc>
          <w:tcPr>
            <w:tcW w:w="0" w:type="auto"/>
            <w:tcBorders>
              <w:bottom w:val="single" w:sz="0" w:space="0" w:color="auto"/>
            </w:tcBorders>
            <w:vAlign w:val="bottom"/>
          </w:tcPr>
          <w:p w:rsidR="004F35B4" w:rsidRDefault="00985820">
            <w:pPr>
              <w:pStyle w:val="Compact"/>
            </w:pPr>
            <w:r>
              <w:t>`’--score single’</w:t>
            </w:r>
          </w:p>
        </w:tc>
        <w:tc>
          <w:tcPr>
            <w:tcW w:w="0" w:type="auto"/>
            <w:tcBorders>
              <w:bottom w:val="single" w:sz="0" w:space="0" w:color="auto"/>
            </w:tcBorders>
            <w:vAlign w:val="bottom"/>
          </w:tcPr>
          <w:p w:rsidR="004F35B4" w:rsidRDefault="00985820">
            <w:pPr>
              <w:pStyle w:val="Compact"/>
            </w:pPr>
            <w:r>
              <w:rPr>
                <w:rStyle w:val="VerbatimChar"/>
              </w:rPr>
              <w:t>’--score total’</w:t>
            </w:r>
          </w:p>
        </w:tc>
      </w:tr>
      <w:tr w:rsidR="004F35B4">
        <w:tc>
          <w:tcPr>
            <w:tcW w:w="0" w:type="auto"/>
          </w:tcPr>
          <w:p w:rsidR="004F35B4" w:rsidRDefault="00985820">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k</m:t>
                    </m:r>
                    <m:r>
                      <w:rPr>
                        <w:rFonts w:ascii="Cambria Math" w:hAnsi="Cambria Math"/>
                      </w:rPr>
                      <m:t>,</m:t>
                    </m:r>
                    <m:r>
                      <w:rPr>
                        <w:rFonts w:ascii="Cambria Math" w:hAnsi="Cambria Math"/>
                      </w:rPr>
                      <m:t>j</m:t>
                    </m:r>
                  </m:sub>
                </m:sSub>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1-</m:t>
                          </m:r>
                          <m:r>
                            <w:rPr>
                              <w:rFonts w:ascii="Cambria Math" w:hAnsi="Cambria Math"/>
                            </w:rPr>
                            <m:t>p</m:t>
                          </m:r>
                          <m:r>
                            <w:rPr>
                              <w:rFonts w:ascii="Cambria Math" w:hAnsi="Cambria Math"/>
                            </w:rPr>
                            <m:t>(0)</m:t>
                          </m:r>
                        </m:e>
                        <m:e>
                          <m:sSub>
                            <m:sSubPr>
                              <m:ctrlPr>
                                <w:rPr>
                                  <w:rFonts w:ascii="Cambria Math" w:hAnsi="Cambria Math"/>
                                </w:rPr>
                              </m:ctrlPr>
                            </m:sSubPr>
                            <m:e>
                              <m:r>
                                <w:rPr>
                                  <w:rFonts w:ascii="Cambria Math" w:hAnsi="Cambria Math"/>
                                </w:rPr>
                                <m:t>m</m:t>
                              </m:r>
                            </m:e>
                            <m:sub>
                              <m:r>
                                <w:rPr>
                                  <w:rFonts w:ascii="Cambria Math" w:hAnsi="Cambria Math"/>
                                </w:rPr>
                                <m:t>k</m:t>
                              </m:r>
                              <m:r>
                                <w:rPr>
                                  <w:rFonts w:ascii="Cambria Math" w:hAnsi="Cambria Math"/>
                                </w:rPr>
                                <m:t>,</m:t>
                              </m:r>
                              <m:r>
                                <w:rPr>
                                  <w:rFonts w:ascii="Cambria Math" w:hAnsi="Cambria Math"/>
                                </w:rPr>
                                <m:t>j</m:t>
                              </m:r>
                            </m:sub>
                          </m:sSub>
                          <m:r>
                            <w:rPr>
                              <w:rFonts w:ascii="Cambria Math" w:hAnsi="Cambria Math"/>
                            </w:rPr>
                            <m:t>&gt;0</m:t>
                          </m:r>
                        </m:e>
                      </m:mr>
                      <m:mr>
                        <m:e>
                          <m:r>
                            <w:rPr>
                              <w:rFonts w:ascii="Cambria Math" w:hAnsi="Cambria Math"/>
                            </w:rPr>
                            <m:t>1</m:t>
                          </m:r>
                        </m:e>
                        <m:e>
                          <m:sSub>
                            <m:sSubPr>
                              <m:ctrlPr>
                                <w:rPr>
                                  <w:rFonts w:ascii="Cambria Math" w:hAnsi="Cambria Math"/>
                                </w:rPr>
                              </m:ctrlPr>
                            </m:sSubPr>
                            <m:e>
                              <m:r>
                                <w:rPr>
                                  <w:rFonts w:ascii="Cambria Math" w:hAnsi="Cambria Math"/>
                                </w:rPr>
                                <m:t>m</m:t>
                              </m:r>
                            </m:e>
                            <m:sub>
                              <m:r>
                                <w:rPr>
                                  <w:rFonts w:ascii="Cambria Math" w:hAnsi="Cambria Math"/>
                                </w:rPr>
                                <m:t>k</m:t>
                              </m:r>
                              <m:r>
                                <w:rPr>
                                  <w:rFonts w:ascii="Cambria Math" w:hAnsi="Cambria Math"/>
                                </w:rPr>
                                <m:t>,</m:t>
                              </m:r>
                              <m:r>
                                <w:rPr>
                                  <w:rFonts w:ascii="Cambria Math" w:hAnsi="Cambria Math"/>
                                </w:rPr>
                                <m:t>j</m:t>
                              </m:r>
                            </m:sub>
                          </m:sSub>
                          <m:r>
                            <w:rPr>
                              <w:rFonts w:ascii="Cambria Math" w:hAnsi="Cambria Math"/>
                            </w:rPr>
                            <m:t>=0</m:t>
                          </m:r>
                        </m:e>
                      </m:mr>
                    </m:m>
                  </m:e>
                </m:d>
              </m:oMath>
            </m:oMathPara>
          </w:p>
        </w:tc>
        <w:tc>
          <w:tcPr>
            <w:tcW w:w="0" w:type="auto"/>
          </w:tcPr>
          <w:p w:rsidR="004F35B4" w:rsidRDefault="00985820">
            <w:pPr>
              <w:pStyle w:val="Compact"/>
            </w:pPr>
            <m:oMathPara>
              <m:oMath>
                <m:sSub>
                  <m:sSubPr>
                    <m:ctrlPr>
                      <w:rPr>
                        <w:rFonts w:ascii="Cambria Math" w:hAnsi="Cambria Math"/>
                      </w:rPr>
                    </m:ctrlPr>
                  </m:sSubPr>
                  <m:e>
                    <m:r>
                      <w:rPr>
                        <w:rFonts w:ascii="Cambria Math" w:hAnsi="Cambria Math"/>
                      </w:rPr>
                      <m:t>P</m:t>
                    </m:r>
                  </m:e>
                  <m:sub>
                    <m:r>
                      <w:rPr>
                        <w:rFonts w:ascii="Cambria Math" w:hAnsi="Cambria Math"/>
                      </w:rPr>
                      <m:t>k</m:t>
                    </m:r>
                    <m:r>
                      <w:rPr>
                        <w:rFonts w:ascii="Cambria Math" w:hAnsi="Cambria Math"/>
                      </w:rPr>
                      <m:t>,</m:t>
                    </m:r>
                    <m:r>
                      <w:rPr>
                        <w:rFonts w:ascii="Cambria Math" w:hAnsi="Cambria Math"/>
                      </w:rPr>
                      <m:t>j</m:t>
                    </m:r>
                  </m:sub>
                </m:sSub>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1-</m:t>
                          </m:r>
                          <m:nary>
                            <m:naryPr>
                              <m:chr m:val="∑"/>
                              <m:limLoc m:val="subSup"/>
                              <m:ctrlPr>
                                <w:rPr>
                                  <w:rFonts w:ascii="Cambria Math" w:hAnsi="Cambria Math"/>
                                </w:rPr>
                              </m:ctrlPr>
                            </m:naryPr>
                            <m:sub>
                              <m:r>
                                <w:rPr>
                                  <w:rFonts w:ascii="Cambria Math" w:hAnsi="Cambria Math"/>
                                </w:rPr>
                                <m:t>x</m:t>
                              </m:r>
                              <m:r>
                                <w:rPr>
                                  <w:rFonts w:ascii="Cambria Math" w:hAnsi="Cambria Math"/>
                                </w:rPr>
                                <m:t>=0</m:t>
                              </m:r>
                            </m:sub>
                            <m:sup>
                              <m:sSub>
                                <m:sSubPr>
                                  <m:ctrlPr>
                                    <w:rPr>
                                      <w:rFonts w:ascii="Cambria Math" w:hAnsi="Cambria Math"/>
                                    </w:rPr>
                                  </m:ctrlPr>
                                </m:sSubPr>
                                <m:e>
                                  <m:r>
                                    <w:rPr>
                                      <w:rFonts w:ascii="Cambria Math" w:hAnsi="Cambria Math"/>
                                    </w:rPr>
                                    <m:t>m</m:t>
                                  </m:r>
                                </m:e>
                                <m:sub>
                                  <m:r>
                                    <w:rPr>
                                      <w:rFonts w:ascii="Cambria Math" w:hAnsi="Cambria Math"/>
                                    </w:rPr>
                                    <m:t>k</m:t>
                                  </m:r>
                                  <m:r>
                                    <w:rPr>
                                      <w:rFonts w:ascii="Cambria Math" w:hAnsi="Cambria Math"/>
                                    </w:rPr>
                                    <m:t>,</m:t>
                                  </m:r>
                                  <m:r>
                                    <w:rPr>
                                      <w:rFonts w:ascii="Cambria Math" w:hAnsi="Cambria Math"/>
                                    </w:rPr>
                                    <m:t>j</m:t>
                                  </m:r>
                                </m:sub>
                              </m:sSub>
                              <m:r>
                                <w:rPr>
                                  <w:rFonts w:ascii="Cambria Math" w:hAnsi="Cambria Math"/>
                                </w:rPr>
                                <m:t>-</m:t>
                              </m:r>
                              <m:r>
                                <w:rPr>
                                  <w:rFonts w:ascii="Cambria Math" w:hAnsi="Cambria Math"/>
                                </w:rPr>
                                <m:t>1</m:t>
                              </m:r>
                            </m:sup>
                            <m:e>
                              <m:r>
                                <w:rPr>
                                  <w:rFonts w:ascii="Cambria Math" w:hAnsi="Cambria Math"/>
                                </w:rPr>
                                <m:t>p</m:t>
                              </m:r>
                            </m:e>
                          </m:nary>
                          <m:r>
                            <w:rPr>
                              <w:rFonts w:ascii="Cambria Math" w:hAnsi="Cambria Math"/>
                            </w:rPr>
                            <m:t>(</m:t>
                          </m:r>
                          <m:r>
                            <w:rPr>
                              <w:rFonts w:ascii="Cambria Math" w:hAnsi="Cambria Math"/>
                            </w:rPr>
                            <m:t>x</m:t>
                          </m:r>
                          <m:r>
                            <w:rPr>
                              <w:rFonts w:ascii="Cambria Math" w:hAnsi="Cambria Math"/>
                            </w:rPr>
                            <m:t>)</m:t>
                          </m:r>
                        </m:e>
                        <m:e>
                          <m:sSub>
                            <m:sSubPr>
                              <m:ctrlPr>
                                <w:rPr>
                                  <w:rFonts w:ascii="Cambria Math" w:hAnsi="Cambria Math"/>
                                </w:rPr>
                              </m:ctrlPr>
                            </m:sSubPr>
                            <m:e>
                              <m:r>
                                <w:rPr>
                                  <w:rFonts w:ascii="Cambria Math" w:hAnsi="Cambria Math"/>
                                </w:rPr>
                                <m:t>m</m:t>
                              </m:r>
                            </m:e>
                            <m:sub>
                              <m:r>
                                <w:rPr>
                                  <w:rFonts w:ascii="Cambria Math" w:hAnsi="Cambria Math"/>
                                </w:rPr>
                                <m:t>k</m:t>
                              </m:r>
                              <m:r>
                                <w:rPr>
                                  <w:rFonts w:ascii="Cambria Math" w:hAnsi="Cambria Math"/>
                                </w:rPr>
                                <m:t>,</m:t>
                              </m:r>
                              <m:r>
                                <w:rPr>
                                  <w:rFonts w:ascii="Cambria Math" w:hAnsi="Cambria Math"/>
                                </w:rPr>
                                <m:t>j</m:t>
                              </m:r>
                            </m:sub>
                          </m:sSub>
                          <m:r>
                            <w:rPr>
                              <w:rFonts w:ascii="Cambria Math" w:hAnsi="Cambria Math"/>
                            </w:rPr>
                            <m:t>&gt;0</m:t>
                          </m:r>
                        </m:e>
                      </m:mr>
                      <m:mr>
                        <m:e>
                          <m:r>
                            <w:rPr>
                              <w:rFonts w:ascii="Cambria Math" w:hAnsi="Cambria Math"/>
                            </w:rPr>
                            <m:t>1</m:t>
                          </m:r>
                        </m:e>
                        <m:e>
                          <m:sSub>
                            <m:sSubPr>
                              <m:ctrlPr>
                                <w:rPr>
                                  <w:rFonts w:ascii="Cambria Math" w:hAnsi="Cambria Math"/>
                                </w:rPr>
                              </m:ctrlPr>
                            </m:sSubPr>
                            <m:e>
                              <m:r>
                                <w:rPr>
                                  <w:rFonts w:ascii="Cambria Math" w:hAnsi="Cambria Math"/>
                                </w:rPr>
                                <m:t>m</m:t>
                              </m:r>
                            </m:e>
                            <m:sub>
                              <m:r>
                                <w:rPr>
                                  <w:rFonts w:ascii="Cambria Math" w:hAnsi="Cambria Math"/>
                                </w:rPr>
                                <m:t>k</m:t>
                              </m:r>
                              <m:r>
                                <w:rPr>
                                  <w:rFonts w:ascii="Cambria Math" w:hAnsi="Cambria Math"/>
                                </w:rPr>
                                <m:t>,</m:t>
                              </m:r>
                              <m:r>
                                <w:rPr>
                                  <w:rFonts w:ascii="Cambria Math" w:hAnsi="Cambria Math"/>
                                </w:rPr>
                                <m:t>j</m:t>
                              </m:r>
                            </m:sub>
                          </m:sSub>
                          <m:r>
                            <w:rPr>
                              <w:rFonts w:ascii="Cambria Math" w:hAnsi="Cambria Math"/>
                            </w:rPr>
                            <m:t>=0</m:t>
                          </m:r>
                        </m:e>
                      </m:mr>
                    </m:m>
                  </m:e>
                </m:d>
              </m:oMath>
            </m:oMathPara>
          </w:p>
        </w:tc>
      </w:tr>
    </w:tbl>
    <w:p w:rsidR="004F35B4" w:rsidRDefault="00985820">
      <w:r>
        <w:t>where</w:t>
      </w:r>
    </w:p>
    <w:p w:rsidR="004F35B4" w:rsidRDefault="00985820">
      <w:r>
        <w:t>$$p(x)=\dfrac{{m_{j} \choose x}{m-m_{j} \choose m_{k}-x}}{{m \choose m_{k}}}$$</w:t>
      </w:r>
    </w:p>
    <w:p w:rsidR="004F35B4" w:rsidRDefault="00985820">
      <w:pPr>
        <w:pStyle w:val="Heading4"/>
      </w:pPr>
      <w:bookmarkStart w:id="15" w:name="condition-specificity-scores"/>
      <w:r>
        <w:t>Condition specificity scores</w:t>
      </w:r>
    </w:p>
    <w:bookmarkEnd w:id="15"/>
    <w:p w:rsidR="004F35B4" w:rsidRDefault="00985820">
      <w:r>
        <w:t>For both continuous and binary matrices, we define a specifici</w:t>
      </w:r>
      <w:r>
        <w:t xml:space="preserve">ty score </w:t>
      </w:r>
      <m:oMath>
        <m:sSub>
          <m:sSubPr>
            <m:ctrlPr>
              <w:rPr>
                <w:rFonts w:ascii="Cambria Math" w:hAnsi="Cambria Math"/>
              </w:rPr>
            </m:ctrlPr>
          </m:sSubPr>
          <m:e>
            <m:r>
              <w:rPr>
                <w:rFonts w:ascii="Cambria Math" w:hAnsi="Cambria Math"/>
              </w:rPr>
              <m:t>S</m:t>
            </m:r>
          </m:e>
          <m:sub>
            <m:r>
              <w:rPr>
                <w:rFonts w:ascii="Cambria Math" w:hAnsi="Cambria Math"/>
              </w:rPr>
              <m:t>j</m:t>
            </m:r>
          </m:sub>
        </m:sSub>
      </m:oMath>
      <w:r>
        <w:t xml:space="preserve"> for each condition </w:t>
      </w:r>
      <m:oMath>
        <m:r>
          <w:rPr>
            <w:rFonts w:ascii="Cambria Math" w:hAnsi="Cambria Math"/>
          </w:rPr>
          <m:t>j</m:t>
        </m:r>
      </m:oMath>
      <w:r>
        <w:t xml:space="preserve"> as the aggregate of </w:t>
      </w:r>
      <m:oMath>
        <m:sSub>
          <m:sSubPr>
            <m:ctrlPr>
              <w:rPr>
                <w:rFonts w:ascii="Cambria Math" w:hAnsi="Cambria Math"/>
              </w:rPr>
            </m:ctrlPr>
          </m:sSubPr>
          <m:e>
            <m:r>
              <w:rPr>
                <w:rFonts w:ascii="Cambria Math" w:hAnsi="Cambria Math"/>
              </w:rPr>
              <m:t>P</m:t>
            </m:r>
          </m:e>
          <m:sub>
            <m:r>
              <w:rPr>
                <w:rFonts w:ascii="Cambria Math" w:hAnsi="Cambria Math"/>
              </w:rPr>
              <m:t>k</m:t>
            </m:r>
            <m:r>
              <w:rPr>
                <w:rFonts w:ascii="Cambria Math" w:hAnsi="Cambria Math"/>
              </w:rPr>
              <m:t>,</m:t>
            </m:r>
            <m:r>
              <w:rPr>
                <w:rFonts w:ascii="Cambria Math" w:hAnsi="Cambria Math"/>
              </w:rPr>
              <m:t>j</m:t>
            </m:r>
          </m:sub>
        </m:sSub>
      </m:oMath>
      <w:r>
        <w:t xml:space="preserve"> values across SNP loci:</w:t>
      </w:r>
    </w:p>
    <w:p w:rsidR="004F35B4" w:rsidRDefault="00985820">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nary>
            <m:naryPr>
              <m:chr m:val="∑"/>
              <m:limLoc m:val="undOvr"/>
              <m:ctrlPr>
                <w:rPr>
                  <w:rFonts w:ascii="Cambria Math" w:hAnsi="Cambria Math"/>
                </w:rPr>
              </m:ctrlPr>
            </m:naryPr>
            <m:sub>
              <m:r>
                <w:rPr>
                  <w:rFonts w:ascii="Cambria Math" w:hAnsi="Cambria Math"/>
                </w:rPr>
                <m:t>k</m:t>
              </m:r>
            </m:sub>
            <m:sup/>
            <m:e>
              <m:r>
                <w:rPr>
                  <w:rFonts w:ascii="Cambria Math" w:hAnsi="Cambria Math"/>
                </w:rPr>
                <m:t>-</m:t>
              </m:r>
            </m:e>
          </m:nary>
          <m:r>
            <m:rPr>
              <m:sty m:val="p"/>
            </m:rP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k</m:t>
              </m:r>
              <m:r>
                <w:rPr>
                  <w:rFonts w:ascii="Cambria Math" w:hAnsi="Cambria Math"/>
                </w:rPr>
                <m:t>,</m:t>
              </m:r>
              <m:r>
                <w:rPr>
                  <w:rFonts w:ascii="Cambria Math" w:hAnsi="Cambria Math"/>
                </w:rPr>
                <m:t>j</m:t>
              </m:r>
            </m:sub>
          </m:sSub>
        </m:oMath>
      </m:oMathPara>
    </w:p>
    <w:p w:rsidR="004F35B4" w:rsidRDefault="00985820">
      <w:pPr>
        <w:pStyle w:val="Heading3"/>
      </w:pPr>
      <w:bookmarkStart w:id="16" w:name="step-3-testing-significance"/>
      <w:r>
        <w:t>Step 3: Testing significance</w:t>
      </w:r>
    </w:p>
    <w:p w:rsidR="004F35B4" w:rsidRDefault="00985820">
      <w:pPr>
        <w:pStyle w:val="Heading4"/>
      </w:pPr>
      <w:bookmarkStart w:id="17" w:name="analytical-p-values"/>
      <w:bookmarkEnd w:id="16"/>
      <w:r>
        <w:t>Analytical p-values</w:t>
      </w:r>
    </w:p>
    <w:bookmarkEnd w:id="17"/>
    <w:p w:rsidR="004F35B4" w:rsidRDefault="00985820">
      <w:r>
        <w:t xml:space="preserve">We previously found that aggregating the </w:t>
      </w:r>
      <m:oMath>
        <m:sSub>
          <m:sSubPr>
            <m:ctrlPr>
              <w:rPr>
                <w:rFonts w:ascii="Cambria Math" w:hAnsi="Cambria Math"/>
              </w:rPr>
            </m:ctrlPr>
          </m:sSubPr>
          <m:e>
            <m:r>
              <w:rPr>
                <w:rFonts w:ascii="Cambria Math" w:hAnsi="Cambria Math"/>
              </w:rPr>
              <m:t>P</m:t>
            </m:r>
          </m:e>
          <m:sub>
            <m:r>
              <w:rPr>
                <w:rFonts w:ascii="Cambria Math" w:hAnsi="Cambria Math"/>
              </w:rPr>
              <m:t>k</m:t>
            </m:r>
            <m:r>
              <w:rPr>
                <w:rFonts w:ascii="Cambria Math" w:hAnsi="Cambria Math"/>
              </w:rPr>
              <m:t>,</m:t>
            </m:r>
            <m:r>
              <w:rPr>
                <w:rFonts w:ascii="Cambria Math" w:hAnsi="Cambria Math"/>
              </w:rPr>
              <m:t>j</m:t>
            </m:r>
          </m:sub>
        </m:sSub>
      </m:oMath>
      <w:r>
        <w:t xml:space="preserve"> scores and determining a </w:t>
      </w:r>
      <m:oMath>
        <m:r>
          <w:rPr>
            <w:rFonts w:ascii="Cambria Math" w:hAnsi="Cambria Math"/>
          </w:rPr>
          <m:t>P</m:t>
        </m:r>
      </m:oMath>
      <w:r>
        <w:t>-value analytically from</w:t>
      </w:r>
      <w:r>
        <w:t xml:space="preserve"> a distribution results in inaccurate p-values (Hu </w:t>
      </w:r>
      <w:r>
        <w:rPr>
          <w:i/>
        </w:rPr>
        <w:t>et al.</w:t>
      </w:r>
      <w:r>
        <w:t xml:space="preserve"> 2011). </w:t>
      </w:r>
      <m:oMath>
        <m:r>
          <w:rPr>
            <w:rFonts w:ascii="Cambria Math" w:hAnsi="Cambria Math"/>
          </w:rPr>
          <m:t>A</m:t>
        </m:r>
        <m:sSub>
          <m:sSubPr>
            <m:ctrlPr>
              <w:rPr>
                <w:rFonts w:ascii="Cambria Math" w:hAnsi="Cambria Math"/>
              </w:rPr>
            </m:ctrlPr>
          </m:sSubPr>
          <m:e>
            <m:r>
              <w:rPr>
                <w:rFonts w:ascii="Cambria Math" w:hAnsi="Cambria Math"/>
              </w:rPr>
              <m:t>ʺ</m:t>
            </m:r>
          </m:e>
          <m:sub>
            <m:r>
              <w:rPr>
                <w:rFonts w:ascii="Cambria Math" w:hAnsi="Cambria Math"/>
              </w:rPr>
              <m:t>i</m:t>
            </m:r>
            <m:r>
              <w:rPr>
                <w:rFonts w:ascii="Cambria Math" w:hAnsi="Cambria Math"/>
              </w:rPr>
              <m:t>,</m:t>
            </m:r>
            <m:r>
              <w:rPr>
                <w:rFonts w:ascii="Cambria Math" w:hAnsi="Cambria Math"/>
              </w:rPr>
              <m:t>j</m:t>
            </m:r>
          </m:sub>
        </m:sSub>
      </m:oMath>
      <w:r>
        <w:t xml:space="preserve"> values may be relatively uniform genome-wide, but proximate genes often have shared functions. The genome has a complex correlation structure of linkage disequilibrium, gene density,</w:t>
      </w:r>
      <w:r>
        <w:t xml:space="preserve"> gene size and function that is challenging to model analytically. We use the sampling strategy described below instead.</w:t>
      </w:r>
    </w:p>
    <w:p w:rsidR="004F35B4" w:rsidRDefault="00985820">
      <w:pPr>
        <w:pStyle w:val="Heading4"/>
      </w:pPr>
      <w:bookmarkStart w:id="18" w:name="permutation-p-values"/>
      <w:r>
        <w:t>Permutation p-values</w:t>
      </w:r>
    </w:p>
    <w:bookmarkEnd w:id="18"/>
    <w:p w:rsidR="004F35B4" w:rsidRDefault="00985820">
      <w:r>
        <w:t xml:space="preserve">For each condition, we use a sampling approach to calculate an empirical p-value. This is the tail probability of </w:t>
      </w:r>
      <w:r>
        <w:t xml:space="preserve">observing a condition-specificity score greater or equal to </w:t>
      </w:r>
      <m:oMath>
        <m:sSub>
          <m:sSubPr>
            <m:ctrlPr>
              <w:rPr>
                <w:rFonts w:ascii="Cambria Math" w:hAnsi="Cambria Math"/>
              </w:rPr>
            </m:ctrlPr>
          </m:sSubPr>
          <m:e>
            <m:r>
              <w:rPr>
                <w:rFonts w:ascii="Cambria Math" w:hAnsi="Cambria Math"/>
              </w:rPr>
              <m:t>S</m:t>
            </m:r>
          </m:e>
          <m:sub>
            <m:r>
              <w:rPr>
                <w:rFonts w:ascii="Cambria Math" w:hAnsi="Cambria Math"/>
              </w:rPr>
              <m:t>j</m:t>
            </m:r>
          </m:sub>
        </m:sSub>
      </m:oMath>
      <w:r>
        <w:t>. We obtain the distribution empirically with null SNP sets.</w:t>
      </w:r>
    </w:p>
    <w:p w:rsidR="004F35B4" w:rsidRDefault="00985820">
      <w:r>
        <w:t xml:space="preserve">We compute specificity scores </w:t>
      </w:r>
      <m:oMath>
        <m:r>
          <w:rPr>
            <w:rFonts w:ascii="Cambria Math" w:hAnsi="Cambria Math"/>
          </w:rPr>
          <m:t>S</m:t>
        </m:r>
      </m:oMath>
      <w:r>
        <w:t xml:space="preserve"> for random SNP sets. Each SNP in a null set is matched to a SNP in the user’s set on the number of</w:t>
      </w:r>
      <w:r>
        <w:t xml:space="preserve"> linked genes. To adequately sample genes from the entire genome, we sample SNP sets from a list of LD-pruned SNPs (subset of SNPs in 1000 Genomes Project) (Lango Allen </w:t>
      </w:r>
      <w:r>
        <w:rPr>
          <w:i/>
        </w:rPr>
        <w:t>et al.</w:t>
      </w:r>
      <w:r>
        <w:t xml:space="preserve"> 2010).</w:t>
      </w:r>
    </w:p>
    <w:p w:rsidR="004F35B4" w:rsidRDefault="00985820">
      <w:r>
        <w:t xml:space="preserve">For each condition </w:t>
      </w:r>
      <m:oMath>
        <m:r>
          <w:rPr>
            <w:rFonts w:ascii="Cambria Math" w:hAnsi="Cambria Math"/>
          </w:rPr>
          <m:t>j</m:t>
        </m:r>
      </m:oMath>
      <w:r>
        <w:t>, we calculate an exact permutation p-value (Phipson</w:t>
      </w:r>
      <w:r>
        <w:t xml:space="preserve"> </w:t>
      </w:r>
      <w:r>
        <w:rPr>
          <w:i/>
        </w:rPr>
        <w:t>et al.</w:t>
      </w:r>
      <w:r>
        <w:t xml:space="preserve"> 2010). Let </w:t>
      </w:r>
      <m:oMath>
        <m:sSub>
          <m:sSubPr>
            <m:ctrlPr>
              <w:rPr>
                <w:rFonts w:ascii="Cambria Math" w:hAnsi="Cambria Math"/>
              </w:rPr>
            </m:ctrlPr>
          </m:sSubPr>
          <m:e>
            <m:r>
              <w:rPr>
                <w:rFonts w:ascii="Cambria Math" w:hAnsi="Cambria Math"/>
              </w:rPr>
              <m:t>a</m:t>
            </m:r>
          </m:e>
          <m:sub>
            <m:r>
              <w:rPr>
                <w:rFonts w:ascii="Cambria Math" w:hAnsi="Cambria Math"/>
              </w:rPr>
              <m:t>j</m:t>
            </m:r>
          </m:sub>
        </m:sSub>
      </m:oMath>
      <w:r>
        <w:t xml:space="preserve"> denote the number of sampled SNP sets (e.g. 10,000) and let </w:t>
      </w:r>
      <m:oMath>
        <m:sSub>
          <m:sSubPr>
            <m:ctrlPr>
              <w:rPr>
                <w:rFonts w:ascii="Cambria Math" w:hAnsi="Cambria Math"/>
              </w:rPr>
            </m:ctrlPr>
          </m:sSubPr>
          <m:e>
            <m:r>
              <w:rPr>
                <w:rFonts w:ascii="Cambria Math" w:hAnsi="Cambria Math"/>
              </w:rPr>
              <m:t>b</m:t>
            </m:r>
          </m:e>
          <m:sub>
            <m:r>
              <w:rPr>
                <w:rFonts w:ascii="Cambria Math" w:hAnsi="Cambria Math"/>
              </w:rPr>
              <m:t>j</m:t>
            </m:r>
          </m:sub>
        </m:sSub>
      </m:oMath>
      <w:r>
        <w:t xml:space="preserve"> denote how many null specificity scores are greater than or equal to the user’s score </w:t>
      </w:r>
      <m:oMath>
        <m:sSub>
          <m:sSubPr>
            <m:ctrlPr>
              <w:rPr>
                <w:rFonts w:ascii="Cambria Math" w:hAnsi="Cambria Math"/>
              </w:rPr>
            </m:ctrlPr>
          </m:sSubPr>
          <m:e>
            <m:r>
              <w:rPr>
                <w:rFonts w:ascii="Cambria Math" w:hAnsi="Cambria Math"/>
              </w:rPr>
              <m:t>S</m:t>
            </m:r>
          </m:e>
          <m:sub>
            <m:r>
              <w:rPr>
                <w:rFonts w:ascii="Cambria Math" w:hAnsi="Cambria Math"/>
              </w:rPr>
              <m:t>j</m:t>
            </m:r>
          </m:sub>
        </m:sSub>
      </m:oMath>
      <w:r>
        <w:t>:</w:t>
      </w:r>
    </w:p>
    <w:p w:rsidR="004F35B4" w:rsidRDefault="00985820">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+1</m:t>
              </m:r>
            </m:num>
            <m:den>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+1</m:t>
              </m:r>
            </m:den>
          </m:f>
        </m:oMath>
      </m:oMathPara>
    </w:p>
    <w:p w:rsidR="004F35B4" w:rsidRDefault="00985820">
      <w:r>
        <w:t>We implemented adaptive sampling to calculate p-values ef</w:t>
      </w:r>
      <w:r>
        <w:t>ficiently. As each condition is tested for significance, we increase the number of iterations to resolve significant p-values and save computation by using fewer iterations for less significant p-values. Two options allow the user to control the adaptive s</w:t>
      </w:r>
      <w:r>
        <w:t>ampling:</w:t>
      </w:r>
    </w:p>
    <w:p w:rsidR="004F35B4" w:rsidRDefault="00985820">
      <w:pPr>
        <w:numPr>
          <w:ilvl w:val="0"/>
          <w:numId w:val="10"/>
        </w:numPr>
      </w:pPr>
      <w:r>
        <w:rPr>
          <w:rStyle w:val="VerbatimChar"/>
        </w:rPr>
        <w:t>’--max-iterations N’</w:t>
      </w:r>
      <w:r>
        <w:t xml:space="preserve"> The maximum number of iterations for each condition. We stop testing a condition after sampling </w:t>
      </w:r>
      <m:oMath>
        <m:r>
          <w:rPr>
            <w:rFonts w:ascii="Cambria Math" w:hAnsi="Cambria Math"/>
          </w:rPr>
          <m:t>N</m:t>
        </m:r>
      </m:oMath>
      <w:r>
        <w:t xml:space="preserve"> SNP sets.</w:t>
      </w:r>
    </w:p>
    <w:p w:rsidR="004F35B4" w:rsidRDefault="00985820">
      <w:pPr>
        <w:numPr>
          <w:ilvl w:val="0"/>
          <w:numId w:val="10"/>
        </w:numPr>
      </w:pPr>
      <w:r>
        <w:rPr>
          <w:rStyle w:val="VerbatimChar"/>
        </w:rPr>
        <w:t>’--min-observations N’</w:t>
      </w:r>
      <w:r>
        <w:t xml:space="preserve"> The minimum number of observed null specificity scores greater than or equal to </w:t>
      </w:r>
      <m:oMath>
        <m:sSub>
          <m:sSubPr>
            <m:ctrlPr>
              <w:rPr>
                <w:rFonts w:ascii="Cambria Math" w:hAnsi="Cambria Math"/>
              </w:rPr>
            </m:ctrlPr>
          </m:sSubPr>
          <m:e>
            <m:r>
              <w:rPr>
                <w:rFonts w:ascii="Cambria Math" w:hAnsi="Cambria Math"/>
              </w:rPr>
              <m:t>S</m:t>
            </m:r>
          </m:e>
          <m:sub>
            <m:r>
              <w:rPr>
                <w:rFonts w:ascii="Cambria Math" w:hAnsi="Cambria Math"/>
              </w:rPr>
              <m:t>j</m:t>
            </m:r>
          </m:sub>
        </m:sSub>
      </m:oMath>
      <w:r>
        <w:t xml:space="preserve"> </w:t>
      </w:r>
      <w:r>
        <w:t xml:space="preserve">required to stop sampling SNP sets for a condition </w:t>
      </w:r>
      <m:oMath>
        <m:r>
          <w:rPr>
            <w:rFonts w:ascii="Cambria Math" w:hAnsi="Cambria Math"/>
          </w:rPr>
          <m:t>j</m:t>
        </m:r>
      </m:oMath>
      <w:r>
        <w:t>.</w:t>
      </w:r>
    </w:p>
    <w:p w:rsidR="004F35B4" w:rsidRDefault="00985820">
      <w:pPr>
        <w:pStyle w:val="Heading1"/>
      </w:pPr>
      <w:bookmarkStart w:id="19" w:name="installation"/>
      <w:r>
        <w:t>Installation</w:t>
      </w:r>
    </w:p>
    <w:bookmarkEnd w:id="19"/>
    <w:p w:rsidR="004F35B4" w:rsidRDefault="00985820">
      <w:r>
        <w:rPr>
          <w:b/>
        </w:rPr>
        <w:t>On Linux 64-bit, you may use the provided executable</w:t>
      </w:r>
    </w:p>
    <w:p w:rsidR="004F35B4" w:rsidRDefault="00985820">
      <w:r>
        <w:t xml:space="preserve">This runs on kernel 2.6.18 and newer: </w:t>
      </w:r>
      <w:hyperlink r:id="rId11">
        <w:r>
          <w:rPr>
            <w:rStyle w:val="Link"/>
          </w:rPr>
          <w:t>https://github.com/slowkow/snpsea/r</w:t>
        </w:r>
        <w:r>
          <w:rPr>
            <w:rStyle w:val="Link"/>
          </w:rPr>
          <w:t>eleases</w:t>
        </w:r>
      </w:hyperlink>
    </w:p>
    <w:p w:rsidR="004F35B4" w:rsidRDefault="00985820">
      <w:r>
        <w:rPr>
          <w:b/>
        </w:rPr>
        <w:t>Otherwise, you must build the executable from source</w:t>
      </w:r>
    </w:p>
    <w:p w:rsidR="004F35B4" w:rsidRDefault="00985820">
      <w:r>
        <w:t xml:space="preserve">The source code is available: </w:t>
      </w:r>
      <w:hyperlink r:id="rId12">
        <w:r>
          <w:rPr>
            <w:rStyle w:val="Link"/>
          </w:rPr>
          <w:t>https://github.com/slowkow/snpsea</w:t>
        </w:r>
      </w:hyperlink>
    </w:p>
    <w:p w:rsidR="004F35B4" w:rsidRDefault="00985820">
      <w:r>
        <w:rPr>
          <w:b/>
        </w:rPr>
        <w:t>Mac:</w:t>
      </w:r>
      <w:r>
        <w:t xml:space="preserve"> To compile C++ code with the required dependencies, you need XCode and Ma</w:t>
      </w:r>
      <w:r>
        <w:t xml:space="preserve">cPorts: </w:t>
      </w:r>
      <w:hyperlink r:id="rId13" w:anchor="installing.xcode">
        <w:r>
          <w:rPr>
            <w:rStyle w:val="Link"/>
          </w:rPr>
          <w:t>http://guide.macports.org/#installing.xcode</w:t>
        </w:r>
      </w:hyperlink>
    </w:p>
    <w:p w:rsidR="004F35B4" w:rsidRDefault="00985820">
      <w:r>
        <w:t>Install the dependencies:</w:t>
      </w:r>
    </w:p>
    <w:p w:rsidR="004F35B4" w:rsidRDefault="00985820">
      <w:pPr>
        <w:pStyle w:val="SourceCode"/>
      </w:pPr>
      <w:r>
        <w:rPr>
          <w:rStyle w:val="CommentTok"/>
        </w:rPr>
        <w:t># Ubuntu</w:t>
      </w:r>
      <w:r>
        <w:br/>
      </w:r>
      <w:r>
        <w:rPr>
          <w:rStyle w:val="KeywordTok"/>
        </w:rPr>
        <w:t>sudo</w:t>
      </w:r>
      <w:r>
        <w:rPr>
          <w:rStyle w:val="NormalTok"/>
        </w:rPr>
        <w:t xml:space="preserve"> apt-get install build-essential libopenmpi-dev libgsl0-dev</w:t>
      </w:r>
      <w:r>
        <w:br/>
      </w:r>
      <w:r>
        <w:br/>
      </w:r>
      <w:r>
        <w:rPr>
          <w:rStyle w:val="CommentTok"/>
        </w:rPr>
        <w:t># Mac</w:t>
      </w:r>
      <w:r>
        <w:br/>
      </w:r>
      <w:r>
        <w:rPr>
          <w:rStyle w:val="CommentTok"/>
        </w:rPr>
        <w:t>#   First, install port (MacPo</w:t>
      </w:r>
      <w:r>
        <w:rPr>
          <w:rStyle w:val="CommentTok"/>
        </w:rPr>
        <w:t>rts): http://www.macports.org/</w:t>
      </w:r>
      <w:r>
        <w:br/>
      </w:r>
      <w:r>
        <w:rPr>
          <w:rStyle w:val="CommentTok"/>
        </w:rPr>
        <w:t>#   Next, use it to install the dependencies:</w:t>
      </w:r>
      <w:r>
        <w:br/>
      </w:r>
      <w:r>
        <w:rPr>
          <w:rStyle w:val="KeywordTok"/>
        </w:rPr>
        <w:t>sudo</w:t>
      </w:r>
      <w:r>
        <w:rPr>
          <w:rStyle w:val="NormalTok"/>
        </w:rPr>
        <w:t xml:space="preserve"> port selfupdate</w:t>
      </w:r>
      <w:r>
        <w:br/>
      </w:r>
      <w:r>
        <w:rPr>
          <w:rStyle w:val="KeywordTok"/>
        </w:rPr>
        <w:t>sudo</w:t>
      </w:r>
      <w:r>
        <w:rPr>
          <w:rStyle w:val="NormalTok"/>
        </w:rPr>
        <w:t xml:space="preserve"> port install gcc48 openmpi gsl</w:t>
      </w:r>
      <w:r>
        <w:br/>
      </w:r>
      <w:r>
        <w:br/>
      </w:r>
      <w:r>
        <w:rPr>
          <w:rStyle w:val="CommentTok"/>
        </w:rPr>
        <w:t># Broad Institute</w:t>
      </w:r>
      <w:r>
        <w:br/>
      </w:r>
      <w:r>
        <w:rPr>
          <w:rStyle w:val="CommentTok"/>
        </w:rPr>
        <w:t>#   Add this line to ~/.my.bashrc or ~/.my.cshrc</w:t>
      </w:r>
      <w:r>
        <w:br/>
      </w:r>
      <w:r>
        <w:rPr>
          <w:rStyle w:val="KeywordTok"/>
        </w:rPr>
        <w:t>use</w:t>
      </w:r>
      <w:r>
        <w:rPr>
          <w:rStyle w:val="NormalTok"/>
        </w:rPr>
        <w:t xml:space="preserve"> .gcc-4.8.1 .openmpi-1.4 .gsl-1.14</w:t>
      </w:r>
    </w:p>
    <w:p w:rsidR="004F35B4" w:rsidRDefault="00985820">
      <w:r>
        <w:t>Download and com</w:t>
      </w:r>
      <w:r>
        <w:t>pile the code:</w:t>
      </w:r>
    </w:p>
    <w:p w:rsidR="004F35B4" w:rsidRDefault="00985820">
      <w:pPr>
        <w:pStyle w:val="SourceCode"/>
      </w:pPr>
      <w:r>
        <w:rPr>
          <w:rStyle w:val="CommentTok"/>
        </w:rPr>
        <w:t>#   Clone with git, so you can get updates with 'git pull'</w:t>
      </w:r>
      <w:r>
        <w:br/>
      </w:r>
      <w:r>
        <w:rPr>
          <w:rStyle w:val="KeywordTok"/>
        </w:rPr>
        <w:t>git</w:t>
      </w:r>
      <w:r>
        <w:rPr>
          <w:rStyle w:val="NormalTok"/>
        </w:rPr>
        <w:t xml:space="preserve"> clone https://github.com/slowkow/snpsea.git</w:t>
      </w:r>
      <w:r>
        <w:br/>
      </w:r>
      <w:r>
        <w:rPr>
          <w:rStyle w:val="KeywordTok"/>
        </w:rPr>
        <w:t>cd</w:t>
      </w:r>
      <w:r>
        <w:rPr>
          <w:rStyle w:val="NormalTok"/>
        </w:rPr>
        <w:t xml:space="preserve"> snpsea</w:t>
      </w:r>
      <w:r>
        <w:br/>
      </w:r>
      <w:r>
        <w:br/>
      </w:r>
      <w:r>
        <w:rPr>
          <w:rStyle w:val="CommentTok"/>
        </w:rPr>
        <w:t>#   or if you don't have git</w:t>
      </w:r>
      <w:r>
        <w:br/>
      </w:r>
      <w:r>
        <w:rPr>
          <w:rStyle w:val="KeywordTok"/>
        </w:rPr>
        <w:t>curl</w:t>
      </w:r>
      <w:r>
        <w:rPr>
          <w:rStyle w:val="NormalTok"/>
        </w:rPr>
        <w:t xml:space="preserve"> -LOk https://github.com/slowkow/snpsea/archive/master.zip</w:t>
      </w:r>
      <w:r>
        <w:br/>
      </w:r>
      <w:r>
        <w:rPr>
          <w:rStyle w:val="KeywordTok"/>
        </w:rPr>
        <w:t>unzip</w:t>
      </w:r>
      <w:r>
        <w:rPr>
          <w:rStyle w:val="NormalTok"/>
        </w:rPr>
        <w:t xml:space="preserve"> master.zip</w:t>
      </w:r>
      <w:r>
        <w:br/>
      </w:r>
      <w:r>
        <w:rPr>
          <w:rStyle w:val="KeywordTok"/>
        </w:rPr>
        <w:t>cd</w:t>
      </w:r>
      <w:r>
        <w:rPr>
          <w:rStyle w:val="NormalTok"/>
        </w:rPr>
        <w:t xml:space="preserve"> </w:t>
      </w:r>
      <w:r>
        <w:rPr>
          <w:rStyle w:val="NormalTok"/>
        </w:rPr>
        <w:t>snpsea-master</w:t>
      </w:r>
      <w:r>
        <w:br/>
      </w:r>
      <w:r>
        <w:br/>
      </w:r>
      <w:r>
        <w:rPr>
          <w:rStyle w:val="CommentTok"/>
        </w:rPr>
        <w:t>#   Compile.</w:t>
      </w:r>
      <w:r>
        <w:br/>
      </w:r>
      <w:r>
        <w:rPr>
          <w:rStyle w:val="KeywordTok"/>
        </w:rPr>
        <w:t>cd</w:t>
      </w:r>
      <w:r>
        <w:rPr>
          <w:rStyle w:val="NormalTok"/>
        </w:rPr>
        <w:t xml:space="preserve"> src</w:t>
      </w:r>
      <w:r>
        <w:br/>
      </w:r>
      <w:r>
        <w:rPr>
          <w:rStyle w:val="KeywordTok"/>
        </w:rPr>
        <w:t>make</w:t>
      </w:r>
      <w:r>
        <w:br/>
      </w:r>
      <w:r>
        <w:br/>
      </w:r>
      <w:r>
        <w:rPr>
          <w:rStyle w:val="CommentTok"/>
        </w:rPr>
        <w:t>#   Copy the executables wherever you like</w:t>
      </w:r>
      <w:r>
        <w:br/>
      </w:r>
      <w:r>
        <w:rPr>
          <w:rStyle w:val="KeywordTok"/>
        </w:rPr>
        <w:t>cp</w:t>
      </w:r>
      <w:r>
        <w:rPr>
          <w:rStyle w:val="NormalTok"/>
        </w:rPr>
        <w:t xml:space="preserve"> ../bin/snpsea* ~/bin/</w:t>
      </w:r>
    </w:p>
    <w:p w:rsidR="004F35B4" w:rsidRDefault="00985820">
      <w:pPr>
        <w:pStyle w:val="Heading2"/>
      </w:pPr>
      <w:bookmarkStart w:id="20" w:name="data"/>
      <w:r>
        <w:t>Data</w:t>
      </w:r>
    </w:p>
    <w:bookmarkEnd w:id="20"/>
    <w:p w:rsidR="004F35B4" w:rsidRDefault="00985820">
      <w:pPr>
        <w:pStyle w:val="SourceCode"/>
      </w:pPr>
      <w:r>
        <w:rPr>
          <w:rStyle w:val="KeywordTok"/>
        </w:rPr>
        <w:t>cd</w:t>
      </w:r>
      <w:r>
        <w:rPr>
          <w:rStyle w:val="NormalTok"/>
        </w:rPr>
        <w:t xml:space="preserve"> snpsea</w:t>
      </w:r>
      <w:r>
        <w:br/>
      </w:r>
      <w:r>
        <w:rPr>
          <w:rStyle w:val="KeywordTok"/>
        </w:rPr>
        <w:t>curl</w:t>
      </w:r>
      <w:r>
        <w:rPr>
          <w:rStyle w:val="NormalTok"/>
        </w:rPr>
        <w:t xml:space="preserve"> -LOk http://files.figshare.com/1382662/SNPsea_data_20140212.zip</w:t>
      </w:r>
      <w:r>
        <w:br/>
      </w:r>
      <w:r>
        <w:rPr>
          <w:rStyle w:val="KeywordTok"/>
        </w:rPr>
        <w:t>unzip</w:t>
      </w:r>
      <w:r>
        <w:rPr>
          <w:rStyle w:val="NormalTok"/>
        </w:rPr>
        <w:t xml:space="preserve"> SNPsea_data_20140212.zip</w:t>
      </w:r>
    </w:p>
    <w:p w:rsidR="004F35B4" w:rsidRDefault="00985820">
      <w:r>
        <w:t xml:space="preserve">Download the compressed archive </w:t>
      </w:r>
      <w:r>
        <w:t>with data required to perform this analysis (138M). The direct link to the zip shown above may be out of date and fail to load. If so, please visit the link below instead:</w:t>
      </w:r>
    </w:p>
    <w:p w:rsidR="004F35B4" w:rsidRDefault="00985820">
      <w:hyperlink r:id="rId14">
        <w:r>
          <w:rPr>
            <w:rStyle w:val="Link"/>
          </w:rPr>
          <w:t>http://dx.doi.org/10</w:t>
        </w:r>
        <w:r>
          <w:rPr>
            <w:rStyle w:val="Link"/>
          </w:rPr>
          <w:t>.6084/m9.figshare.871430</w:t>
        </w:r>
      </w:hyperlink>
    </w:p>
    <w:p w:rsidR="004F35B4" w:rsidRDefault="00985820">
      <w:r>
        <w:t>Contents of the compressed archive with data:</w:t>
      </w:r>
    </w:p>
    <w:p w:rsidR="004F35B4" w:rsidRDefault="00985820">
      <w:pPr>
        <w:pStyle w:val="SourceCode"/>
      </w:pPr>
      <w:r>
        <w:rPr>
          <w:rStyle w:val="VerbatimChar"/>
        </w:rPr>
        <w:t>Celiac_disease-Trynka2011-35_SNPs.gwas</w:t>
      </w:r>
      <w:r>
        <w:br/>
      </w:r>
      <w:r>
        <w:rPr>
          <w:rStyle w:val="VerbatimChar"/>
        </w:rPr>
        <w:t>HDL_cholesterol-Teslovich2010-46_SNPs.gwas</w:t>
      </w:r>
      <w:r>
        <w:br/>
      </w:r>
      <w:r>
        <w:rPr>
          <w:rStyle w:val="VerbatimChar"/>
        </w:rPr>
        <w:t>Multiple_sclerosis-IMSGC-51_SNPs.gwas</w:t>
      </w:r>
      <w:r>
        <w:br/>
      </w:r>
      <w:r>
        <w:rPr>
          <w:rStyle w:val="VerbatimChar"/>
        </w:rPr>
        <w:t>Red_blood_cell_count-Harst2012-45_SNPs.gwas</w:t>
      </w:r>
      <w:r>
        <w:br/>
      </w:r>
      <w:r>
        <w:br/>
      </w:r>
      <w:r>
        <w:br/>
      </w:r>
      <w:r>
        <w:rPr>
          <w:rStyle w:val="VerbatimChar"/>
        </w:rPr>
        <w:t>GeneAtlas2004.gct.g</w:t>
      </w:r>
      <w:r>
        <w:rPr>
          <w:rStyle w:val="VerbatimChar"/>
        </w:rPr>
        <w:t>z  # Gene Atlas 2004 gene expression matrix</w:t>
      </w:r>
      <w:r>
        <w:br/>
      </w:r>
      <w:r>
        <w:rPr>
          <w:rStyle w:val="VerbatimChar"/>
        </w:rPr>
        <w:t>GO2013.gct.gz         # Gene Ontology 2013 gene annotation matrix</w:t>
      </w:r>
      <w:r>
        <w:br/>
      </w:r>
      <w:r>
        <w:rPr>
          <w:rStyle w:val="VerbatimChar"/>
        </w:rPr>
        <w:t>ImmGen2012.gct.gz     # ImmGen 2012 gene expression matrix</w:t>
      </w:r>
      <w:r>
        <w:br/>
      </w:r>
      <w:r>
        <w:br/>
      </w:r>
      <w:r>
        <w:br/>
      </w:r>
      <w:r>
        <w:rPr>
          <w:rStyle w:val="VerbatimChar"/>
        </w:rPr>
        <w:t>NCBIgenes2013.bed.gz  # NCBI gene intervals</w:t>
      </w:r>
      <w:r>
        <w:br/>
      </w:r>
      <w:r>
        <w:rPr>
          <w:rStyle w:val="VerbatimChar"/>
        </w:rPr>
        <w:t>Lango2010.txt.gz      # LD-pruned SNPs</w:t>
      </w:r>
      <w:r>
        <w:br/>
      </w:r>
      <w:r>
        <w:rPr>
          <w:rStyle w:val="VerbatimChar"/>
        </w:rPr>
        <w:t>TG</w:t>
      </w:r>
      <w:r>
        <w:rPr>
          <w:rStyle w:val="VerbatimChar"/>
        </w:rPr>
        <w:t>P2011.bed.gz        # 1000 Genomes Project SNP linkage intervals</w:t>
      </w:r>
    </w:p>
    <w:p w:rsidR="004F35B4" w:rsidRDefault="00985820">
      <w:pPr>
        <w:pStyle w:val="Heading3"/>
      </w:pPr>
      <w:bookmarkStart w:id="21" w:name="celiac_disease-trynka2011-35_snps.gwas"/>
      <w:r>
        <w:t>Celiac_disease-Trynka2011-35_SNPs.gwas</w:t>
      </w:r>
    </w:p>
    <w:bookmarkEnd w:id="21"/>
    <w:p w:rsidR="004F35B4" w:rsidRDefault="00985820">
      <w:r>
        <w:t xml:space="preserve">35 SNPs associated with Celiac disease taken from Table 2. Positions are on hg19. All SNPs have </w:t>
      </w:r>
      <m:oMath>
        <m:r>
          <w:rPr>
            <w:rFonts w:ascii="Cambria Math" w:hAnsi="Cambria Math"/>
          </w:rPr>
          <m:t>P</m:t>
        </m:r>
        <m:r>
          <w:rPr>
            <w:rFonts w:ascii="Cambria Math" w:hAnsi="Cambria Math"/>
          </w:rPr>
          <m:t>≤5</m:t>
        </m:r>
        <m:r>
          <w:rPr>
            <w:rFonts w:ascii="Cambria Math" w:hAnsi="Cambria Math"/>
          </w:rPr>
          <m:t>e</m:t>
        </m:r>
        <m:r>
          <w:rPr>
            <w:rFonts w:ascii="Cambria Math" w:hAnsi="Cambria Math"/>
          </w:rPr>
          <m:t>-</m:t>
        </m:r>
        <m:r>
          <w:rPr>
            <w:rFonts w:ascii="Cambria Math" w:hAnsi="Cambria Math"/>
          </w:rPr>
          <m:t>8</m:t>
        </m:r>
      </m:oMath>
      <w:r>
        <w:t>.</w:t>
      </w:r>
    </w:p>
    <w:p w:rsidR="004F35B4" w:rsidRDefault="00985820">
      <w:r>
        <w:t>Trynka G, Hunt KA, Bockett NA, et al. Dense ge</w:t>
      </w:r>
      <w:r>
        <w:t>notyping identifies and localizes multiple common and rare variant association signals in celiac disease. Nat Genet. 2011;43(12):1193-201.</w:t>
      </w:r>
    </w:p>
    <w:p w:rsidR="004F35B4" w:rsidRDefault="00985820">
      <w:hyperlink r:id="rId15">
        <w:r>
          <w:rPr>
            <w:rStyle w:val="Link"/>
          </w:rPr>
          <w:t>http://www.ncbi.nlm.nih.gov/pubmed/22057235</w:t>
        </w:r>
      </w:hyperlink>
    </w:p>
    <w:p w:rsidR="004F35B4" w:rsidRDefault="00985820">
      <w:pPr>
        <w:pStyle w:val="Heading3"/>
      </w:pPr>
      <w:bookmarkStart w:id="22" w:name="hdl_cholesterol-tesolvich2010-46_snps.gw"/>
      <w:r>
        <w:t>HDL_choles</w:t>
      </w:r>
      <w:r>
        <w:t>terol-Tesolvich2010-46_SNPs.gwas</w:t>
      </w:r>
    </w:p>
    <w:bookmarkEnd w:id="22"/>
    <w:p w:rsidR="004F35B4" w:rsidRDefault="00985820">
      <w:r>
        <w:t xml:space="preserve">46 SNPs associated with HDL taken from Supplementary Table 2. Positions are on hg19. All SNPs have </w:t>
      </w:r>
      <m:oMath>
        <m:r>
          <w:rPr>
            <w:rFonts w:ascii="Cambria Math" w:hAnsi="Cambria Math"/>
          </w:rPr>
          <m:t>P</m:t>
        </m:r>
        <m:r>
          <w:rPr>
            <w:rFonts w:ascii="Cambria Math" w:hAnsi="Cambria Math"/>
          </w:rPr>
          <m:t>≤5</m:t>
        </m:r>
        <m:r>
          <w:rPr>
            <w:rFonts w:ascii="Cambria Math" w:hAnsi="Cambria Math"/>
          </w:rPr>
          <m:t>e</m:t>
        </m:r>
        <m:r>
          <w:rPr>
            <w:rFonts w:ascii="Cambria Math" w:hAnsi="Cambria Math"/>
          </w:rPr>
          <m:t>-</m:t>
        </m:r>
        <m:r>
          <w:rPr>
            <w:rFonts w:ascii="Cambria Math" w:hAnsi="Cambria Math"/>
          </w:rPr>
          <m:t>8</m:t>
        </m:r>
      </m:oMath>
      <w:r>
        <w:t>.</w:t>
      </w:r>
    </w:p>
    <w:p w:rsidR="004F35B4" w:rsidRDefault="00985820">
      <w:r>
        <w:t>Teslovich TM, Musunuru K, Smith AV, et al. Biological, clinical and population relevance of 95 loci for blood lipi</w:t>
      </w:r>
      <w:r>
        <w:t>ds. Nature. 2010;466(7307):707-13.</w:t>
      </w:r>
    </w:p>
    <w:p w:rsidR="004F35B4" w:rsidRDefault="00985820">
      <w:hyperlink r:id="rId16">
        <w:r>
          <w:rPr>
            <w:rStyle w:val="Link"/>
          </w:rPr>
          <w:t>http://www.ncbi.nlm.nih.gov/pubmed/20686565</w:t>
        </w:r>
      </w:hyperlink>
    </w:p>
    <w:p w:rsidR="004F35B4" w:rsidRDefault="00985820">
      <w:pPr>
        <w:pStyle w:val="Heading3"/>
      </w:pPr>
      <w:bookmarkStart w:id="23" w:name="multiple_sclerosis-imsgc-51_snps.gwas"/>
      <w:r>
        <w:t>Multiple_sclerosis-IMSGC-51_SNPs.gwas</w:t>
      </w:r>
    </w:p>
    <w:bookmarkEnd w:id="23"/>
    <w:p w:rsidR="004F35B4" w:rsidRDefault="00985820">
      <w:r>
        <w:t xml:space="preserve">51 SNPs associated with Multiple Sclerosis taken from Supplementary Table A. Positions are on hg19. All SNPs have </w:t>
      </w:r>
      <m:oMath>
        <m:r>
          <w:rPr>
            <w:rFonts w:ascii="Cambria Math" w:hAnsi="Cambria Math"/>
          </w:rPr>
          <m:t>P</m:t>
        </m:r>
        <m:r>
          <w:rPr>
            <w:rFonts w:ascii="Cambria Math" w:hAnsi="Cambria Math"/>
          </w:rPr>
          <m:t>≤5</m:t>
        </m:r>
        <m:r>
          <w:rPr>
            <w:rFonts w:ascii="Cambria Math" w:hAnsi="Cambria Math"/>
          </w:rPr>
          <m:t>e</m:t>
        </m:r>
        <m:r>
          <w:rPr>
            <w:rFonts w:ascii="Cambria Math" w:hAnsi="Cambria Math"/>
          </w:rPr>
          <m:t>-</m:t>
        </m:r>
        <m:r>
          <w:rPr>
            <w:rFonts w:ascii="Cambria Math" w:hAnsi="Cambria Math"/>
          </w:rPr>
          <m:t>8</m:t>
        </m:r>
      </m:oMath>
      <w:r>
        <w:t>.</w:t>
      </w:r>
    </w:p>
    <w:p w:rsidR="004F35B4" w:rsidRDefault="00985820">
      <w:r>
        <w:t>Sawcer S, Hellenthal G, Pirinen M, et al. Genetic risk and a primary role for cell-mediated immune mechanisms in multiple sclerosis.</w:t>
      </w:r>
      <w:r>
        <w:t xml:space="preserve"> Nature. 2011;476(7359):214-9.</w:t>
      </w:r>
    </w:p>
    <w:p w:rsidR="004F35B4" w:rsidRDefault="00985820">
      <w:hyperlink r:id="rId17">
        <w:r>
          <w:rPr>
            <w:rStyle w:val="Link"/>
          </w:rPr>
          <w:t>http://www.ncbi.nlm.nih.gov/pubmed/21833088</w:t>
        </w:r>
      </w:hyperlink>
    </w:p>
    <w:p w:rsidR="004F35B4" w:rsidRDefault="00985820">
      <w:pPr>
        <w:pStyle w:val="Heading3"/>
      </w:pPr>
      <w:bookmarkStart w:id="24" w:name="red_blood_cell_count-harst2012-45_snps.g"/>
      <w:r>
        <w:t>Red_blood_cell_count-Harst2012-45_SNPs.gwas</w:t>
      </w:r>
    </w:p>
    <w:bookmarkEnd w:id="24"/>
    <w:p w:rsidR="004F35B4" w:rsidRDefault="00985820">
      <w:r>
        <w:t xml:space="preserve">45 SNPs associated with red blood cell count (RBC) taken from Table 1. Positions are on hg19. All SNPs have </w:t>
      </w:r>
      <m:oMath>
        <m:r>
          <w:rPr>
            <w:rFonts w:ascii="Cambria Math" w:hAnsi="Cambria Math"/>
          </w:rPr>
          <m:t>P</m:t>
        </m:r>
        <m:r>
          <w:rPr>
            <w:rFonts w:ascii="Cambria Math" w:hAnsi="Cambria Math"/>
          </w:rPr>
          <m:t>≤5</m:t>
        </m:r>
        <m:r>
          <w:rPr>
            <w:rFonts w:ascii="Cambria Math" w:hAnsi="Cambria Math"/>
          </w:rPr>
          <m:t>e</m:t>
        </m:r>
        <m:r>
          <w:rPr>
            <w:rFonts w:ascii="Cambria Math" w:hAnsi="Cambria Math"/>
          </w:rPr>
          <m:t>-</m:t>
        </m:r>
        <m:r>
          <w:rPr>
            <w:rFonts w:ascii="Cambria Math" w:hAnsi="Cambria Math"/>
          </w:rPr>
          <m:t>8</m:t>
        </m:r>
      </m:oMath>
      <w:r>
        <w:t>.</w:t>
      </w:r>
    </w:p>
    <w:p w:rsidR="004F35B4" w:rsidRDefault="00985820">
      <w:r>
        <w:t>Van der harst P, Zhang W, Mateo leach I, et al. Seventy-five genetic loci influencing the human red blood cell. Nature. 2012;492(7429):369</w:t>
      </w:r>
      <w:r>
        <w:t>-75.</w:t>
      </w:r>
    </w:p>
    <w:p w:rsidR="004F35B4" w:rsidRDefault="00985820">
      <w:hyperlink r:id="rId18">
        <w:r>
          <w:rPr>
            <w:rStyle w:val="Link"/>
          </w:rPr>
          <w:t>http://www.ncbi.nlm.nih.gov/pubmed/23222517</w:t>
        </w:r>
      </w:hyperlink>
    </w:p>
    <w:p w:rsidR="004F35B4" w:rsidRDefault="00985820">
      <w:pPr>
        <w:pStyle w:val="Heading3"/>
      </w:pPr>
      <w:bookmarkStart w:id="25" w:name="geneatlas2004.gct.gz"/>
      <w:r>
        <w:t>GeneAtlas2004.gct.gz</w:t>
      </w:r>
    </w:p>
    <w:bookmarkEnd w:id="25"/>
    <w:p w:rsidR="004F35B4" w:rsidRDefault="00985820">
      <w:r>
        <w:t>Gene expression data for 79 human tissues from GSE1133. We averaged the expression values for tissue replicates. For each g</w:t>
      </w:r>
      <w:r>
        <w:t xml:space="preserve">ene, we selected the single probe with the largest minimum value. Finally, we converted the file to </w:t>
      </w:r>
      <w:hyperlink r:id="rId19">
        <w:r>
          <w:rPr>
            <w:rStyle w:val="Link"/>
          </w:rPr>
          <w:t>GCT format</w:t>
        </w:r>
      </w:hyperlink>
      <w:r>
        <w:t>.</w:t>
      </w:r>
    </w:p>
    <w:p w:rsidR="004F35B4" w:rsidRDefault="00985820">
      <w:r>
        <w:t>Su AI et al. A gene atlas of th</w:t>
      </w:r>
      <w:r>
        <w:t>e mouse and human protein-encoding transcriptomes. Proc Natl Acad Sci U S A, 2004 Apr 9;101(16):6062-7</w:t>
      </w:r>
    </w:p>
    <w:p w:rsidR="004F35B4" w:rsidRDefault="00985820">
      <w:hyperlink r:id="rId20">
        <w:r>
          <w:rPr>
            <w:rStyle w:val="Link"/>
          </w:rPr>
          <w:t>http://www.ncbi.nlm.nih.gov/geo/query/acc.cgi?acc=GSE1133</w:t>
        </w:r>
      </w:hyperlink>
    </w:p>
    <w:p w:rsidR="004F35B4" w:rsidRDefault="00985820">
      <w:pPr>
        <w:pStyle w:val="Heading3"/>
      </w:pPr>
      <w:bookmarkStart w:id="26" w:name="go2013.gct.gz"/>
      <w:r>
        <w:t>GO2013.gct.gz</w:t>
      </w:r>
    </w:p>
    <w:bookmarkEnd w:id="26"/>
    <w:p w:rsidR="004F35B4" w:rsidRDefault="00985820">
      <w:r>
        <w:t>A GC</w:t>
      </w:r>
      <w:r>
        <w:t>T formatted gene matrix with 1s and 0s indicating presence or absence of genes in Gene Ontology annotations.</w:t>
      </w:r>
    </w:p>
    <w:p w:rsidR="004F35B4" w:rsidRDefault="00985820">
      <w:r>
        <w:t>We downloaded the OBO file from Gene Ontology (data-version: 2013-06-29, CVS revision: 9700):</w:t>
      </w:r>
    </w:p>
    <w:p w:rsidR="004F35B4" w:rsidRDefault="00985820">
      <w:hyperlink r:id="rId21">
        <w:r>
          <w:rPr>
            <w:rStyle w:val="Link"/>
          </w:rPr>
          <w:t>http:/</w:t>
        </w:r>
        <w:r>
          <w:rPr>
            <w:rStyle w:val="Link"/>
          </w:rPr>
          <w:t>/www.geneontology.org</w:t>
        </w:r>
      </w:hyperlink>
    </w:p>
    <w:p w:rsidR="004F35B4" w:rsidRDefault="00985820">
      <w:r>
        <w:t xml:space="preserve">For each gene, we climbed the hierarchy of ontology terms and applied parental terms. If a gene is annotated with some term </w:t>
      </w:r>
      <m:oMath>
        <m:r>
          <w:rPr>
            <w:rFonts w:ascii="Cambria Math" w:hAnsi="Cambria Math"/>
          </w:rPr>
          <m:t>T</m:t>
        </m:r>
      </m:oMath>
      <w:r>
        <w:t xml:space="preserve">, we also add all of the terms that are parents of </w:t>
      </w:r>
      <m:oMath>
        <m:r>
          <w:rPr>
            <w:rFonts w:ascii="Cambria Math" w:hAnsi="Cambria Math"/>
          </w:rPr>
          <m:t>T</m:t>
        </m:r>
      </m:oMath>
      <w:r>
        <w:t>. We copy terms between homologous genes using Homologe</w:t>
      </w:r>
      <w:r>
        <w:t>ne data (</w:t>
      </w:r>
      <w:hyperlink r:id="rId22">
        <w:r>
          <w:rPr>
            <w:rStyle w:val="Link"/>
          </w:rPr>
          <w:t>http://www.ncbi.nlm.nih.gov/homologene</w:t>
        </w:r>
      </w:hyperlink>
      <w:r>
        <w:t xml:space="preserve">). If a mouse gene is annotated with some term and the human homolog is not, then we copy the term to the human gene. We discard all GO terms assigned </w:t>
      </w:r>
      <w:r>
        <w:t>to fewer than 100 or to more than 1000 genes. This leaves us with a matrix of 19,111 genes and 1,751 terms.</w:t>
      </w:r>
    </w:p>
    <w:p w:rsidR="004F35B4" w:rsidRDefault="00985820">
      <w:pPr>
        <w:pStyle w:val="Heading3"/>
      </w:pPr>
      <w:bookmarkStart w:id="27" w:name="immgen2012.gct.gz"/>
      <w:r>
        <w:t>ImmGen2012.gct.gz</w:t>
      </w:r>
    </w:p>
    <w:bookmarkEnd w:id="27"/>
    <w:p w:rsidR="004F35B4" w:rsidRDefault="00985820">
      <w:r>
        <w:t>Gene expression data for 249 blood cell types from GSE15907. Replicates for each cell type profile were averaged. For each gene, t</w:t>
      </w:r>
      <w:r>
        <w:t>he single probe with the largest minimum was selected.</w:t>
      </w:r>
    </w:p>
    <w:p w:rsidR="004F35B4" w:rsidRDefault="00985820">
      <w:r>
        <w:t>Immunological Genome Project</w:t>
      </w:r>
    </w:p>
    <w:p w:rsidR="004F35B4" w:rsidRDefault="00985820">
      <w:hyperlink r:id="rId23">
        <w:r>
          <w:rPr>
            <w:rStyle w:val="Link"/>
          </w:rPr>
          <w:t>http://www.ncbi.nlm.nih.gov/geo/query/acc.cgi?acc=GSE15907</w:t>
        </w:r>
      </w:hyperlink>
    </w:p>
    <w:p w:rsidR="004F35B4" w:rsidRDefault="00985820">
      <w:pPr>
        <w:pStyle w:val="Heading3"/>
      </w:pPr>
      <w:bookmarkStart w:id="28" w:name="ncbigenes2013.bed.gz"/>
      <w:r>
        <w:t>NCBIgenes2013.bed.gz</w:t>
      </w:r>
    </w:p>
    <w:bookmarkEnd w:id="28"/>
    <w:p w:rsidR="004F35B4" w:rsidRDefault="00985820">
      <w:r>
        <w:t>All human star</w:t>
      </w:r>
      <w:r>
        <w:t>t and stop positions taken from:</w:t>
      </w:r>
    </w:p>
    <w:p w:rsidR="004F35B4" w:rsidRDefault="00985820">
      <w:hyperlink r:id="rId24">
        <w:r>
          <w:rPr>
            <w:rStyle w:val="Link"/>
          </w:rPr>
          <w:t>ftp://ftp.ncbi.nlm.nih.gov/gene/DATA/gene2refseq.gz</w:t>
        </w:r>
      </w:hyperlink>
    </w:p>
    <w:p w:rsidR="004F35B4" w:rsidRDefault="00985820">
      <w:pPr>
        <w:pStyle w:val="Heading3"/>
      </w:pPr>
      <w:bookmarkStart w:id="29" w:name="lango2010.txt.gz"/>
      <w:r>
        <w:t>Lango2010.txt.gz</w:t>
      </w:r>
    </w:p>
    <w:bookmarkEnd w:id="29"/>
    <w:p w:rsidR="004F35B4" w:rsidRDefault="00985820">
      <w:r>
        <w:t>A list of SNPs that span the whole genome, pruned by linkage disequilibrium (LD). S</w:t>
      </w:r>
      <w:r>
        <w:t>NPsea samples null SNP sets matched on the number of genes in the user's SNP set from this list. See this paper for more information:</w:t>
      </w:r>
    </w:p>
    <w:p w:rsidR="004F35B4" w:rsidRDefault="00985820">
      <w:r>
        <w:t>Lango allen H, Estrada K, Lettre G, et al. Hundreds of variants clustered in genomic loci and biological pathways affect human height. Nature. 2010;467(7317):832-8.</w:t>
      </w:r>
    </w:p>
    <w:p w:rsidR="004F35B4" w:rsidRDefault="00985820">
      <w:hyperlink r:id="rId25">
        <w:r>
          <w:rPr>
            <w:rStyle w:val="Link"/>
          </w:rPr>
          <w:t>http://www.ncbi.nlm.nih.gov/</w:t>
        </w:r>
        <w:r>
          <w:rPr>
            <w:rStyle w:val="Link"/>
          </w:rPr>
          <w:t>pubmed/20881960</w:t>
        </w:r>
      </w:hyperlink>
    </w:p>
    <w:p w:rsidR="004F35B4" w:rsidRDefault="00985820">
      <w:pPr>
        <w:pStyle w:val="Heading3"/>
      </w:pPr>
      <w:bookmarkStart w:id="30" w:name="tgp2011.bed.gz"/>
      <w:r>
        <w:t>TGP2011.bed.gz</w:t>
      </w:r>
    </w:p>
    <w:bookmarkEnd w:id="30"/>
    <w:p w:rsidR="004F35B4" w:rsidRDefault="00985820">
      <w:r>
        <w:t>Linkage intervals for a filtered set of SNPs from the 1000 Genomes Project Phase 1 (May 21, 2011). We downloaded a filtered (diallelic and 5 or more copies of the minor allele) set of markers from the BEAGLE website and calcu</w:t>
      </w:r>
      <w:r>
        <w:t>lated pairwise LD (EUR) for all SNPs in a 1 Mb sliding window. The linkage intervals were extended to the nearest HapMap recombination hotspot with &gt;3 cM/Mb recombination rate.</w:t>
      </w:r>
    </w:p>
    <w:p w:rsidR="004F35B4" w:rsidRDefault="00985820">
      <w:hyperlink r:id="rId26">
        <w:r>
          <w:rPr>
            <w:rStyle w:val="Link"/>
          </w:rPr>
          <w:t>http://www.1000genomes.org/</w:t>
        </w:r>
      </w:hyperlink>
      <w:r>
        <w:t xml:space="preserve"> </w:t>
      </w:r>
      <w:hyperlink r:id="rId27">
        <w:r>
          <w:rPr>
            <w:rStyle w:val="Link"/>
          </w:rPr>
          <w:t>http://bochet.gcc.biostat.washington.edu/beagle/1000_Genomes.phase1_release_v3/</w:t>
        </w:r>
      </w:hyperlink>
      <w:r>
        <w:t xml:space="preserve"> </w:t>
      </w:r>
      <w:hyperlink r:id="rId28">
        <w:r>
          <w:rPr>
            <w:rStyle w:val="Link"/>
          </w:rPr>
          <w:t>http://hapmap.ncbi.n</w:t>
        </w:r>
        <w:r>
          <w:rPr>
            <w:rStyle w:val="Link"/>
          </w:rPr>
          <w:t>lm.nih.gov/downloads/</w:t>
        </w:r>
      </w:hyperlink>
    </w:p>
    <w:p w:rsidR="004F35B4" w:rsidRDefault="00985820">
      <w:pPr>
        <w:pStyle w:val="Heading2"/>
      </w:pPr>
      <w:bookmarkStart w:id="31" w:name="c-libraries"/>
      <w:r>
        <w:t>C++ Libraries</w:t>
      </w:r>
    </w:p>
    <w:bookmarkEnd w:id="31"/>
    <w:p w:rsidR="004F35B4" w:rsidRDefault="00985820">
      <w:r>
        <w:t xml:space="preserve">To compile SNPsea, you will need a modern C++ compiler that supports </w:t>
      </w:r>
      <w:hyperlink r:id="rId29">
        <w:r>
          <w:rPr>
            <w:rStyle w:val="Link"/>
          </w:rPr>
          <w:t>c++0x</w:t>
        </w:r>
      </w:hyperlink>
      <w:r>
        <w:t xml:space="preserve"> and the dependencies listed below.</w:t>
      </w:r>
    </w:p>
    <w:p w:rsidR="004F35B4" w:rsidRDefault="00985820">
      <w:r>
        <w:t xml:space="preserve">See: </w:t>
      </w:r>
      <w:hyperlink w:anchor="installation">
        <w:r>
          <w:rPr>
            <w:rStyle w:val="Link"/>
          </w:rPr>
          <w:t>Installation</w:t>
        </w:r>
      </w:hyperlink>
    </w:p>
    <w:p w:rsidR="004F35B4" w:rsidRDefault="00985820">
      <w:hyperlink r:id="rId30">
        <w:r>
          <w:rPr>
            <w:rStyle w:val="Link"/>
          </w:rPr>
          <w:t>intervaltree</w:t>
        </w:r>
      </w:hyperlink>
    </w:p>
    <w:p w:rsidR="004F35B4" w:rsidRDefault="00985820">
      <w:pPr>
        <w:pStyle w:val="BlockQuote"/>
      </w:pPr>
      <w:r>
        <w:t>a minimal C++ interval tree implementation</w:t>
      </w:r>
    </w:p>
    <w:p w:rsidR="004F35B4" w:rsidRDefault="00985820">
      <w:hyperlink r:id="rId31">
        <w:r>
          <w:rPr>
            <w:rStyle w:val="Link"/>
          </w:rPr>
          <w:t>Eigen</w:t>
        </w:r>
      </w:hyperlink>
    </w:p>
    <w:p w:rsidR="004F35B4" w:rsidRDefault="00985820">
      <w:pPr>
        <w:pStyle w:val="BlockQuote"/>
      </w:pPr>
      <w:r>
        <w:t>Eigen is a C++ template library for linear algebra: matrices, vectors, numerical solvers</w:t>
      </w:r>
      <w:r>
        <w:t>, and related algorithms.</w:t>
      </w:r>
    </w:p>
    <w:p w:rsidR="004F35B4" w:rsidRDefault="00985820">
      <w:hyperlink r:id="rId32">
        <w:r>
          <w:rPr>
            <w:rStyle w:val="Link"/>
          </w:rPr>
          <w:t>OpenMPI</w:t>
        </w:r>
      </w:hyperlink>
    </w:p>
    <w:p w:rsidR="004F35B4" w:rsidRDefault="00985820">
      <w:pPr>
        <w:pStyle w:val="BlockQuote"/>
      </w:pPr>
      <w:r>
        <w:t>MPI is a standardized API typically used for parallel and/or distributed computing. Open MPI is an open source, freely available implementation.</w:t>
      </w:r>
    </w:p>
    <w:p w:rsidR="004F35B4" w:rsidRDefault="00985820">
      <w:hyperlink r:id="rId33">
        <w:r>
          <w:rPr>
            <w:rStyle w:val="Link"/>
          </w:rPr>
          <w:t>GSL - GNU Scientific Library</w:t>
        </w:r>
      </w:hyperlink>
    </w:p>
    <w:p w:rsidR="004F35B4" w:rsidRDefault="00985820">
      <w:pPr>
        <w:pStyle w:val="BlockQuote"/>
      </w:pPr>
      <w:r>
        <w:t>The GNU Scientific Library (GSL) is a numerical library for C and C++ programmers.</w:t>
      </w:r>
    </w:p>
    <w:p w:rsidR="004F35B4" w:rsidRDefault="00985820">
      <w:hyperlink r:id="rId34">
        <w:r>
          <w:rPr>
            <w:rStyle w:val="Link"/>
          </w:rPr>
          <w:t>GCC, the GNU Compiler</w:t>
        </w:r>
      </w:hyperlink>
    </w:p>
    <w:p w:rsidR="004F35B4" w:rsidRDefault="00985820">
      <w:pPr>
        <w:pStyle w:val="BlockQuote"/>
      </w:pPr>
      <w:r>
        <w:t>The GNU Compiler Collection is a compiler system produced by the GN</w:t>
      </w:r>
      <w:r>
        <w:t>U Project supporting various programming languages.</w:t>
      </w:r>
    </w:p>
    <w:p w:rsidR="004F35B4" w:rsidRDefault="00985820">
      <w:r>
        <w:t xml:space="preserve">I use </w:t>
      </w:r>
      <w:hyperlink r:id="rId35">
        <w:r>
          <w:rPr>
            <w:rStyle w:val="Link"/>
          </w:rPr>
          <w:t>c++0x</w:t>
        </w:r>
      </w:hyperlink>
      <w:r>
        <w:t xml:space="preserve"> features in my C++ code, so you must use a compiler that supports them. I compiled successfully with versions 4.6.3 (the default versi</w:t>
      </w:r>
      <w:r>
        <w:t>on for Ubuntu 12.04) and 4.8.1.</w:t>
      </w:r>
    </w:p>
    <w:p w:rsidR="004F35B4" w:rsidRDefault="00985820">
      <w:pPr>
        <w:pStyle w:val="Heading2"/>
      </w:pPr>
      <w:bookmarkStart w:id="32" w:name="python-packages"/>
      <w:r>
        <w:t>Python Packages</w:t>
      </w:r>
    </w:p>
    <w:bookmarkEnd w:id="32"/>
    <w:p w:rsidR="004F35B4" w:rsidRDefault="00985820">
      <w:r>
        <w:t>To plot visualizations of the results, you will need Python 2.7 and the packages listed below.</w:t>
      </w:r>
    </w:p>
    <w:p w:rsidR="004F35B4" w:rsidRDefault="00985820">
      <w:r>
        <w:rPr>
          <w:b/>
        </w:rPr>
        <w:t>Instructions:</w:t>
      </w:r>
      <w:r>
        <w:t xml:space="preserve"> Install with </w:t>
      </w:r>
      <w:hyperlink r:id="rId36">
        <w:r>
          <w:rPr>
            <w:rStyle w:val="Link"/>
          </w:rPr>
          <w:t>pip</w:t>
        </w:r>
      </w:hyperlink>
      <w:r>
        <w:t>:</w:t>
      </w:r>
    </w:p>
    <w:p w:rsidR="004F35B4" w:rsidRDefault="00985820">
      <w:pPr>
        <w:pStyle w:val="SourceCode"/>
      </w:pPr>
      <w:r>
        <w:rPr>
          <w:rStyle w:val="VerbatimChar"/>
        </w:rPr>
        <w:t>pip install docopt numpy pandas matplotlib</w:t>
      </w:r>
    </w:p>
    <w:p w:rsidR="004F35B4" w:rsidRDefault="00985820">
      <w:r>
        <w:rPr>
          <w:b/>
        </w:rPr>
        <w:t>Note:</w:t>
      </w:r>
      <w:r>
        <w:t xml:space="preserve"> The packages available on the Ubuntu repositories may be outdated and might fail to work. So, avoid using </w:t>
      </w:r>
      <w:r>
        <w:rPr>
          <w:rStyle w:val="VerbatimChar"/>
        </w:rPr>
        <w:t>apt-get</w:t>
      </w:r>
      <w:r>
        <w:t xml:space="preserve"> for these dependencies.</w:t>
      </w:r>
    </w:p>
    <w:p w:rsidR="004F35B4" w:rsidRDefault="00985820">
      <w:hyperlink r:id="rId37">
        <w:r>
          <w:rPr>
            <w:rStyle w:val="Link"/>
          </w:rPr>
          <w:t>docopt</w:t>
        </w:r>
      </w:hyperlink>
    </w:p>
    <w:p w:rsidR="004F35B4" w:rsidRDefault="00985820">
      <w:pPr>
        <w:pStyle w:val="BlockQuote"/>
      </w:pPr>
      <w:r>
        <w:t>Command-line interface d</w:t>
      </w:r>
      <w:r>
        <w:t>escription language.</w:t>
      </w:r>
    </w:p>
    <w:p w:rsidR="004F35B4" w:rsidRDefault="00985820">
      <w:hyperlink r:id="rId38">
        <w:r>
          <w:rPr>
            <w:rStyle w:val="Link"/>
          </w:rPr>
          <w:t>numpy</w:t>
        </w:r>
      </w:hyperlink>
    </w:p>
    <w:p w:rsidR="004F35B4" w:rsidRDefault="00985820">
      <w:pPr>
        <w:pStyle w:val="BlockQuote"/>
      </w:pPr>
      <w:r>
        <w:t>NumPy is the fundamental package for scientific computing with Python.</w:t>
      </w:r>
    </w:p>
    <w:p w:rsidR="004F35B4" w:rsidRDefault="00985820">
      <w:hyperlink r:id="rId39">
        <w:r>
          <w:rPr>
            <w:rStyle w:val="Link"/>
          </w:rPr>
          <w:t>pandas</w:t>
        </w:r>
      </w:hyperlink>
    </w:p>
    <w:p w:rsidR="004F35B4" w:rsidRDefault="00985820">
      <w:pPr>
        <w:pStyle w:val="BlockQuote"/>
      </w:pPr>
      <w:r>
        <w:t>pandas is an open source, BSD-licensed library providing high-perfo</w:t>
      </w:r>
      <w:r>
        <w:t>rmance, easy-to-use data structures and data analysis tools for the Python programming language.</w:t>
      </w:r>
    </w:p>
    <w:p w:rsidR="004F35B4" w:rsidRDefault="00985820">
      <w:hyperlink r:id="rId40">
        <w:r>
          <w:rPr>
            <w:rStyle w:val="Link"/>
          </w:rPr>
          <w:t>matplotlib</w:t>
        </w:r>
      </w:hyperlink>
    </w:p>
    <w:p w:rsidR="004F35B4" w:rsidRDefault="00985820">
      <w:pPr>
        <w:pStyle w:val="BlockQuote"/>
      </w:pPr>
      <w:r>
        <w:t>matplotlib is a python 2D plotting library which produces publication quality figures in a variety of hardc</w:t>
      </w:r>
      <w:r>
        <w:t>opy formats and interactive environments across platforms.</w:t>
      </w:r>
    </w:p>
    <w:p w:rsidR="004F35B4" w:rsidRDefault="00985820">
      <w:r>
        <w:rPr>
          <w:b/>
        </w:rPr>
        <w:t>Note:</w:t>
      </w:r>
      <w:r>
        <w:t xml:space="preserve"> On a server with no display, please edit your </w:t>
      </w:r>
      <w:hyperlink r:id="rId41">
        <w:r>
          <w:rPr>
            <w:rStyle w:val="Link"/>
          </w:rPr>
          <w:t>matplotlibrc</w:t>
        </w:r>
      </w:hyperlink>
      <w:r>
        <w:t xml:space="preserve"> file to use the </w:t>
      </w:r>
      <w:r>
        <w:rPr>
          <w:rStyle w:val="VerbatimChar"/>
        </w:rPr>
        <w:t>Agg</w:t>
      </w:r>
      <w:r>
        <w:t xml:space="preserve"> backend:</w:t>
      </w:r>
    </w:p>
    <w:p w:rsidR="004F35B4" w:rsidRDefault="00985820">
      <w:pPr>
        <w:pStyle w:val="SourceCode"/>
      </w:pPr>
      <w:r>
        <w:rPr>
          <w:rStyle w:val="VerbatimChar"/>
        </w:rPr>
        <w:t>perl -i -pe 's/^(\s*(backend).*)$/#$1\n</w:t>
      </w:r>
      <w:r>
        <w:rPr>
          <w:rStyle w:val="VerbatimChar"/>
        </w:rPr>
        <w:t>$2:Agg/' ~/.matplotlib/matplotlibrc</w:t>
      </w:r>
    </w:p>
    <w:p w:rsidR="004F35B4" w:rsidRDefault="00985820">
      <w:r>
        <w:t>Otherwise, you may see an error message like this:</w:t>
      </w:r>
    </w:p>
    <w:p w:rsidR="004F35B4" w:rsidRDefault="00985820">
      <w:pPr>
        <w:pStyle w:val="SourceCode"/>
      </w:pPr>
      <w:r>
        <w:rPr>
          <w:rStyle w:val="VerbatimChar"/>
        </w:rPr>
        <w:t>_tkinter.TclError: no display name and no $DISPLAY environment variable</w:t>
      </w:r>
    </w:p>
    <w:p w:rsidR="004F35B4" w:rsidRDefault="00985820">
      <w:pPr>
        <w:pStyle w:val="Heading2"/>
      </w:pPr>
      <w:bookmarkStart w:id="33" w:name="r-packages"/>
      <w:r>
        <w:t>R Packages</w:t>
      </w:r>
    </w:p>
    <w:bookmarkEnd w:id="33"/>
    <w:p w:rsidR="004F35B4" w:rsidRDefault="00985820">
      <w:r>
        <w:t>Some visualizations use R and ggplot2 instead of Python and matplotlib.</w:t>
      </w:r>
    </w:p>
    <w:p w:rsidR="004F35B4" w:rsidRDefault="00985820">
      <w:r>
        <w:rPr>
          <w:b/>
        </w:rPr>
        <w:t>Instructions:</w:t>
      </w:r>
      <w:r>
        <w:t xml:space="preserve"> </w:t>
      </w:r>
      <w:r>
        <w:t>Start a session in R and run:</w:t>
      </w:r>
    </w:p>
    <w:p w:rsidR="004F35B4" w:rsidRDefault="00985820">
      <w:pPr>
        <w:pStyle w:val="SourceCode"/>
      </w:pPr>
      <w:r>
        <w:rPr>
          <w:rStyle w:val="KeywordTok"/>
        </w:rPr>
        <w:t>install.packages</w:t>
      </w:r>
      <w:r>
        <w:rPr>
          <w:rStyle w:val="NormalTok"/>
        </w:rPr>
        <w:t>(</w:t>
      </w:r>
      <w:r>
        <w:rPr>
          <w:rStyle w:val="KeywordTok"/>
        </w:rPr>
        <w:t>c</w:t>
      </w:r>
      <w:r>
        <w:rPr>
          <w:rStyle w:val="NormalTok"/>
        </w:rPr>
        <w:t>(</w:t>
      </w:r>
      <w:r>
        <w:rPr>
          <w:rStyle w:val="StringTok"/>
        </w:rPr>
        <w:t>"data.table"</w:t>
      </w:r>
      <w:r>
        <w:rPr>
          <w:rStyle w:val="NormalTok"/>
        </w:rPr>
        <w:t xml:space="preserve">, </w:t>
      </w:r>
      <w:r>
        <w:rPr>
          <w:rStyle w:val="StringTok"/>
        </w:rPr>
        <w:t>"reshape2"</w:t>
      </w:r>
      <w:r>
        <w:rPr>
          <w:rStyle w:val="NormalTok"/>
        </w:rPr>
        <w:t xml:space="preserve">, </w:t>
      </w:r>
      <w:r>
        <w:rPr>
          <w:rStyle w:val="StringTok"/>
        </w:rPr>
        <w:t>"gap"</w:t>
      </w:r>
      <w:r>
        <w:rPr>
          <w:rStyle w:val="NormalTok"/>
        </w:rPr>
        <w:t xml:space="preserve">, </w:t>
      </w:r>
      <w:r>
        <w:rPr>
          <w:rStyle w:val="StringTok"/>
        </w:rPr>
        <w:t>"ggplot2"</w:t>
      </w:r>
      <w:r>
        <w:rPr>
          <w:rStyle w:val="NormalTok"/>
        </w:rPr>
        <w:t>))</w:t>
      </w:r>
    </w:p>
    <w:p w:rsidR="004F35B4" w:rsidRDefault="00985820">
      <w:hyperlink r:id="rId42">
        <w:r>
          <w:rPr>
            <w:rStyle w:val="Link"/>
          </w:rPr>
          <w:t>data.table</w:t>
        </w:r>
      </w:hyperlink>
    </w:p>
    <w:p w:rsidR="004F35B4" w:rsidRDefault="00985820">
      <w:pPr>
        <w:pStyle w:val="BlockQuote"/>
      </w:pPr>
      <w:r>
        <w:t>Extension of data.frame for fast indexing, fast ordered joins, fast assignment, fa</w:t>
      </w:r>
      <w:r>
        <w:t>st grouping and list columns.</w:t>
      </w:r>
    </w:p>
    <w:p w:rsidR="004F35B4" w:rsidRDefault="00985820">
      <w:hyperlink r:id="rId43">
        <w:r>
          <w:rPr>
            <w:rStyle w:val="Link"/>
          </w:rPr>
          <w:t>reshape2</w:t>
        </w:r>
      </w:hyperlink>
    </w:p>
    <w:p w:rsidR="004F35B4" w:rsidRDefault="00985820">
      <w:pPr>
        <w:pStyle w:val="BlockQuote"/>
      </w:pPr>
      <w:r>
        <w:t>Flexibly reshape data: a reboot of the reshape package.</w:t>
      </w:r>
    </w:p>
    <w:p w:rsidR="004F35B4" w:rsidRDefault="00985820">
      <w:hyperlink r:id="rId44">
        <w:r>
          <w:rPr>
            <w:rStyle w:val="Link"/>
          </w:rPr>
          <w:t>gap</w:t>
        </w:r>
      </w:hyperlink>
    </w:p>
    <w:p w:rsidR="004F35B4" w:rsidRDefault="00985820">
      <w:pPr>
        <w:pStyle w:val="BlockQuote"/>
      </w:pPr>
      <w:r>
        <w:t>Genetic analysis package.</w:t>
      </w:r>
    </w:p>
    <w:p w:rsidR="004F35B4" w:rsidRDefault="00985820">
      <w:hyperlink r:id="rId45">
        <w:r>
          <w:rPr>
            <w:rStyle w:val="Link"/>
          </w:rPr>
          <w:t>ggplot2</w:t>
        </w:r>
      </w:hyperlink>
    </w:p>
    <w:p w:rsidR="004F35B4" w:rsidRDefault="00985820">
      <w:pPr>
        <w:pStyle w:val="BlockQuote"/>
      </w:pPr>
      <w:r>
        <w:t>An implementation of the Grammar of Graphics.</w:t>
      </w:r>
    </w:p>
    <w:p w:rsidR="004F35B4" w:rsidRDefault="00985820">
      <w:pPr>
        <w:pStyle w:val="Heading1"/>
      </w:pPr>
      <w:bookmarkStart w:id="34" w:name="usage"/>
      <w:r>
        <w:t>Usage</w:t>
      </w:r>
    </w:p>
    <w:p w:rsidR="004F35B4" w:rsidRDefault="00985820">
      <w:pPr>
        <w:pStyle w:val="Heading2"/>
      </w:pPr>
      <w:bookmarkStart w:id="35" w:name="example"/>
      <w:bookmarkEnd w:id="34"/>
      <w:r>
        <w:t>Example</w:t>
      </w:r>
    </w:p>
    <w:bookmarkEnd w:id="35"/>
    <w:p w:rsidR="004F35B4" w:rsidRDefault="00985820">
      <w:r>
        <w:t xml:space="preserve">Here is a </w:t>
      </w:r>
      <w:hyperlink r:id="rId46">
        <w:r>
          <w:rPr>
            <w:rStyle w:val="Link"/>
          </w:rPr>
          <w:t>Bash</w:t>
        </w:r>
      </w:hyperlink>
      <w:r>
        <w:t xml:space="preserve"> script with a usage example:</w:t>
      </w:r>
    </w:p>
    <w:p w:rsidR="004F35B4" w:rsidRDefault="00985820">
      <w:pPr>
        <w:pStyle w:val="SourceCode"/>
      </w:pPr>
      <w:r>
        <w:rPr>
          <w:rStyle w:val="OtherTok"/>
        </w:rPr>
        <w:t>options=</w:t>
      </w:r>
      <w:r>
        <w:rPr>
          <w:rStyle w:val="OtherTok"/>
        </w:rPr>
        <w:t>(</w:t>
      </w:r>
      <w:r>
        <w:br/>
      </w:r>
      <w:r>
        <w:rPr>
          <w:rStyle w:val="NormalTok"/>
        </w:rPr>
        <w:t xml:space="preserve">    </w:t>
      </w:r>
      <w:r>
        <w:rPr>
          <w:rStyle w:val="KeywordTok"/>
        </w:rPr>
        <w:t>--snps</w:t>
      </w:r>
      <w:r>
        <w:rPr>
          <w:rStyle w:val="NormalTok"/>
        </w:rPr>
        <w:t xml:space="preserve">              Red_blood_cell_count-Harst2012-45_SNPs.gwas</w:t>
      </w:r>
      <w:r>
        <w:br/>
      </w:r>
      <w:r>
        <w:rPr>
          <w:rStyle w:val="NormalTok"/>
        </w:rPr>
        <w:t xml:space="preserve">    </w:t>
      </w:r>
      <w:r>
        <w:rPr>
          <w:rStyle w:val="KeywordTok"/>
        </w:rPr>
        <w:t>--gene-matrix</w:t>
      </w:r>
      <w:r>
        <w:rPr>
          <w:rStyle w:val="NormalTok"/>
        </w:rPr>
        <w:t xml:space="preserve">       GeneAtlas2004.gct.gz</w:t>
      </w:r>
      <w:r>
        <w:br/>
      </w:r>
      <w:r>
        <w:rPr>
          <w:rStyle w:val="NormalTok"/>
        </w:rPr>
        <w:t xml:space="preserve">    </w:t>
      </w:r>
      <w:r>
        <w:rPr>
          <w:rStyle w:val="KeywordTok"/>
        </w:rPr>
        <w:t>--gene-intervals</w:t>
      </w:r>
      <w:r>
        <w:rPr>
          <w:rStyle w:val="NormalTok"/>
        </w:rPr>
        <w:t xml:space="preserve">    NCBIgenes2013.bed.gz</w:t>
      </w:r>
      <w:r>
        <w:br/>
      </w:r>
      <w:r>
        <w:rPr>
          <w:rStyle w:val="NormalTok"/>
        </w:rPr>
        <w:t xml:space="preserve">    </w:t>
      </w:r>
      <w:r>
        <w:rPr>
          <w:rStyle w:val="KeywordTok"/>
        </w:rPr>
        <w:t>--snp-intervals</w:t>
      </w:r>
      <w:r>
        <w:rPr>
          <w:rStyle w:val="NormalTok"/>
        </w:rPr>
        <w:t xml:space="preserve">     TGP2011.bed.gz</w:t>
      </w:r>
      <w:r>
        <w:br/>
      </w:r>
      <w:r>
        <w:rPr>
          <w:rStyle w:val="NormalTok"/>
        </w:rPr>
        <w:t xml:space="preserve">    </w:t>
      </w:r>
      <w:r>
        <w:rPr>
          <w:rStyle w:val="KeywordTok"/>
        </w:rPr>
        <w:t>--null-snps</w:t>
      </w:r>
      <w:r>
        <w:rPr>
          <w:rStyle w:val="NormalTok"/>
        </w:rPr>
        <w:t xml:space="preserve">         Lango2010.txt.gz</w:t>
      </w:r>
      <w:r>
        <w:br/>
      </w:r>
      <w:r>
        <w:rPr>
          <w:rStyle w:val="NormalTok"/>
        </w:rPr>
        <w:t xml:space="preserve">    </w:t>
      </w:r>
      <w:r>
        <w:rPr>
          <w:rStyle w:val="KeywordTok"/>
        </w:rPr>
        <w:t>--out</w:t>
      </w:r>
      <w:r>
        <w:rPr>
          <w:rStyle w:val="NormalTok"/>
        </w:rPr>
        <w:t xml:space="preserve">       </w:t>
      </w:r>
      <w:r>
        <w:rPr>
          <w:rStyle w:val="NormalTok"/>
        </w:rPr>
        <w:t xml:space="preserve">        out</w:t>
      </w:r>
      <w:r>
        <w:br/>
      </w:r>
      <w:r>
        <w:rPr>
          <w:rStyle w:val="NormalTok"/>
        </w:rPr>
        <w:t xml:space="preserve">    </w:t>
      </w:r>
      <w:r>
        <w:rPr>
          <w:rStyle w:val="KeywordTok"/>
        </w:rPr>
        <w:t>--slop</w:t>
      </w:r>
      <w:r>
        <w:rPr>
          <w:rStyle w:val="NormalTok"/>
        </w:rPr>
        <w:t xml:space="preserve">              10e3</w:t>
      </w:r>
      <w:r>
        <w:br/>
      </w:r>
      <w:r>
        <w:rPr>
          <w:rStyle w:val="NormalTok"/>
        </w:rPr>
        <w:t xml:space="preserve">    </w:t>
      </w:r>
      <w:r>
        <w:rPr>
          <w:rStyle w:val="KeywordTok"/>
        </w:rPr>
        <w:t>--threads</w:t>
      </w:r>
      <w:r>
        <w:rPr>
          <w:rStyle w:val="NormalTok"/>
        </w:rPr>
        <w:t xml:space="preserve">           4</w:t>
      </w:r>
      <w:r>
        <w:br/>
      </w:r>
      <w:r>
        <w:rPr>
          <w:rStyle w:val="NormalTok"/>
        </w:rPr>
        <w:t xml:space="preserve">    </w:t>
      </w:r>
      <w:r>
        <w:rPr>
          <w:rStyle w:val="KeywordTok"/>
        </w:rPr>
        <w:t>--null-snpsets</w:t>
      </w:r>
      <w:r>
        <w:rPr>
          <w:rStyle w:val="NormalTok"/>
        </w:rPr>
        <w:t xml:space="preserve">      0</w:t>
      </w:r>
      <w:r>
        <w:br/>
      </w:r>
      <w:r>
        <w:rPr>
          <w:rStyle w:val="NormalTok"/>
        </w:rPr>
        <w:t xml:space="preserve">    </w:t>
      </w:r>
      <w:r>
        <w:rPr>
          <w:rStyle w:val="KeywordTok"/>
        </w:rPr>
        <w:t>--min-observations</w:t>
      </w:r>
      <w:r>
        <w:rPr>
          <w:rStyle w:val="NormalTok"/>
        </w:rPr>
        <w:t xml:space="preserve">  100</w:t>
      </w:r>
      <w:r>
        <w:br/>
      </w:r>
      <w:r>
        <w:rPr>
          <w:rStyle w:val="NormalTok"/>
        </w:rPr>
        <w:t xml:space="preserve">    </w:t>
      </w:r>
      <w:r>
        <w:rPr>
          <w:rStyle w:val="KeywordTok"/>
        </w:rPr>
        <w:t>--max-iterations</w:t>
      </w:r>
      <w:r>
        <w:rPr>
          <w:rStyle w:val="NormalTok"/>
        </w:rPr>
        <w:t xml:space="preserve">    1e7</w:t>
      </w:r>
      <w:r>
        <w:br/>
      </w:r>
      <w:r>
        <w:rPr>
          <w:rStyle w:val="NormalTok"/>
        </w:rPr>
        <w:t>)</w:t>
      </w:r>
      <w:r>
        <w:br/>
      </w:r>
      <w:r>
        <w:rPr>
          <w:rStyle w:val="KeywordTok"/>
        </w:rPr>
        <w:t>snpsea</w:t>
      </w:r>
      <w:r>
        <w:rPr>
          <w:rStyle w:val="NormalTok"/>
        </w:rPr>
        <w:t xml:space="preserve"> </w:t>
      </w:r>
      <w:r>
        <w:rPr>
          <w:rStyle w:val="OtherTok"/>
        </w:rPr>
        <w:t>${options[*]}</w:t>
      </w:r>
    </w:p>
    <w:p w:rsidR="004F35B4" w:rsidRDefault="00985820">
      <w:r>
        <w:t>SNPsea will test SNPs associated with Red blood cell count for tissue-specific expre</w:t>
      </w:r>
      <w:r>
        <w:t xml:space="preserve">ssion of linked genes across 79 human tissues in the Gene Atlas expression matrix. Each tissue will be tested up to 10 million times with matched random SNP sets, or testing will stop for a tissue if 100 matched SNP sets achieve a higher specificity score </w:t>
      </w:r>
      <w:r>
        <w:t>than the user's SNPs.</w:t>
      </w:r>
    </w:p>
    <w:p w:rsidR="004F35B4" w:rsidRDefault="00985820">
      <w:pPr>
        <w:pStyle w:val="Heading2"/>
      </w:pPr>
      <w:bookmarkStart w:id="36" w:name="options"/>
      <w:r>
        <w:t>Options</w:t>
      </w:r>
    </w:p>
    <w:bookmarkEnd w:id="36"/>
    <w:p w:rsidR="004F35B4" w:rsidRDefault="00985820">
      <w:r>
        <w:t xml:space="preserve">All input files may optionally be compressed with </w:t>
      </w:r>
      <w:hyperlink r:id="rId47">
        <w:r>
          <w:rPr>
            <w:rStyle w:val="Link"/>
          </w:rPr>
          <w:t>gzip</w:t>
        </w:r>
      </w:hyperlink>
      <w:r>
        <w:t>.</w:t>
      </w:r>
    </w:p>
    <w:p w:rsidR="004F35B4" w:rsidRDefault="00985820">
      <w:pPr>
        <w:pStyle w:val="Heading3"/>
      </w:pPr>
      <w:bookmarkStart w:id="37" w:name="required"/>
      <w:r>
        <w:t>Required</w:t>
      </w:r>
    </w:p>
    <w:bookmarkEnd w:id="37"/>
    <w:p w:rsidR="004F35B4" w:rsidRDefault="00985820">
      <w:pPr>
        <w:pStyle w:val="SourceCode"/>
      </w:pPr>
      <w:r>
        <w:br/>
      </w:r>
      <w:r>
        <w:rPr>
          <w:rStyle w:val="VerbatimChar"/>
        </w:rPr>
        <w:t>--snps ARG               Text file with SNP identifiers in the first</w:t>
      </w:r>
      <w:r>
        <w:br/>
      </w:r>
      <w:r>
        <w:rPr>
          <w:rStyle w:val="VerbatimChar"/>
        </w:rPr>
        <w:t xml:space="preserve">                         column. Instead of a file </w:t>
      </w:r>
      <w:r>
        <w:rPr>
          <w:rStyle w:val="VerbatimChar"/>
        </w:rPr>
        <w:t>name, you may use</w:t>
      </w:r>
      <w:r>
        <w:br/>
      </w:r>
      <w:r>
        <w:rPr>
          <w:rStyle w:val="VerbatimChar"/>
        </w:rPr>
        <w:t xml:space="preserve">                         'randomN' with an integer N for a random SNP list</w:t>
      </w:r>
      <w:r>
        <w:br/>
      </w:r>
      <w:r>
        <w:rPr>
          <w:rStyle w:val="VerbatimChar"/>
        </w:rPr>
        <w:t xml:space="preserve">                         of length N.</w:t>
      </w:r>
      <w:r>
        <w:br/>
      </w:r>
      <w:r>
        <w:br/>
      </w:r>
      <w:r>
        <w:rPr>
          <w:rStyle w:val="VerbatimChar"/>
        </w:rPr>
        <w:t>--gene-matrix ARG        Gene matrix file in GCT format. The Name column</w:t>
      </w:r>
      <w:r>
        <w:br/>
      </w:r>
      <w:r>
        <w:rPr>
          <w:rStyle w:val="VerbatimChar"/>
        </w:rPr>
        <w:t xml:space="preserve">                         must contain the same gene identifiers as in</w:t>
      </w:r>
      <w:r>
        <w:br/>
      </w:r>
      <w:r>
        <w:rPr>
          <w:rStyle w:val="VerbatimChar"/>
        </w:rPr>
        <w:t xml:space="preserve">                         --gene-intervals.</w:t>
      </w:r>
      <w:r>
        <w:br/>
      </w:r>
      <w:r>
        <w:br/>
      </w:r>
      <w:r>
        <w:rPr>
          <w:rStyle w:val="VerbatimChar"/>
        </w:rPr>
        <w:t>--gene-intervals ARG     BED file with gene intervals. The fourth column</w:t>
      </w:r>
      <w:r>
        <w:br/>
      </w:r>
      <w:r>
        <w:rPr>
          <w:rStyle w:val="VerbatimChar"/>
        </w:rPr>
        <w:t xml:space="preserve">                         must contain the same gene identifiers as in</w:t>
      </w:r>
      <w:r>
        <w:br/>
      </w:r>
      <w:r>
        <w:rPr>
          <w:rStyle w:val="VerbatimChar"/>
        </w:rPr>
        <w:t xml:space="preserve">                         --gene-matrix.</w:t>
      </w:r>
      <w:r>
        <w:br/>
      </w:r>
      <w:r>
        <w:br/>
      </w:r>
      <w:r>
        <w:rPr>
          <w:rStyle w:val="VerbatimChar"/>
        </w:rPr>
        <w:t>--snp-intervals ARG      BED file with all known SNP intervals. The fourth</w:t>
      </w:r>
      <w:r>
        <w:br/>
      </w:r>
      <w:r>
        <w:rPr>
          <w:rStyle w:val="VerbatimChar"/>
        </w:rPr>
        <w:t xml:space="preserve">                         column must contain the same SNP identifiers as</w:t>
      </w:r>
      <w:r>
        <w:br/>
      </w:r>
      <w:r>
        <w:rPr>
          <w:rStyle w:val="VerbatimChar"/>
        </w:rPr>
        <w:t xml:space="preserve">                         in --snps and --null-snps.</w:t>
      </w:r>
      <w:r>
        <w:br/>
      </w:r>
      <w:r>
        <w:br/>
      </w:r>
      <w:r>
        <w:rPr>
          <w:rStyle w:val="VerbatimChar"/>
        </w:rPr>
        <w:t>--null-snps A</w:t>
      </w:r>
      <w:r>
        <w:rPr>
          <w:rStyle w:val="VerbatimChar"/>
        </w:rPr>
        <w:t>RG          Text file with names of SNPs to sample when</w:t>
      </w:r>
      <w:r>
        <w:br/>
      </w:r>
      <w:r>
        <w:rPr>
          <w:rStyle w:val="VerbatimChar"/>
        </w:rPr>
        <w:t xml:space="preserve">                         generating null matched or random SNP sets.</w:t>
      </w:r>
      <w:r>
        <w:br/>
      </w:r>
      <w:r>
        <w:rPr>
          <w:rStyle w:val="VerbatimChar"/>
        </w:rPr>
        <w:t xml:space="preserve">                         These SNPs must be a subset of --snp-intervals.</w:t>
      </w:r>
      <w:r>
        <w:br/>
      </w:r>
      <w:r>
        <w:br/>
      </w:r>
      <w:r>
        <w:rPr>
          <w:rStyle w:val="VerbatimChar"/>
        </w:rPr>
        <w:t>--out ARG                Create output files in this dire</w:t>
      </w:r>
      <w:r>
        <w:rPr>
          <w:rStyle w:val="VerbatimChar"/>
        </w:rPr>
        <w:t>ctory. It will be</w:t>
      </w:r>
      <w:r>
        <w:br/>
      </w:r>
      <w:r>
        <w:rPr>
          <w:rStyle w:val="VerbatimChar"/>
        </w:rPr>
        <w:t xml:space="preserve">                         created if it does not already exist.</w:t>
      </w:r>
    </w:p>
    <w:p w:rsidR="004F35B4" w:rsidRDefault="00985820">
      <w:pPr>
        <w:pStyle w:val="Heading3"/>
      </w:pPr>
      <w:bookmarkStart w:id="38" w:name="optional"/>
      <w:r>
        <w:t>Optional</w:t>
      </w:r>
    </w:p>
    <w:bookmarkEnd w:id="38"/>
    <w:p w:rsidR="004F35B4" w:rsidRDefault="00985820">
      <w:pPr>
        <w:pStyle w:val="SourceCode"/>
      </w:pPr>
      <w:r>
        <w:rPr>
          <w:rStyle w:val="VerbatimChar"/>
        </w:rPr>
        <w:t>--condition ARG          Text file with a list of columns in --gene-matrix</w:t>
      </w:r>
      <w:r>
        <w:br/>
      </w:r>
      <w:r>
        <w:rPr>
          <w:rStyle w:val="VerbatimChar"/>
        </w:rPr>
        <w:t xml:space="preserve">                         to condition on before calculating p-values. Each</w:t>
      </w:r>
      <w:r>
        <w:br/>
      </w:r>
      <w:r>
        <w:rPr>
          <w:rStyle w:val="VerbatimChar"/>
        </w:rPr>
        <w:t xml:space="preserve">                </w:t>
      </w:r>
      <w:r>
        <w:rPr>
          <w:rStyle w:val="VerbatimChar"/>
        </w:rPr>
        <w:t xml:space="preserve">         column in --gene-matrix is projected onto each</w:t>
      </w:r>
      <w:r>
        <w:br/>
      </w:r>
      <w:r>
        <w:rPr>
          <w:rStyle w:val="VerbatimChar"/>
        </w:rPr>
        <w:t xml:space="preserve">                         column listed in this file and its projection is</w:t>
      </w:r>
      <w:r>
        <w:br/>
      </w:r>
      <w:r>
        <w:rPr>
          <w:rStyle w:val="VerbatimChar"/>
        </w:rPr>
        <w:t xml:space="preserve">                         subtracted.</w:t>
      </w:r>
      <w:r>
        <w:br/>
      </w:r>
      <w:r>
        <w:br/>
      </w:r>
      <w:r>
        <w:rPr>
          <w:rStyle w:val="VerbatimChar"/>
        </w:rPr>
        <w:t>--slop ARG               If a SNP interval overlaps no gene intervals,</w:t>
      </w:r>
      <w:r>
        <w:br/>
      </w:r>
      <w:r>
        <w:rPr>
          <w:rStyle w:val="VerbatimChar"/>
        </w:rPr>
        <w:t xml:space="preserve">                 </w:t>
      </w:r>
      <w:r>
        <w:rPr>
          <w:rStyle w:val="VerbatimChar"/>
        </w:rPr>
        <w:t xml:space="preserve">        extend the SNP interval this many nucleotides</w:t>
      </w:r>
      <w:r>
        <w:br/>
      </w:r>
      <w:r>
        <w:rPr>
          <w:rStyle w:val="VerbatimChar"/>
        </w:rPr>
        <w:t xml:space="preserve">                         further and try again.</w:t>
      </w:r>
      <w:r>
        <w:br/>
      </w:r>
      <w:r>
        <w:rPr>
          <w:rStyle w:val="VerbatimChar"/>
        </w:rPr>
        <w:t xml:space="preserve">                         [default: 10000]</w:t>
      </w:r>
      <w:r>
        <w:br/>
      </w:r>
      <w:r>
        <w:br/>
      </w:r>
      <w:r>
        <w:rPr>
          <w:rStyle w:val="VerbatimChar"/>
        </w:rPr>
        <w:t>--threads ARG            Number of threads to use.</w:t>
      </w:r>
      <w:r>
        <w:br/>
      </w:r>
      <w:r>
        <w:rPr>
          <w:rStyle w:val="VerbatimChar"/>
        </w:rPr>
        <w:t xml:space="preserve">                         [default: 1]</w:t>
      </w:r>
      <w:r>
        <w:br/>
      </w:r>
      <w:r>
        <w:br/>
      </w:r>
      <w:r>
        <w:rPr>
          <w:rStyle w:val="VerbatimChar"/>
        </w:rPr>
        <w:t xml:space="preserve">--null-snpsets ARG   </w:t>
      </w:r>
      <w:r>
        <w:rPr>
          <w:rStyle w:val="VerbatimChar"/>
        </w:rPr>
        <w:t xml:space="preserve">    Test this many null matched SNP sets, so you can</w:t>
      </w:r>
      <w:r>
        <w:br/>
      </w:r>
      <w:r>
        <w:rPr>
          <w:rStyle w:val="VerbatimChar"/>
        </w:rPr>
        <w:t xml:space="preserve">                         compare your results to a distribution of null</w:t>
      </w:r>
      <w:r>
        <w:br/>
      </w:r>
      <w:r>
        <w:rPr>
          <w:rStyle w:val="VerbatimChar"/>
        </w:rPr>
        <w:t xml:space="preserve">                         results.</w:t>
      </w:r>
      <w:r>
        <w:br/>
      </w:r>
      <w:r>
        <w:rPr>
          <w:rStyle w:val="VerbatimChar"/>
        </w:rPr>
        <w:t xml:space="preserve">                         [default: 0]</w:t>
      </w:r>
      <w:r>
        <w:br/>
      </w:r>
      <w:r>
        <w:br/>
      </w:r>
      <w:r>
        <w:rPr>
          <w:rStyle w:val="VerbatimChar"/>
        </w:rPr>
        <w:t>--min-observations ARG   Stop testing a column in --gene-m</w:t>
      </w:r>
      <w:r>
        <w:rPr>
          <w:rStyle w:val="VerbatimChar"/>
        </w:rPr>
        <w:t>atrix after</w:t>
      </w:r>
      <w:r>
        <w:br/>
      </w:r>
      <w:r>
        <w:rPr>
          <w:rStyle w:val="VerbatimChar"/>
        </w:rPr>
        <w:t xml:space="preserve">                         observing this many null SNP sets with </w:t>
      </w:r>
      <w:r>
        <w:br/>
      </w:r>
      <w:r>
        <w:rPr>
          <w:rStyle w:val="VerbatimChar"/>
        </w:rPr>
        <w:t xml:space="preserve">                         specificity scores greater or equal to those</w:t>
      </w:r>
      <w:r>
        <w:br/>
      </w:r>
      <w:r>
        <w:rPr>
          <w:rStyle w:val="VerbatimChar"/>
        </w:rPr>
        <w:t xml:space="preserve">                         obtained with the SNP set in --snps. Increase</w:t>
      </w:r>
      <w:r>
        <w:br/>
      </w:r>
      <w:r>
        <w:rPr>
          <w:rStyle w:val="VerbatimChar"/>
        </w:rPr>
        <w:t xml:space="preserve">                         this value to</w:t>
      </w:r>
      <w:r>
        <w:rPr>
          <w:rStyle w:val="VerbatimChar"/>
        </w:rPr>
        <w:t xml:space="preserve"> obtain more accurate p-values.</w:t>
      </w:r>
      <w:r>
        <w:br/>
      </w:r>
      <w:r>
        <w:rPr>
          <w:rStyle w:val="VerbatimChar"/>
        </w:rPr>
        <w:t xml:space="preserve">                         [default: 25]</w:t>
      </w:r>
      <w:r>
        <w:br/>
      </w:r>
      <w:r>
        <w:br/>
      </w:r>
      <w:r>
        <w:rPr>
          <w:rStyle w:val="VerbatimChar"/>
        </w:rPr>
        <w:t>--max-iterations ARG     Maximum number of null SNP sets tested for each</w:t>
      </w:r>
      <w:r>
        <w:br/>
      </w:r>
      <w:r>
        <w:rPr>
          <w:rStyle w:val="VerbatimChar"/>
        </w:rPr>
        <w:t xml:space="preserve">                         column in --gene-matrix. Increase this value to</w:t>
      </w:r>
      <w:r>
        <w:br/>
      </w:r>
      <w:r>
        <w:rPr>
          <w:rStyle w:val="VerbatimChar"/>
        </w:rPr>
        <w:t xml:space="preserve">                         resolve small</w:t>
      </w:r>
      <w:r>
        <w:rPr>
          <w:rStyle w:val="VerbatimChar"/>
        </w:rPr>
        <w:t>er p-values.</w:t>
      </w:r>
      <w:r>
        <w:br/>
      </w:r>
      <w:r>
        <w:rPr>
          <w:rStyle w:val="VerbatimChar"/>
        </w:rPr>
        <w:t xml:space="preserve">                         [default: 10000]</w:t>
      </w:r>
    </w:p>
    <w:p w:rsidR="004F35B4" w:rsidRDefault="00985820">
      <w:pPr>
        <w:pStyle w:val="Heading2"/>
      </w:pPr>
      <w:bookmarkStart w:id="39" w:name="input-file-formats"/>
      <w:r>
        <w:t>Input File Formats</w:t>
      </w:r>
    </w:p>
    <w:p w:rsidR="004F35B4" w:rsidRDefault="00985820">
      <w:pPr>
        <w:pStyle w:val="Heading3"/>
      </w:pPr>
      <w:bookmarkStart w:id="40" w:name="snps-arg"/>
      <w:bookmarkEnd w:id="39"/>
      <w:r>
        <w:rPr>
          <w:rStyle w:val="VerbatimChar"/>
        </w:rPr>
        <w:t>--snps ARG</w:t>
      </w:r>
    </w:p>
    <w:bookmarkEnd w:id="40"/>
    <w:p w:rsidR="004F35B4" w:rsidRDefault="00985820">
      <w:r>
        <w:t xml:space="preserve">You must provide one or more comma-separated text files. SNP identifiers must be listed one per line. Lines starting with </w:t>
      </w:r>
      <w:r>
        <w:rPr>
          <w:rStyle w:val="VerbatimChar"/>
        </w:rPr>
        <w:t>#</w:t>
      </w:r>
      <w:r>
        <w:t xml:space="preserve"> are skipped. If the file has no header, the fir</w:t>
      </w:r>
      <w:r>
        <w:t xml:space="preserve">st column is assumed to contain SNP identifiers. Otherwise, SNPsea looks for a column named (case-sensitive) </w:t>
      </w:r>
      <w:r>
        <w:rPr>
          <w:rStyle w:val="VerbatimChar"/>
        </w:rPr>
        <w:t>SNP</w:t>
      </w:r>
      <w:r>
        <w:t xml:space="preserve"> or </w:t>
      </w:r>
      <w:r>
        <w:rPr>
          <w:rStyle w:val="VerbatimChar"/>
        </w:rPr>
        <w:t>snp</w:t>
      </w:r>
      <w:r>
        <w:t xml:space="preserve"> or </w:t>
      </w:r>
      <w:r>
        <w:rPr>
          <w:rStyle w:val="VerbatimChar"/>
        </w:rPr>
        <w:t>name</w:t>
      </w:r>
      <w:r>
        <w:t xml:space="preserve"> or </w:t>
      </w:r>
      <w:r>
        <w:rPr>
          <w:rStyle w:val="VerbatimChar"/>
        </w:rPr>
        <w:t>marker</w:t>
      </w:r>
      <w:r>
        <w:t>.</w:t>
      </w:r>
    </w:p>
    <w:p w:rsidR="004F35B4" w:rsidRDefault="00985820">
      <w:pPr>
        <w:pStyle w:val="SourceCode"/>
      </w:pPr>
      <w:r>
        <w:rPr>
          <w:rStyle w:val="VerbatimChar"/>
        </w:rPr>
        <w:t>head Red_blood_cell_count-Harst2012-45_SNPs.gwas</w:t>
      </w:r>
      <w:r>
        <w:br/>
      </w:r>
      <w:r>
        <w:br/>
      </w:r>
      <w:r>
        <w:rPr>
          <w:rStyle w:val="VerbatimChar"/>
        </w:rPr>
        <w:t># Harst et al. 2012</w:t>
      </w:r>
      <w:r>
        <w:br/>
      </w:r>
      <w:r>
        <w:rPr>
          <w:rStyle w:val="VerbatimChar"/>
        </w:rPr>
        <w:t># doi:10.1038/nature11677</w:t>
      </w:r>
      <w:r>
        <w:br/>
      </w:r>
      <w:r>
        <w:rPr>
          <w:rStyle w:val="VerbatimChar"/>
        </w:rPr>
        <w:t># PMID: 23222517</w:t>
      </w:r>
      <w:r>
        <w:br/>
      </w:r>
      <w:r>
        <w:rPr>
          <w:rStyle w:val="VerbatimChar"/>
        </w:rPr>
        <w:t># 45 SNPs associated with red blood cell count (RBC) taken from Table 1.</w:t>
      </w:r>
      <w:r>
        <w:br/>
      </w:r>
      <w:r>
        <w:rPr>
          <w:rStyle w:val="VerbatimChar"/>
        </w:rPr>
        <w:t># Positions are on hg19. SNPs are included if $P \le 5e-8$.</w:t>
      </w:r>
      <w:r>
        <w:br/>
      </w:r>
      <w:r>
        <w:rPr>
          <w:rStyle w:val="VerbatimChar"/>
        </w:rPr>
        <w:t>CHR POS SNP P</w:t>
      </w:r>
      <w:r>
        <w:br/>
      </w:r>
      <w:r>
        <w:rPr>
          <w:rStyle w:val="VerbatimChar"/>
        </w:rPr>
        <w:t>chr1    40069939    rs3916164   3e-10</w:t>
      </w:r>
      <w:r>
        <w:br/>
      </w:r>
      <w:r>
        <w:rPr>
          <w:rStyle w:val="VerbatimChar"/>
        </w:rPr>
        <w:t>chr1    158575729   rs857684    4e-16</w:t>
      </w:r>
      <w:r>
        <w:br/>
      </w:r>
      <w:r>
        <w:rPr>
          <w:rStyle w:val="VerbatimChar"/>
        </w:rPr>
        <w:t>chr1    199007208   rs7529925   8</w:t>
      </w:r>
      <w:r>
        <w:rPr>
          <w:rStyle w:val="VerbatimChar"/>
        </w:rPr>
        <w:t>e-09</w:t>
      </w:r>
      <w:r>
        <w:br/>
      </w:r>
      <w:r>
        <w:rPr>
          <w:rStyle w:val="VerbatimChar"/>
        </w:rPr>
        <w:t>chr1    248039451   rs3811444   5e-10</w:t>
      </w:r>
    </w:p>
    <w:p w:rsidR="004F35B4" w:rsidRDefault="00985820">
      <w:r>
        <w:t>Instead of providing a file with SNPs, you may use "randomN" like this:</w:t>
      </w:r>
    </w:p>
    <w:p w:rsidR="004F35B4" w:rsidRDefault="00985820">
      <w:pPr>
        <w:pStyle w:val="SourceCode"/>
      </w:pPr>
      <w:r>
        <w:rPr>
          <w:rStyle w:val="VerbatimChar"/>
        </w:rPr>
        <w:t>--snps random20</w:t>
      </w:r>
    </w:p>
    <w:p w:rsidR="004F35B4" w:rsidRDefault="00985820">
      <w:r>
        <w:t xml:space="preserve">to sample 20 random SNPs from the </w:t>
      </w:r>
      <w:r>
        <w:rPr>
          <w:rStyle w:val="VerbatimChar"/>
          <w:b/>
        </w:rPr>
        <w:t>--snp-intervals</w:t>
      </w:r>
      <w:r>
        <w:t xml:space="preserve"> file.</w:t>
      </w:r>
    </w:p>
    <w:p w:rsidR="004F35B4" w:rsidRDefault="00985820">
      <w:pPr>
        <w:pStyle w:val="Heading3"/>
      </w:pPr>
      <w:bookmarkStart w:id="41" w:name="gene-matrix-arg"/>
      <w:r>
        <w:rPr>
          <w:rStyle w:val="VerbatimChar"/>
        </w:rPr>
        <w:t>--gene-matrix ARG</w:t>
      </w:r>
    </w:p>
    <w:bookmarkEnd w:id="41"/>
    <w:p w:rsidR="004F35B4" w:rsidRDefault="00985820">
      <w:r>
        <w:t xml:space="preserve">You must provide a single gene matrix that must be </w:t>
      </w:r>
      <w:r>
        <w:t xml:space="preserve">in </w:t>
      </w:r>
      <w:hyperlink r:id="rId48">
        <w:r>
          <w:rPr>
            <w:rStyle w:val="Link"/>
          </w:rPr>
          <w:t>GCT</w:t>
        </w:r>
      </w:hyperlink>
      <w:r>
        <w:t xml:space="preserve"> format.</w:t>
      </w:r>
    </w:p>
    <w:p w:rsidR="004F35B4" w:rsidRDefault="00985820">
      <w:pPr>
        <w:pStyle w:val="SourceCode"/>
      </w:pPr>
      <w:r>
        <w:rPr>
          <w:rStyle w:val="VerbatimChar"/>
        </w:rPr>
        <w:t>zcat GeneAtlas2004.gct.gz | cut -f1-4 | head</w:t>
      </w:r>
      <w:r>
        <w:br/>
      </w:r>
      <w:r>
        <w:br/>
      </w:r>
      <w:r>
        <w:rPr>
          <w:rStyle w:val="VerbatimChar"/>
        </w:rPr>
        <w:t>#1.2</w:t>
      </w:r>
      <w:r>
        <w:br/>
      </w:r>
      <w:r>
        <w:rPr>
          <w:rStyle w:val="VerbatimChar"/>
        </w:rPr>
        <w:t>17581  79</w:t>
      </w:r>
      <w:r>
        <w:br/>
      </w:r>
      <w:r>
        <w:rPr>
          <w:rStyle w:val="VerbatimChar"/>
        </w:rPr>
        <w:t>Name   Description  Colorectal_Adenocarcinoma  Whole_Blood</w:t>
      </w:r>
      <w:r>
        <w:br/>
      </w:r>
      <w:r>
        <w:rPr>
          <w:rStyle w:val="VerbatimChar"/>
        </w:rPr>
        <w:t>1      A</w:t>
      </w:r>
      <w:r>
        <w:rPr>
          <w:rStyle w:val="VerbatimChar"/>
        </w:rPr>
        <w:t>1BG         115.5                      209.5</w:t>
      </w:r>
      <w:r>
        <w:br/>
      </w:r>
      <w:r>
        <w:rPr>
          <w:rStyle w:val="VerbatimChar"/>
        </w:rPr>
        <w:t>2      A2M          85                         328.5</w:t>
      </w:r>
      <w:r>
        <w:br/>
      </w:r>
      <w:r>
        <w:rPr>
          <w:rStyle w:val="VerbatimChar"/>
        </w:rPr>
        <w:t>9      NAT1         499                        1578</w:t>
      </w:r>
      <w:r>
        <w:br/>
      </w:r>
      <w:r>
        <w:rPr>
          <w:rStyle w:val="VerbatimChar"/>
        </w:rPr>
        <w:t>10     NAT2         115                        114</w:t>
      </w:r>
      <w:r>
        <w:br/>
      </w:r>
      <w:r>
        <w:rPr>
          <w:rStyle w:val="VerbatimChar"/>
        </w:rPr>
        <w:t>12     SERPINA3     419.5                      387.5</w:t>
      </w:r>
      <w:r>
        <w:br/>
      </w:r>
      <w:r>
        <w:rPr>
          <w:rStyle w:val="VerbatimChar"/>
        </w:rPr>
        <w:t>13</w:t>
      </w:r>
      <w:r>
        <w:rPr>
          <w:rStyle w:val="VerbatimChar"/>
        </w:rPr>
        <w:t xml:space="preserve">     AADAC        125                        252.5</w:t>
      </w:r>
      <w:r>
        <w:br/>
      </w:r>
      <w:r>
        <w:rPr>
          <w:rStyle w:val="VerbatimChar"/>
        </w:rPr>
        <w:t>14     AAMP         2023                       942.5</w:t>
      </w:r>
    </w:p>
    <w:p w:rsidR="004F35B4" w:rsidRDefault="00985820">
      <w:pPr>
        <w:pStyle w:val="Heading3"/>
      </w:pPr>
      <w:bookmarkStart w:id="42" w:name="condition-arg-optional"/>
      <w:r>
        <w:rPr>
          <w:rStyle w:val="VerbatimChar"/>
        </w:rPr>
        <w:t>--condition ARG</w:t>
      </w:r>
      <w:r>
        <w:t xml:space="preserve"> (Optional)</w:t>
      </w:r>
    </w:p>
    <w:bookmarkEnd w:id="42"/>
    <w:p w:rsidR="004F35B4" w:rsidRDefault="00985820">
      <w:r>
        <w:t xml:space="preserve">You may provide column names present in the </w:t>
      </w:r>
      <w:r>
        <w:rPr>
          <w:rStyle w:val="VerbatimChar"/>
          <w:b/>
        </w:rPr>
        <w:t>--gene-matrix</w:t>
      </w:r>
      <w:r>
        <w:t xml:space="preserve"> file, one per line. The matrix will be conditioned on these columns</w:t>
      </w:r>
      <w:r>
        <w:t xml:space="preserve"> before the analysis is performed to help you identify secondary signals independent of these columns. Binary (0, 1) matrices will not be conditioned.</w:t>
      </w:r>
    </w:p>
    <w:p w:rsidR="004F35B4" w:rsidRDefault="00985820">
      <w:pPr>
        <w:pStyle w:val="SourceCode"/>
      </w:pPr>
      <w:r>
        <w:rPr>
          <w:rStyle w:val="VerbatimChar"/>
        </w:rPr>
        <w:t>head conditions.txt</w:t>
      </w:r>
      <w:r>
        <w:br/>
      </w:r>
      <w:r>
        <w:br/>
      </w:r>
      <w:r>
        <w:rPr>
          <w:rStyle w:val="VerbatimChar"/>
        </w:rPr>
        <w:t>Whole_Blood</w:t>
      </w:r>
    </w:p>
    <w:p w:rsidR="004F35B4" w:rsidRDefault="00985820">
      <w:pPr>
        <w:pStyle w:val="Heading3"/>
      </w:pPr>
      <w:bookmarkStart w:id="43" w:name="gene-intervals-arg"/>
      <w:r>
        <w:rPr>
          <w:rStyle w:val="VerbatimChar"/>
        </w:rPr>
        <w:t>--gene-intervals ARG</w:t>
      </w:r>
    </w:p>
    <w:bookmarkEnd w:id="43"/>
    <w:p w:rsidR="004F35B4" w:rsidRDefault="00985820">
      <w:r>
        <w:t xml:space="preserve">You must provide gene intervals in BED format with </w:t>
      </w:r>
      <w:r>
        <w:t xml:space="preserve">a fourth column that contains the same gene identifiers as those present in the Name column of the </w:t>
      </w:r>
      <w:r>
        <w:rPr>
          <w:rStyle w:val="VerbatimChar"/>
          <w:b/>
        </w:rPr>
        <w:t>--gene-matrix</w:t>
      </w:r>
      <w:r>
        <w:t xml:space="preserve"> GCT file. Only the first four columns are used.</w:t>
      </w:r>
    </w:p>
    <w:p w:rsidR="004F35B4" w:rsidRDefault="00985820">
      <w:pPr>
        <w:pStyle w:val="SourceCode"/>
      </w:pPr>
      <w:r>
        <w:rPr>
          <w:rStyle w:val="VerbatimChar"/>
        </w:rPr>
        <w:t>zcat NCBIgenes2013.bed.gz | head</w:t>
      </w:r>
      <w:r>
        <w:br/>
      </w:r>
      <w:r>
        <w:br/>
      </w:r>
      <w:r>
        <w:rPr>
          <w:rStyle w:val="VerbatimChar"/>
        </w:rPr>
        <w:t>chr1  10003485   10045555   64802      NMNAT1</w:t>
      </w:r>
      <w:r>
        <w:br/>
      </w:r>
      <w:r>
        <w:rPr>
          <w:rStyle w:val="VerbatimChar"/>
        </w:rPr>
        <w:t>chr1  100111430</w:t>
      </w:r>
      <w:r>
        <w:rPr>
          <w:rStyle w:val="VerbatimChar"/>
        </w:rPr>
        <w:t xml:space="preserve">  100160096  54873      PALMD</w:t>
      </w:r>
      <w:r>
        <w:br/>
      </w:r>
      <w:r>
        <w:rPr>
          <w:rStyle w:val="VerbatimChar"/>
        </w:rPr>
        <w:t>chr1  100163795  100164756  100129320  HMGB3P10</w:t>
      </w:r>
      <w:r>
        <w:br/>
      </w:r>
      <w:r>
        <w:rPr>
          <w:rStyle w:val="VerbatimChar"/>
        </w:rPr>
        <w:t>chr1  100174205  100232185  391059     FRRS1</w:t>
      </w:r>
      <w:r>
        <w:br/>
      </w:r>
      <w:r>
        <w:rPr>
          <w:rStyle w:val="VerbatimChar"/>
        </w:rPr>
        <w:t>chr1  10027438   10027515   100847055  MIR5697</w:t>
      </w:r>
      <w:r>
        <w:br/>
      </w:r>
      <w:r>
        <w:rPr>
          <w:rStyle w:val="VerbatimChar"/>
        </w:rPr>
        <w:t>chr1  100308165  100308317  100270894  RPL39P9</w:t>
      </w:r>
      <w:r>
        <w:br/>
      </w:r>
      <w:r>
        <w:rPr>
          <w:rStyle w:val="VerbatimChar"/>
        </w:rPr>
        <w:t>chr1  100315632  100389578  178        AGL</w:t>
      </w:r>
      <w:r>
        <w:br/>
      </w:r>
      <w:r>
        <w:rPr>
          <w:rStyle w:val="VerbatimChar"/>
        </w:rPr>
        <w:t>chr1  100433941  100435837  730081     LOC730081</w:t>
      </w:r>
      <w:r>
        <w:br/>
      </w:r>
      <w:r>
        <w:rPr>
          <w:rStyle w:val="VerbatimChar"/>
        </w:rPr>
        <w:t>chr1  100435344  100492534  23443      SLC35A3</w:t>
      </w:r>
      <w:r>
        <w:br/>
      </w:r>
      <w:r>
        <w:rPr>
          <w:rStyle w:val="VerbatimChar"/>
        </w:rPr>
        <w:t>chr1  100503669  100548932  64645      HIAT1</w:t>
      </w:r>
    </w:p>
    <w:p w:rsidR="004F35B4" w:rsidRDefault="00985820">
      <w:pPr>
        <w:pStyle w:val="Heading3"/>
      </w:pPr>
      <w:bookmarkStart w:id="44" w:name="snp-intervals-arg"/>
      <w:r>
        <w:rPr>
          <w:rStyle w:val="VerbatimChar"/>
        </w:rPr>
        <w:t>--snp-intervals ARG</w:t>
      </w:r>
    </w:p>
    <w:bookmarkEnd w:id="44"/>
    <w:p w:rsidR="004F35B4" w:rsidRDefault="00985820">
      <w:r>
        <w:t>SNP linkage intervals must be specified in BED forma</w:t>
      </w:r>
      <w:r>
        <w:t xml:space="preserve">t and include a fourth column with the SNP identifiers. The linkage intervals assigned to the trait-associated SNPs you provide with </w:t>
      </w:r>
      <w:r>
        <w:rPr>
          <w:rStyle w:val="VerbatimChar"/>
          <w:b/>
        </w:rPr>
        <w:t>--snps</w:t>
      </w:r>
      <w:r>
        <w:t xml:space="preserve"> are taken from this file.</w:t>
      </w:r>
    </w:p>
    <w:p w:rsidR="004F35B4" w:rsidRDefault="00985820">
      <w:pPr>
        <w:pStyle w:val="SourceCode"/>
      </w:pPr>
      <w:r>
        <w:rPr>
          <w:rStyle w:val="VerbatimChar"/>
        </w:rPr>
        <w:t>zcat TGP2011.bed.gz | head</w:t>
      </w:r>
      <w:r>
        <w:br/>
      </w:r>
      <w:r>
        <w:br/>
      </w:r>
      <w:r>
        <w:rPr>
          <w:rStyle w:val="VerbatimChar"/>
        </w:rPr>
        <w:t>chr1    0   254996  rs113759966</w:t>
      </w:r>
      <w:r>
        <w:br/>
      </w:r>
      <w:r>
        <w:rPr>
          <w:rStyle w:val="VerbatimChar"/>
        </w:rPr>
        <w:t>chr1    0   254996  rs11442099</w:t>
      </w:r>
      <w:r>
        <w:rPr>
          <w:rStyle w:val="VerbatimChar"/>
        </w:rPr>
        <w:t>6</w:t>
      </w:r>
      <w:r>
        <w:br/>
      </w:r>
      <w:r>
        <w:rPr>
          <w:rStyle w:val="VerbatimChar"/>
        </w:rPr>
        <w:t>chr1    0   254996  rs114608975</w:t>
      </w:r>
      <w:r>
        <w:br/>
      </w:r>
      <w:r>
        <w:rPr>
          <w:rStyle w:val="VerbatimChar"/>
        </w:rPr>
        <w:t>chr1    0   254996  rs115209712</w:t>
      </w:r>
      <w:r>
        <w:br/>
      </w:r>
      <w:r>
        <w:rPr>
          <w:rStyle w:val="VerbatimChar"/>
        </w:rPr>
        <w:t>chr1    0   254996  rs116400033</w:t>
      </w:r>
      <w:r>
        <w:br/>
      </w:r>
      <w:r>
        <w:rPr>
          <w:rStyle w:val="VerbatimChar"/>
        </w:rPr>
        <w:t>chr1    0   254996  rs116504101</w:t>
      </w:r>
      <w:r>
        <w:br/>
      </w:r>
      <w:r>
        <w:rPr>
          <w:rStyle w:val="VerbatimChar"/>
        </w:rPr>
        <w:t>chr1    0   254996  rs12184306</w:t>
      </w:r>
      <w:r>
        <w:br/>
      </w:r>
      <w:r>
        <w:rPr>
          <w:rStyle w:val="VerbatimChar"/>
        </w:rPr>
        <w:t>chr1    0   254996  rs12184307</w:t>
      </w:r>
      <w:r>
        <w:br/>
      </w:r>
      <w:r>
        <w:rPr>
          <w:rStyle w:val="VerbatimChar"/>
        </w:rPr>
        <w:t>chr1    0   254996  rs138808727</w:t>
      </w:r>
      <w:r>
        <w:br/>
      </w:r>
      <w:r>
        <w:rPr>
          <w:rStyle w:val="VerbatimChar"/>
        </w:rPr>
        <w:t>chr1    0   254996  rs139113303</w:t>
      </w:r>
    </w:p>
    <w:p w:rsidR="004F35B4" w:rsidRDefault="00985820">
      <w:pPr>
        <w:pStyle w:val="Heading3"/>
      </w:pPr>
      <w:bookmarkStart w:id="45" w:name="null-snps-arg"/>
      <w:r>
        <w:rPr>
          <w:rStyle w:val="VerbatimChar"/>
        </w:rPr>
        <w:t>--null-snps ARG</w:t>
      </w:r>
    </w:p>
    <w:bookmarkEnd w:id="45"/>
    <w:p w:rsidR="004F35B4" w:rsidRDefault="00985820">
      <w:r>
        <w:t xml:space="preserve">The null SNPs file must have one SNP identifier per line. Only the first column is used. The identifiers must be a subset of the identifiers in </w:t>
      </w:r>
      <w:r>
        <w:rPr>
          <w:rStyle w:val="VerbatimChar"/>
          <w:b/>
        </w:rPr>
        <w:t>--snp-intervals</w:t>
      </w:r>
      <w:r>
        <w:t>.</w:t>
      </w:r>
    </w:p>
    <w:p w:rsidR="004F35B4" w:rsidRDefault="00985820">
      <w:pPr>
        <w:pStyle w:val="SourceCode"/>
      </w:pPr>
      <w:r>
        <w:rPr>
          <w:rStyle w:val="VerbatimChar"/>
        </w:rPr>
        <w:t>zcat Lango2010.txt.gz | head</w:t>
      </w:r>
      <w:r>
        <w:br/>
      </w:r>
      <w:r>
        <w:br/>
      </w:r>
      <w:r>
        <w:rPr>
          <w:rStyle w:val="VerbatimChar"/>
        </w:rPr>
        <w:t>rs58108140  chr1    10583</w:t>
      </w:r>
      <w:r>
        <w:br/>
      </w:r>
      <w:r>
        <w:rPr>
          <w:rStyle w:val="VerbatimChar"/>
        </w:rPr>
        <w:t>rs180734498 chr1    133</w:t>
      </w:r>
      <w:r>
        <w:rPr>
          <w:rStyle w:val="VerbatimChar"/>
        </w:rPr>
        <w:t>02</w:t>
      </w:r>
      <w:r>
        <w:br/>
      </w:r>
      <w:r>
        <w:rPr>
          <w:rStyle w:val="VerbatimChar"/>
        </w:rPr>
        <w:t>rs140337953 chr1    30923</w:t>
      </w:r>
      <w:r>
        <w:br/>
      </w:r>
      <w:r>
        <w:rPr>
          <w:rStyle w:val="VerbatimChar"/>
        </w:rPr>
        <w:t>rs141149254 chr1    54490</w:t>
      </w:r>
      <w:r>
        <w:br/>
      </w:r>
      <w:r>
        <w:rPr>
          <w:rStyle w:val="VerbatimChar"/>
        </w:rPr>
        <w:t>rs2462492   chr1    54676</w:t>
      </w:r>
      <w:r>
        <w:br/>
      </w:r>
      <w:r>
        <w:rPr>
          <w:rStyle w:val="VerbatimChar"/>
        </w:rPr>
        <w:t>rs10399749  chr1    55299</w:t>
      </w:r>
      <w:r>
        <w:br/>
      </w:r>
      <w:r>
        <w:rPr>
          <w:rStyle w:val="VerbatimChar"/>
        </w:rPr>
        <w:t>rs189727433 chr1    57952</w:t>
      </w:r>
      <w:r>
        <w:br/>
      </w:r>
      <w:r>
        <w:rPr>
          <w:rStyle w:val="VerbatimChar"/>
        </w:rPr>
        <w:t>rs149755937 chr1    59040</w:t>
      </w:r>
      <w:r>
        <w:br/>
      </w:r>
      <w:r>
        <w:rPr>
          <w:rStyle w:val="VerbatimChar"/>
        </w:rPr>
        <w:t>rs77573425  chr1    61989</w:t>
      </w:r>
      <w:r>
        <w:br/>
      </w:r>
      <w:r>
        <w:rPr>
          <w:rStyle w:val="VerbatimChar"/>
        </w:rPr>
        <w:t>rs116440577 chr1    63671</w:t>
      </w:r>
    </w:p>
    <w:p w:rsidR="004F35B4" w:rsidRDefault="00985820">
      <w:pPr>
        <w:pStyle w:val="Heading2"/>
      </w:pPr>
      <w:bookmarkStart w:id="46" w:name="output-files"/>
      <w:r>
        <w:t>Output Files</w:t>
      </w:r>
    </w:p>
    <w:bookmarkEnd w:id="46"/>
    <w:p w:rsidR="004F35B4" w:rsidRDefault="00985820">
      <w:r>
        <w:t>The usage example shown above pr</w:t>
      </w:r>
      <w:r>
        <w:t>oduces the following output files:</w:t>
      </w:r>
    </w:p>
    <w:p w:rsidR="004F35B4" w:rsidRDefault="00985820">
      <w:pPr>
        <w:pStyle w:val="SourceCode"/>
      </w:pPr>
      <w:r>
        <w:rPr>
          <w:rStyle w:val="VerbatimChar"/>
        </w:rPr>
        <w:t>out/</w:t>
      </w:r>
      <w:r>
        <w:br/>
      </w:r>
      <w:r>
        <w:rPr>
          <w:rStyle w:val="VerbatimChar"/>
        </w:rPr>
        <w:t xml:space="preserve">    args.txt</w:t>
      </w:r>
      <w:r>
        <w:br/>
      </w:r>
      <w:r>
        <w:rPr>
          <w:rStyle w:val="VerbatimChar"/>
        </w:rPr>
        <w:t xml:space="preserve">    condition_pvalues.txt</w:t>
      </w:r>
      <w:r>
        <w:br/>
      </w:r>
      <w:r>
        <w:rPr>
          <w:rStyle w:val="VerbatimChar"/>
        </w:rPr>
        <w:t xml:space="preserve">    null_pvalues.txt</w:t>
      </w:r>
      <w:r>
        <w:br/>
      </w:r>
      <w:r>
        <w:rPr>
          <w:rStyle w:val="VerbatimChar"/>
        </w:rPr>
        <w:t xml:space="preserve">    snp_condition_scores.txt</w:t>
      </w:r>
      <w:r>
        <w:br/>
      </w:r>
      <w:r>
        <w:rPr>
          <w:rStyle w:val="VerbatimChar"/>
        </w:rPr>
        <w:t xml:space="preserve">    snp_genes.txt</w:t>
      </w:r>
    </w:p>
    <w:p w:rsidR="004F35B4" w:rsidRDefault="00985820">
      <w:pPr>
        <w:pStyle w:val="Heading3"/>
      </w:pPr>
      <w:bookmarkStart w:id="47" w:name="args.txt"/>
      <w:r>
        <w:rPr>
          <w:rStyle w:val="VerbatimChar"/>
        </w:rPr>
        <w:t>args.txt</w:t>
      </w:r>
    </w:p>
    <w:bookmarkEnd w:id="47"/>
    <w:p w:rsidR="004F35B4" w:rsidRDefault="00985820">
      <w:r>
        <w:t>The command line arguments needed to reproduce the analysis.</w:t>
      </w:r>
    </w:p>
    <w:p w:rsidR="004F35B4" w:rsidRDefault="00985820">
      <w:pPr>
        <w:pStyle w:val="SourceCode"/>
      </w:pPr>
      <w:r>
        <w:rPr>
          <w:rStyle w:val="VerbatimChar"/>
        </w:rPr>
        <w:t>cat args.txt</w:t>
      </w:r>
      <w:r>
        <w:br/>
      </w:r>
      <w:r>
        <w:br/>
      </w:r>
      <w:r>
        <w:rPr>
          <w:rStyle w:val="VerbatimChar"/>
        </w:rPr>
        <w:t># SNPsea v1.0.2</w:t>
      </w:r>
      <w:r>
        <w:br/>
      </w:r>
      <w:r>
        <w:rPr>
          <w:rStyle w:val="VerbatimChar"/>
        </w:rPr>
        <w:t xml:space="preserve">--snps   </w:t>
      </w:r>
      <w:r>
        <w:rPr>
          <w:rStyle w:val="VerbatimChar"/>
        </w:rPr>
        <w:t xml:space="preserve">          Red_blood_cell_count-Harst2012-45_SNPs.gwas</w:t>
      </w:r>
      <w:r>
        <w:br/>
      </w:r>
      <w:r>
        <w:rPr>
          <w:rStyle w:val="VerbatimChar"/>
        </w:rPr>
        <w:t>--gene-matrix      GeneAtlas2004.gct.gz</w:t>
      </w:r>
      <w:r>
        <w:br/>
      </w:r>
      <w:r>
        <w:rPr>
          <w:rStyle w:val="VerbatimChar"/>
        </w:rPr>
        <w:t>--gene-intervals   NCBIgenes2013.bed.gz</w:t>
      </w:r>
      <w:r>
        <w:br/>
      </w:r>
      <w:r>
        <w:rPr>
          <w:rStyle w:val="VerbatimChar"/>
        </w:rPr>
        <w:t>--snp-intervals    TGP2011.bed.gz</w:t>
      </w:r>
      <w:r>
        <w:br/>
      </w:r>
      <w:r>
        <w:rPr>
          <w:rStyle w:val="VerbatimChar"/>
        </w:rPr>
        <w:t>--null-snps        Lango2010.txt.gz</w:t>
      </w:r>
      <w:r>
        <w:br/>
      </w:r>
      <w:r>
        <w:rPr>
          <w:rStyle w:val="VerbatimChar"/>
        </w:rPr>
        <w:t>--out              out</w:t>
      </w:r>
      <w:r>
        <w:br/>
      </w:r>
      <w:r>
        <w:rPr>
          <w:rStyle w:val="VerbatimChar"/>
        </w:rPr>
        <w:t>--score            single</w:t>
      </w:r>
      <w:r>
        <w:br/>
      </w:r>
      <w:r>
        <w:rPr>
          <w:rStyle w:val="VerbatimChar"/>
        </w:rPr>
        <w:t>--slop             100000</w:t>
      </w:r>
      <w:r>
        <w:br/>
      </w:r>
      <w:r>
        <w:rPr>
          <w:rStyle w:val="VerbatimChar"/>
        </w:rPr>
        <w:t>--threads          8</w:t>
      </w:r>
      <w:r>
        <w:br/>
      </w:r>
      <w:r>
        <w:rPr>
          <w:rStyle w:val="VerbatimChar"/>
        </w:rPr>
        <w:t>--null-snpsets     0</w:t>
      </w:r>
      <w:r>
        <w:br/>
      </w:r>
      <w:r>
        <w:rPr>
          <w:rStyle w:val="VerbatimChar"/>
        </w:rPr>
        <w:t>--min-observations 100</w:t>
      </w:r>
      <w:r>
        <w:br/>
      </w:r>
      <w:r>
        <w:rPr>
          <w:rStyle w:val="VerbatimChar"/>
        </w:rPr>
        <w:t>--max-iterations   10000000</w:t>
      </w:r>
    </w:p>
    <w:p w:rsidR="004F35B4" w:rsidRDefault="00985820">
      <w:r>
        <w:t>Repeat the analysis:</w:t>
      </w:r>
    </w:p>
    <w:p w:rsidR="004F35B4" w:rsidRDefault="00985820">
      <w:pPr>
        <w:pStyle w:val="SourceCode"/>
      </w:pPr>
      <w:r>
        <w:rPr>
          <w:rStyle w:val="VerbatimChar"/>
        </w:rPr>
        <w:t>snpsea --args args.txt</w:t>
      </w:r>
    </w:p>
    <w:p w:rsidR="004F35B4" w:rsidRDefault="00985820">
      <w:pPr>
        <w:pStyle w:val="Heading3"/>
      </w:pPr>
      <w:bookmarkStart w:id="48" w:name="condition_pvalues.txt"/>
      <w:r>
        <w:rPr>
          <w:rStyle w:val="VerbatimChar"/>
        </w:rPr>
        <w:t>condition_pvalues.txt</w:t>
      </w:r>
    </w:p>
    <w:bookmarkEnd w:id="48"/>
    <w:p w:rsidR="004F35B4" w:rsidRDefault="00985820">
      <w:r>
        <w:t>The p-values representing enrichment of condition-specificity for the given SNPs.</w:t>
      </w:r>
    </w:p>
    <w:p w:rsidR="004F35B4" w:rsidRDefault="00985820">
      <w:pPr>
        <w:pStyle w:val="SourceCode"/>
      </w:pPr>
      <w:r>
        <w:rPr>
          <w:rStyle w:val="VerbatimChar"/>
        </w:rPr>
        <w:t>head condition_pvalues.txt | column -t</w:t>
      </w:r>
      <w:r>
        <w:br/>
      </w:r>
      <w:r>
        <w:br/>
      </w:r>
      <w:r>
        <w:rPr>
          <w:rStyle w:val="VerbatimChar"/>
        </w:rPr>
        <w:t>condition                  pvalue     nulls_observed  nulls_tested</w:t>
      </w:r>
      <w:r>
        <w:br/>
      </w:r>
      <w:r>
        <w:rPr>
          <w:rStyle w:val="VerbatimChar"/>
        </w:rPr>
        <w:t>Colorectal_Adenocarcinoma  0.933555   280             300</w:t>
      </w:r>
      <w:r>
        <w:br/>
      </w:r>
      <w:r>
        <w:rPr>
          <w:rStyle w:val="VerbatimChar"/>
        </w:rPr>
        <w:t>Whole_Blo</w:t>
      </w:r>
      <w:r>
        <w:rPr>
          <w:rStyle w:val="VerbatimChar"/>
        </w:rPr>
        <w:t>od                0.521595   156             300</w:t>
      </w:r>
      <w:r>
        <w:br/>
      </w:r>
      <w:r>
        <w:rPr>
          <w:rStyle w:val="VerbatimChar"/>
        </w:rPr>
        <w:t>BM-CD33+Myeloid            0.159772   111             700</w:t>
      </w:r>
      <w:r>
        <w:br/>
      </w:r>
      <w:r>
        <w:rPr>
          <w:rStyle w:val="VerbatimChar"/>
        </w:rPr>
        <w:t>PB-CD14+Monocytes          0.103264   154             1500</w:t>
      </w:r>
      <w:r>
        <w:br/>
      </w:r>
      <w:r>
        <w:rPr>
          <w:rStyle w:val="VerbatimChar"/>
        </w:rPr>
        <w:t>PB-BDCA4+Dentritic_cells   0.0606256  187             3100</w:t>
      </w:r>
      <w:r>
        <w:br/>
      </w:r>
      <w:r>
        <w:rPr>
          <w:rStyle w:val="VerbatimChar"/>
        </w:rPr>
        <w:t>PB-CD56+NK_cells           0.19</w:t>
      </w:r>
      <w:r>
        <w:rPr>
          <w:rStyle w:val="VerbatimChar"/>
        </w:rPr>
        <w:t>4009   135             700</w:t>
      </w:r>
      <w:r>
        <w:br/>
      </w:r>
      <w:r>
        <w:rPr>
          <w:rStyle w:val="VerbatimChar"/>
        </w:rPr>
        <w:t>PB-CD4+T_cells             0.428571   128             300</w:t>
      </w:r>
      <w:r>
        <w:br/>
      </w:r>
      <w:r>
        <w:rPr>
          <w:rStyle w:val="VerbatimChar"/>
        </w:rPr>
        <w:t>PB-CD8+T_cells             0.531561   159             300</w:t>
      </w:r>
      <w:r>
        <w:br/>
      </w:r>
      <w:r>
        <w:rPr>
          <w:rStyle w:val="VerbatimChar"/>
        </w:rPr>
        <w:t>PB-CD19+B_cells            0.226819   158             700</w:t>
      </w:r>
    </w:p>
    <w:p w:rsidR="004F35B4" w:rsidRDefault="00985820">
      <w:pPr>
        <w:pStyle w:val="Heading3"/>
      </w:pPr>
      <w:bookmarkStart w:id="49" w:name="null_pvalues.txt"/>
      <w:r>
        <w:rPr>
          <w:rStyle w:val="VerbatimChar"/>
        </w:rPr>
        <w:t>null_pvalues.txt</w:t>
      </w:r>
    </w:p>
    <w:bookmarkEnd w:id="49"/>
    <w:p w:rsidR="004F35B4" w:rsidRDefault="00985820">
      <w:r>
        <w:t xml:space="preserve">If the argument for </w:t>
      </w:r>
      <w:r>
        <w:rPr>
          <w:rStyle w:val="VerbatimChar"/>
          <w:b/>
        </w:rPr>
        <w:t>--snps</w:t>
      </w:r>
      <w:r>
        <w:t xml:space="preserve"> is the name</w:t>
      </w:r>
      <w:r>
        <w:t xml:space="preserve"> of a file, the p-values for null matched SNP sets. You can compare these null results to the results for your trait-associated SNPs.</w:t>
      </w:r>
    </w:p>
    <w:p w:rsidR="004F35B4" w:rsidRDefault="00985820">
      <w:r>
        <w:t xml:space="preserve">If the argument for </w:t>
      </w:r>
      <w:r>
        <w:rPr>
          <w:rStyle w:val="VerbatimChar"/>
          <w:b/>
        </w:rPr>
        <w:t>--snps</w:t>
      </w:r>
      <w:r>
        <w:t xml:space="preserve"> is "randomN" where N is some integer, like "random20" the p-values for random unmatched SNP set</w:t>
      </w:r>
      <w:r>
        <w:t>s, each with N SNPs.</w:t>
      </w:r>
    </w:p>
    <w:p w:rsidR="004F35B4" w:rsidRDefault="00985820">
      <w:r>
        <w:t xml:space="preserve">The fifth column is the replicate index. The number of replicates performed is specified with </w:t>
      </w:r>
      <w:r>
        <w:rPr>
          <w:rStyle w:val="VerbatimChar"/>
          <w:b/>
        </w:rPr>
        <w:t>--null-snpsets INT</w:t>
      </w:r>
      <w:r>
        <w:t>.</w:t>
      </w:r>
    </w:p>
    <w:p w:rsidR="004F35B4" w:rsidRDefault="00985820">
      <w:pPr>
        <w:pStyle w:val="SourceCode"/>
      </w:pPr>
      <w:r>
        <w:rPr>
          <w:rStyle w:val="VerbatimChar"/>
        </w:rPr>
        <w:t>head null_pvalues.txt | column -t</w:t>
      </w:r>
      <w:r>
        <w:br/>
      </w:r>
      <w:r>
        <w:br/>
      </w:r>
      <w:r>
        <w:rPr>
          <w:rStyle w:val="VerbatimChar"/>
        </w:rPr>
        <w:t>ColorectalAdenocarcinoma  0.056     84   1500  0</w:t>
      </w:r>
      <w:r>
        <w:br/>
      </w:r>
      <w:r>
        <w:rPr>
          <w:rStyle w:val="VerbatimChar"/>
        </w:rPr>
        <w:t>WholeBlood                0.236667  7</w:t>
      </w:r>
      <w:r>
        <w:rPr>
          <w:rStyle w:val="VerbatimChar"/>
        </w:rPr>
        <w:t>1   300   0</w:t>
      </w:r>
      <w:r>
        <w:br/>
      </w:r>
      <w:r>
        <w:rPr>
          <w:rStyle w:val="VerbatimChar"/>
        </w:rPr>
        <w:t>BM-CD33+Myeloid           0.55      55   100   0</w:t>
      </w:r>
      <w:r>
        <w:br/>
      </w:r>
      <w:r>
        <w:rPr>
          <w:rStyle w:val="VerbatimChar"/>
        </w:rPr>
        <w:t>PB-CD14+Monocytes         0.59      59   100   0</w:t>
      </w:r>
      <w:r>
        <w:br/>
      </w:r>
      <w:r>
        <w:rPr>
          <w:rStyle w:val="VerbatimChar"/>
        </w:rPr>
        <w:t>PB-BDCA4+Dentritic_Cells  0.59      59   100   0</w:t>
      </w:r>
      <w:r>
        <w:br/>
      </w:r>
      <w:r>
        <w:rPr>
          <w:rStyle w:val="VerbatimChar"/>
        </w:rPr>
        <w:t>PB-CD56+NKCells           0.71      71   100   0</w:t>
      </w:r>
      <w:r>
        <w:br/>
      </w:r>
      <w:r>
        <w:rPr>
          <w:rStyle w:val="VerbatimChar"/>
        </w:rPr>
        <w:t>PB-CD4+Tcells             0.383333  115  300   0</w:t>
      </w:r>
      <w:r>
        <w:br/>
      </w:r>
      <w:r>
        <w:rPr>
          <w:rStyle w:val="VerbatimChar"/>
        </w:rPr>
        <w:t>PB-CD8+Tcells             0.128571  90   700   0</w:t>
      </w:r>
      <w:r>
        <w:br/>
      </w:r>
      <w:r>
        <w:rPr>
          <w:rStyle w:val="VerbatimChar"/>
        </w:rPr>
        <w:t>PB-CD19+Bcells            0.168571  118  700   0</w:t>
      </w:r>
      <w:r>
        <w:br/>
      </w:r>
      <w:r>
        <w:rPr>
          <w:rStyle w:val="VerbatimChar"/>
        </w:rPr>
        <w:t>BM-CD105+Endothelial      0.386667  116  300   0</w:t>
      </w:r>
    </w:p>
    <w:p w:rsidR="004F35B4" w:rsidRDefault="00985820">
      <w:pPr>
        <w:pStyle w:val="Heading3"/>
      </w:pPr>
      <w:bookmarkStart w:id="50" w:name="snp_genes.txt"/>
      <w:r>
        <w:rPr>
          <w:rStyle w:val="VerbatimChar"/>
        </w:rPr>
        <w:t>snp_genes.txt</w:t>
      </w:r>
    </w:p>
    <w:bookmarkEnd w:id="50"/>
    <w:p w:rsidR="004F35B4" w:rsidRDefault="00985820">
      <w:r>
        <w:t>Each SNP's linkage interval and overlapping genes. If a SNP is not found in the reference file</w:t>
      </w:r>
      <w:r>
        <w:t xml:space="preserve"> specified with </w:t>
      </w:r>
      <w:r>
        <w:rPr>
          <w:rStyle w:val="VerbatimChar"/>
          <w:b/>
        </w:rPr>
        <w:t>--snp-intervals</w:t>
      </w:r>
      <w:r>
        <w:t xml:space="preserve">, then the name of the SNP will be listed and the other columns will contain </w:t>
      </w:r>
      <w:r>
        <w:rPr>
          <w:rStyle w:val="VerbatimChar"/>
        </w:rPr>
        <w:t>NA</w:t>
      </w:r>
      <w:r>
        <w:t>.</w:t>
      </w:r>
    </w:p>
    <w:p w:rsidR="004F35B4" w:rsidRDefault="00985820">
      <w:pPr>
        <w:pStyle w:val="SourceCode"/>
      </w:pPr>
      <w:r>
        <w:rPr>
          <w:rStyle w:val="VerbatimChar"/>
        </w:rPr>
        <w:t>head snp_genes.txt | column -t</w:t>
      </w:r>
      <w:r>
        <w:br/>
      </w:r>
      <w:r>
        <w:br/>
      </w:r>
      <w:r>
        <w:rPr>
          <w:rStyle w:val="VerbatimChar"/>
        </w:rPr>
        <w:t>chrom  start      end        snp         n_genes  genes</w:t>
      </w:r>
      <w:r>
        <w:br/>
      </w:r>
      <w:r>
        <w:rPr>
          <w:rStyle w:val="VerbatimChar"/>
        </w:rPr>
        <w:t>chr4   55364224   55408999   rs218238    0        NA</w:t>
      </w:r>
      <w:r>
        <w:br/>
      </w:r>
      <w:r>
        <w:rPr>
          <w:rStyle w:val="VerbatimChar"/>
        </w:rPr>
        <w:t>chr</w:t>
      </w:r>
      <w:r>
        <w:rPr>
          <w:rStyle w:val="VerbatimChar"/>
        </w:rPr>
        <w:t>6   139827777  139844854  rs590856    0        NA</w:t>
      </w:r>
      <w:r>
        <w:br/>
      </w:r>
      <w:r>
        <w:rPr>
          <w:rStyle w:val="VerbatimChar"/>
        </w:rPr>
        <w:t>NA     NA         NA         rs99999999  NA       NA</w:t>
      </w:r>
      <w:r>
        <w:br/>
      </w:r>
      <w:r>
        <w:rPr>
          <w:rStyle w:val="VerbatimChar"/>
        </w:rPr>
        <w:t>chr6   109505894  109651220  rs1008084   2        8763,27244</w:t>
      </w:r>
      <w:r>
        <w:br/>
      </w:r>
      <w:r>
        <w:rPr>
          <w:rStyle w:val="VerbatimChar"/>
        </w:rPr>
        <w:t>chr10  71089843   71131638   rs10159477  1        3098</w:t>
      </w:r>
      <w:r>
        <w:br/>
      </w:r>
      <w:r>
        <w:rPr>
          <w:rStyle w:val="VerbatimChar"/>
        </w:rPr>
        <w:t>chr2   111807303  111856057  rs10207392  1        55289</w:t>
      </w:r>
      <w:r>
        <w:br/>
      </w:r>
      <w:r>
        <w:rPr>
          <w:rStyle w:val="VerbatimChar"/>
        </w:rPr>
        <w:t>chr16  88831494   88903796   rs10445033  4        353,2588,9780,81620</w:t>
      </w:r>
      <w:r>
        <w:br/>
      </w:r>
      <w:r>
        <w:rPr>
          <w:rStyle w:val="VerbatimChar"/>
        </w:rPr>
        <w:t>chr7   151396253  151417368  rs10480300  1        51422</w:t>
      </w:r>
      <w:r>
        <w:br/>
      </w:r>
      <w:r>
        <w:rPr>
          <w:rStyle w:val="VerbatimChar"/>
        </w:rPr>
        <w:t>chr12  4320955    4336783    rs10849023  2        894,57103</w:t>
      </w:r>
      <w:r>
        <w:br/>
      </w:r>
      <w:r>
        <w:rPr>
          <w:rStyle w:val="VerbatimChar"/>
        </w:rPr>
        <w:t>chr15  7612964</w:t>
      </w:r>
      <w:r>
        <w:rPr>
          <w:rStyle w:val="VerbatimChar"/>
        </w:rPr>
        <w:t>2   76397903   rs11072566  4        26263,92912,123591,145957</w:t>
      </w:r>
    </w:p>
    <w:p w:rsidR="004F35B4" w:rsidRDefault="00985820">
      <w:pPr>
        <w:pStyle w:val="Heading3"/>
      </w:pPr>
      <w:bookmarkStart w:id="51" w:name="snp_condition_scores.txt"/>
      <w:r>
        <w:rPr>
          <w:rStyle w:val="VerbatimChar"/>
        </w:rPr>
        <w:t>snp_condition_scores.txt</w:t>
      </w:r>
    </w:p>
    <w:bookmarkEnd w:id="51"/>
    <w:p w:rsidR="004F35B4" w:rsidRDefault="00985820">
      <w:r>
        <w:t>Each SNP, condition, gene with greatest specificity to that condition, and score for the SNP-condition pair, adjusted for the number of genes overlapping the given SNP's</w:t>
      </w:r>
      <w:r>
        <w:t xml:space="preserve"> linkage interval.</w:t>
      </w:r>
    </w:p>
    <w:p w:rsidR="004F35B4" w:rsidRDefault="00985820">
      <w:pPr>
        <w:pStyle w:val="SourceCode"/>
      </w:pPr>
      <w:r>
        <w:rPr>
          <w:rStyle w:val="VerbatimChar"/>
        </w:rPr>
        <w:t>head snp_condition_scores.txt | column -t</w:t>
      </w:r>
      <w:r>
        <w:br/>
      </w:r>
      <w:r>
        <w:br/>
      </w:r>
      <w:r>
        <w:rPr>
          <w:rStyle w:val="VerbatimChar"/>
        </w:rPr>
        <w:t>snp        condition                  gene   score</w:t>
      </w:r>
      <w:r>
        <w:br/>
      </w:r>
      <w:r>
        <w:rPr>
          <w:rStyle w:val="VerbatimChar"/>
        </w:rPr>
        <w:t>rs9349204  Colorectal_Adenocarcinoma  10817  0.693027</w:t>
      </w:r>
      <w:r>
        <w:br/>
      </w:r>
      <w:r>
        <w:rPr>
          <w:rStyle w:val="VerbatimChar"/>
        </w:rPr>
        <w:t>rs9349204  Whole_Blood                896    0.285864</w:t>
      </w:r>
      <w:r>
        <w:br/>
      </w:r>
      <w:r>
        <w:rPr>
          <w:rStyle w:val="VerbatimChar"/>
        </w:rPr>
        <w:t xml:space="preserve">rs9349204  BM-CD33+Myeloid         </w:t>
      </w:r>
      <w:r>
        <w:rPr>
          <w:rStyle w:val="VerbatimChar"/>
        </w:rPr>
        <w:t xml:space="preserve">   896    0.236487</w:t>
      </w:r>
      <w:r>
        <w:br/>
      </w:r>
      <w:r>
        <w:rPr>
          <w:rStyle w:val="VerbatimChar"/>
        </w:rPr>
        <w:t>rs9349204  PB-CD14+Monocytes          29964  0.340561</w:t>
      </w:r>
      <w:r>
        <w:br/>
      </w:r>
      <w:r>
        <w:rPr>
          <w:rStyle w:val="VerbatimChar"/>
        </w:rPr>
        <w:t>rs9349204  PB-BDCA4+Dentritic_cells   29964  0.411727</w:t>
      </w:r>
      <w:r>
        <w:br/>
      </w:r>
      <w:r>
        <w:rPr>
          <w:rStyle w:val="VerbatimChar"/>
        </w:rPr>
        <w:t>rs9349204  PB-CD56+NK_cells           896    0.0356897</w:t>
      </w:r>
      <w:r>
        <w:br/>
      </w:r>
      <w:r>
        <w:rPr>
          <w:rStyle w:val="VerbatimChar"/>
        </w:rPr>
        <w:t>rs9349204  PB-CD4+T_cells             896    0.38182</w:t>
      </w:r>
      <w:r>
        <w:br/>
      </w:r>
      <w:r>
        <w:rPr>
          <w:rStyle w:val="VerbatimChar"/>
        </w:rPr>
        <w:t>rs9349204  PB-CD8+T_c</w:t>
      </w:r>
      <w:r>
        <w:rPr>
          <w:rStyle w:val="VerbatimChar"/>
        </w:rPr>
        <w:t>ells             896    0.332008</w:t>
      </w:r>
      <w:r>
        <w:br/>
      </w:r>
      <w:r>
        <w:rPr>
          <w:rStyle w:val="VerbatimChar"/>
        </w:rPr>
        <w:t>rs9349204  PB-CD19+B_cells            29964  0.255196</w:t>
      </w:r>
    </w:p>
    <w:p w:rsidR="004F35B4" w:rsidRDefault="00985820">
      <w:pPr>
        <w:pStyle w:val="Heading2"/>
      </w:pPr>
      <w:bookmarkStart w:id="52" w:name="output-visualizations"/>
      <w:r>
        <w:t>Output Visualizations</w:t>
      </w:r>
    </w:p>
    <w:p w:rsidR="004F35B4" w:rsidRDefault="00985820">
      <w:pPr>
        <w:pStyle w:val="Heading3"/>
      </w:pPr>
      <w:bookmarkStart w:id="53" w:name="view-enrichment-of-tissue-specific-gene-"/>
      <w:bookmarkEnd w:id="52"/>
      <w:r>
        <w:t>View enrichment of tissue-specific gene expression</w:t>
      </w:r>
    </w:p>
    <w:bookmarkEnd w:id="53"/>
    <w:p w:rsidR="004F35B4" w:rsidRDefault="00985820">
      <w:r>
        <w:rPr>
          <w:noProof/>
        </w:rPr>
        <w:drawing>
          <wp:inline distT="0" distB="0" distL="0" distR="0">
            <wp:extent cx="2582771" cy="170342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Red_blood_cell_count-Harst2012-45_SNPs-GeneAtlas2004-single-pvalues_barplot.png"/>
                    <pic:cNvPicPr>
                      <a:picLocks noChangeAspect="1" noChangeArrowheads="1"/>
                    </pic:cNvPicPr>
                  </pic:nvPicPr>
                  <pic:blipFill>
                    <a:blip r:embed="rId49"/>
                    <a:stretch>
                      <a:fillRect/>
                    </a:stretch>
                  </pic:blipFill>
                  <pic:spPr bwMode="auto">
                    <a:xfrm>
                      <a:off x="0" y="0"/>
                      <a:ext cx="2582771" cy="1703423"/>
                    </a:xfrm>
                    <a:prstGeom prst="rect">
                      <a:avLst/>
                    </a:prstGeom>
                    <a:noFill/>
                    <a:ln w="9525">
                      <a:noFill/>
                      <a:headEnd/>
                      <a:tailEnd/>
                    </a:ln>
                  </pic:spPr>
                </pic:pic>
              </a:graphicData>
            </a:graphic>
          </wp:inline>
        </w:drawing>
      </w:r>
    </w:p>
    <w:p w:rsidR="004F35B4" w:rsidRDefault="00985820">
      <w:r>
        <w:t>A horizontal bar plot of negative log10 p-values for a test of 37 LDL-associated SNPs for enri</w:t>
      </w:r>
      <w:r>
        <w:t>chment of tissue-specific expression in profiles of 79 human tissues.</w:t>
      </w:r>
    </w:p>
    <w:p w:rsidR="004F35B4" w:rsidRDefault="00985820">
      <w:pPr>
        <w:pStyle w:val="SourceCode"/>
      </w:pPr>
      <w:r>
        <w:rPr>
          <w:rStyle w:val="KeywordTok"/>
        </w:rPr>
        <w:t>python</w:t>
      </w:r>
      <w:r>
        <w:rPr>
          <w:rStyle w:val="NormalTok"/>
        </w:rPr>
        <w:t xml:space="preserve"> bin/snpsea-barplot out</w:t>
      </w:r>
    </w:p>
    <w:p w:rsidR="004F35B4" w:rsidRDefault="00985820">
      <w:pPr>
        <w:pStyle w:val="Heading3"/>
      </w:pPr>
      <w:bookmarkStart w:id="54" w:name="view-the-most-specifically-expressed-gen"/>
      <w:r>
        <w:t>View the most specifically expressed gene for each SNP-tissue pair</w:t>
      </w:r>
    </w:p>
    <w:bookmarkEnd w:id="54"/>
    <w:p w:rsidR="004F35B4" w:rsidRDefault="00985820">
      <w:r>
        <w:rPr>
          <w:noProof/>
        </w:rPr>
        <w:drawing>
          <wp:inline distT="0" distB="0" distL="0" distR="0">
            <wp:extent cx="4457038" cy="47987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Red_blood_cell_count-Harst2012-45_SNPs-GeneAtlas2004-single-snp_condition_heatmap.png"/>
                    <pic:cNvPicPr>
                      <a:picLocks noChangeAspect="1" noChangeArrowheads="1"/>
                    </pic:cNvPicPr>
                  </pic:nvPicPr>
                  <pic:blipFill>
                    <a:blip r:embed="rId50"/>
                    <a:stretch>
                      <a:fillRect/>
                    </a:stretch>
                  </pic:blipFill>
                  <pic:spPr bwMode="auto">
                    <a:xfrm>
                      <a:off x="0" y="0"/>
                      <a:ext cx="4457038" cy="479873"/>
                    </a:xfrm>
                    <a:prstGeom prst="rect">
                      <a:avLst/>
                    </a:prstGeom>
                    <a:noFill/>
                    <a:ln w="9525">
                      <a:noFill/>
                      <a:headEnd/>
                      <a:tailEnd/>
                    </a:ln>
                  </pic:spPr>
                </pic:pic>
              </a:graphicData>
            </a:graphic>
          </wp:inline>
        </w:drawing>
      </w:r>
    </w:p>
    <w:p w:rsidR="004F35B4" w:rsidRDefault="00985820">
      <w:r>
        <w:t>A heatmap exposing the contributions of specifically expressed genes within each SNP li</w:t>
      </w:r>
      <w:r>
        <w:t>nkage interval to the specificity scores of each tissue.</w:t>
      </w:r>
    </w:p>
    <w:p w:rsidR="004F35B4" w:rsidRDefault="00985820">
      <w:pPr>
        <w:pStyle w:val="SourceCode"/>
      </w:pPr>
      <w:r>
        <w:rPr>
          <w:rStyle w:val="KeywordTok"/>
        </w:rPr>
        <w:t>python</w:t>
      </w:r>
      <w:r>
        <w:rPr>
          <w:rStyle w:val="NormalTok"/>
        </w:rPr>
        <w:t xml:space="preserve"> bin/snpsea-heatmap out</w:t>
      </w:r>
    </w:p>
    <w:p w:rsidR="004F35B4" w:rsidRDefault="00985820">
      <w:pPr>
        <w:pStyle w:val="Heading3"/>
      </w:pPr>
      <w:bookmarkStart w:id="55" w:name="view-the-type-1-error-rate-estimates-for"/>
      <w:r>
        <w:t>View the type 1 error rate estimates for each tissue</w:t>
      </w:r>
    </w:p>
    <w:bookmarkEnd w:id="55"/>
    <w:p w:rsidR="004F35B4" w:rsidRDefault="00985820">
      <w:r>
        <w:rPr>
          <w:noProof/>
        </w:rPr>
        <w:drawing>
          <wp:inline distT="0" distB="0" distL="0" distR="0">
            <wp:extent cx="1645637" cy="139439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type1error_GeneAtlas2004.png"/>
                    <pic:cNvPicPr>
                      <a:picLocks noChangeAspect="1" noChangeArrowheads="1"/>
                    </pic:cNvPicPr>
                  </pic:nvPicPr>
                  <pic:blipFill>
                    <a:blip r:embed="rId51"/>
                    <a:stretch>
                      <a:fillRect/>
                    </a:stretch>
                  </pic:blipFill>
                  <pic:spPr bwMode="auto">
                    <a:xfrm>
                      <a:off x="0" y="0"/>
                      <a:ext cx="1645637" cy="1394395"/>
                    </a:xfrm>
                    <a:prstGeom prst="rect">
                      <a:avLst/>
                    </a:prstGeom>
                    <a:noFill/>
                    <a:ln w="9525">
                      <a:noFill/>
                      <a:headEnd/>
                      <a:tailEnd/>
                    </a:ln>
                  </pic:spPr>
                </pic:pic>
              </a:graphicData>
            </a:graphic>
          </wp:inline>
        </w:drawing>
      </w:r>
    </w:p>
    <w:p w:rsidR="004F35B4" w:rsidRDefault="00985820">
      <w:r>
        <w:t>A scatter plot of the observed proportion of p-values under various thresholds after repeating the analysis with 1</w:t>
      </w:r>
      <w:r>
        <w:t>0,000 random SNP sets.</w:t>
      </w:r>
    </w:p>
    <w:p w:rsidR="004F35B4" w:rsidRDefault="00985820">
      <w:pPr>
        <w:pStyle w:val="SourceCode"/>
      </w:pPr>
      <w:r>
        <w:rPr>
          <w:rStyle w:val="KeywordTok"/>
        </w:rPr>
        <w:t>Rscript</w:t>
      </w:r>
      <w:r>
        <w:rPr>
          <w:rStyle w:val="NormalTok"/>
        </w:rPr>
        <w:t xml:space="preserve"> bin/snpsea-type1error out</w:t>
      </w:r>
    </w:p>
    <w:p w:rsidR="004F35B4" w:rsidRDefault="00985820">
      <w:pPr>
        <w:pStyle w:val="Heading1"/>
      </w:pPr>
      <w:bookmarkStart w:id="56" w:name="supplementary-figures"/>
      <w:r>
        <w:t>Supplementary Figures</w:t>
      </w:r>
    </w:p>
    <w:p w:rsidR="004F35B4" w:rsidRDefault="00985820">
      <w:pPr>
        <w:pStyle w:val="Heading4"/>
      </w:pPr>
      <w:bookmarkStart w:id="57" w:name="supplementary-figure-1-determining-snp-l"/>
      <w:bookmarkEnd w:id="56"/>
      <w:r>
        <w:t>Supplementary Figure 1: Determining SNP linkage intervals</w:t>
      </w:r>
    </w:p>
    <w:bookmarkEnd w:id="57"/>
    <w:p w:rsidR="004F35B4" w:rsidRDefault="00985820">
      <w:r>
        <w:rPr>
          <w:noProof/>
        </w:rPr>
        <w:drawing>
          <wp:inline distT="0" distB="0" distL="0" distR="0">
            <wp:extent cx="1778795" cy="130646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snp_linkage_intervals.png"/>
                    <pic:cNvPicPr>
                      <a:picLocks noChangeAspect="1" noChangeArrowheads="1"/>
                    </pic:cNvPicPr>
                  </pic:nvPicPr>
                  <pic:blipFill>
                    <a:blip r:embed="rId52"/>
                    <a:stretch>
                      <a:fillRect/>
                    </a:stretch>
                  </pic:blipFill>
                  <pic:spPr bwMode="auto">
                    <a:xfrm>
                      <a:off x="0" y="0"/>
                      <a:ext cx="1778795" cy="1306460"/>
                    </a:xfrm>
                    <a:prstGeom prst="rect">
                      <a:avLst/>
                    </a:prstGeom>
                    <a:noFill/>
                    <a:ln w="9525">
                      <a:noFill/>
                      <a:headEnd/>
                      <a:tailEnd/>
                    </a:ln>
                  </pic:spPr>
                </pic:pic>
              </a:graphicData>
            </a:graphic>
          </wp:inline>
        </w:drawing>
      </w:r>
    </w:p>
    <w:p w:rsidR="004F35B4" w:rsidRDefault="00985820">
      <w:r>
        <w:t xml:space="preserve">We calculated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w:r>
        <w:t>values for all pairs of SNPs within a 1 Mb sliding window along each chromosome. Next, we assigned each of the SNPs from The 1000 Genomes Project Phase I (1000 Genomes Consortium 2012) to a linkage interval by identifying each SNP’s furthest upstream and d</w:t>
      </w:r>
      <w:r>
        <w:t xml:space="preserve">ownstream neighbors with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≥0.5</m:t>
        </m:r>
      </m:oMath>
      <w:r>
        <w:t xml:space="preserve">. Finally, we extended each interval to recombination hotspots reported by HapMap (Myers </w:t>
      </w:r>
      <w:r>
        <w:rPr>
          <w:i/>
        </w:rPr>
        <w:t>et al.</w:t>
      </w:r>
      <w:r>
        <w:t xml:space="preserve"> 2005) with recombination rate &gt;3 cM/Mb.</w:t>
      </w:r>
    </w:p>
    <w:p w:rsidR="004F35B4" w:rsidRDefault="00985820">
      <w:pPr>
        <w:pStyle w:val="Heading4"/>
      </w:pPr>
      <w:bookmarkStart w:id="58" w:name="supplementary-figure-2-counting-genes-in"/>
      <w:r>
        <w:t>Supplementary Figure 2: Counting genes in GWAS SNP linkage intervals</w:t>
      </w:r>
    </w:p>
    <w:bookmarkEnd w:id="58"/>
    <w:p w:rsidR="004F35B4" w:rsidRDefault="00985820">
      <w:r>
        <w:rPr>
          <w:noProof/>
        </w:rPr>
        <w:drawing>
          <wp:inline distT="0" distB="0" distL="0" distR="0">
            <wp:extent cx="1708448" cy="110546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ures/gwas_ngenes.png"/>
                    <pic:cNvPicPr>
                      <a:picLocks noChangeAspect="1" noChangeArrowheads="1"/>
                    </pic:cNvPicPr>
                  </pic:nvPicPr>
                  <pic:blipFill>
                    <a:blip r:embed="rId53"/>
                    <a:stretch>
                      <a:fillRect/>
                    </a:stretch>
                  </pic:blipFill>
                  <pic:spPr bwMode="auto">
                    <a:xfrm>
                      <a:off x="0" y="0"/>
                      <a:ext cx="1708448" cy="1105466"/>
                    </a:xfrm>
                    <a:prstGeom prst="rect">
                      <a:avLst/>
                    </a:prstGeom>
                    <a:noFill/>
                    <a:ln w="9525">
                      <a:noFill/>
                      <a:headEnd/>
                      <a:tailEnd/>
                    </a:ln>
                  </pic:spPr>
                </pic:pic>
              </a:graphicData>
            </a:graphic>
          </wp:inline>
        </w:drawing>
      </w:r>
    </w:p>
    <w:p w:rsidR="004F35B4" w:rsidRDefault="00985820">
      <w:r>
        <w:t>A cumulative density plot of the number of genes overlapped by the linkage intervals of GWAS SNPs. We downloaded the GWAS Catalog SNPs on January 17, 2014 and selected the 11,561 SNPs present in the 1000 Genomes Project (1000 Genomes Consortium 2012). Of t</w:t>
      </w:r>
      <w:r>
        <w:t>hese SNPs, 2,119 (18%) of them have linkage disequilibrium (LD) intervals that overlap no genes, and 3,756 (32%) overlap a single gene. The remaining 50% of SNPs overlap 2 or more genes. This illustrates the critical issue that many SNPs implicate more tha</w:t>
      </w:r>
      <w:r>
        <w:t>n one gene.</w:t>
      </w:r>
    </w:p>
    <w:p w:rsidR="004F35B4" w:rsidRDefault="00985820">
      <w:pPr>
        <w:pStyle w:val="Heading4"/>
      </w:pPr>
      <w:bookmarkStart w:id="59" w:name="supplementary-figure-3-choosing-the-r2-t"/>
      <w:r>
        <w:t xml:space="preserve">Supplementary Figure 3: Choosing the </w:t>
      </w:r>
      <m:oMath>
        <m:sSup>
          <m:sSupPr>
            <m:ctrlPr>
              <w:rPr>
                <w:rFonts w:ascii="Cambria Math" w:hAnsi="Cambria Math"/>
              </w:rPr>
            </m:ctrlPr>
          </m:sSupPr>
          <m:e>
            <m:r>
              <m:rPr>
                <m:sty m:val="bi"/>
              </m:rPr>
              <w:rPr>
                <w:rFonts w:ascii="Cambria Math" w:hAnsi="Cambria Math"/>
              </w:rPr>
              <m:t>r</m:t>
            </m:r>
          </m:e>
          <m:sup>
            <m:r>
              <m:rPr>
                <m:sty m:val="bi"/>
              </m:rPr>
              <w:rPr>
                <w:rFonts w:ascii="Cambria Math" w:hAnsi="Cambria Math"/>
              </w:rPr>
              <m:t>2</m:t>
            </m:r>
          </m:sup>
        </m:sSup>
      </m:oMath>
      <w:r>
        <w:t xml:space="preserve"> threshold for linkage intervals</w:t>
      </w:r>
    </w:p>
    <w:bookmarkEnd w:id="59"/>
    <w:p w:rsidR="004F35B4" w:rsidRDefault="00985820">
      <w:r>
        <w:t xml:space="preserve">We chose to use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≥0.5</m:t>
        </m:r>
      </m:oMath>
      <w:r>
        <w:t xml:space="preserve"> due to previous experience (Rossin </w:t>
      </w:r>
      <w:r>
        <w:rPr>
          <w:i/>
        </w:rPr>
        <w:t>et al.</w:t>
      </w:r>
      <w:r>
        <w:t xml:space="preserve"> 2011). To investigate if this choice influences SNPsea results, we repeated the analysis of 45 red blood </w:t>
      </w:r>
      <w:r>
        <w:t xml:space="preserve">cell count-associated SNPs (Van der Harst </w:t>
      </w:r>
      <w:r>
        <w:rPr>
          <w:i/>
        </w:rPr>
        <w:t>et al.</w:t>
      </w:r>
      <w:r>
        <w:t xml:space="preserve"> 2012) using 5 different thresholds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oMath>
      <w:r>
        <w:t xml:space="preserve"> 0.2, 0.4, 0.6, 0.8, 1.0). We also did this for SNPs associated with multiple sclerosis, celiac disease, and HDL cholesterol.</w:t>
      </w:r>
    </w:p>
    <w:tbl>
      <w:tblPr>
        <w:tblW w:w="0" w:type="auto"/>
        <w:tblLook w:val="04A0" w:firstRow="1" w:lastRow="0" w:firstColumn="1" w:lastColumn="0" w:noHBand="0" w:noVBand="1"/>
      </w:tblPr>
      <w:tblGrid>
        <w:gridCol w:w="4788"/>
        <w:gridCol w:w="4788"/>
      </w:tblGrid>
      <w:tr w:rsidR="004F35B4">
        <w:tc>
          <w:tcPr>
            <w:tcW w:w="0" w:type="auto"/>
          </w:tcPr>
          <w:p w:rsidR="004F35B4" w:rsidRDefault="00985820">
            <w:pPr>
              <w:pStyle w:val="Compact"/>
            </w:pPr>
            <w:r>
              <w:rPr>
                <w:noProof/>
              </w:rPr>
              <w:drawing>
                <wp:inline distT="0" distB="0" distL="0" distR="0">
                  <wp:extent cx="3014907" cy="2411926"/>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ures/r2_thresholds-GeneAtlas2004.png"/>
                          <pic:cNvPicPr>
                            <a:picLocks noChangeAspect="1" noChangeArrowheads="1"/>
                          </pic:cNvPicPr>
                        </pic:nvPicPr>
                        <pic:blipFill>
                          <a:blip r:embed="rId54"/>
                          <a:stretch>
                            <a:fillRect/>
                          </a:stretch>
                        </pic:blipFill>
                        <pic:spPr bwMode="auto">
                          <a:xfrm>
                            <a:off x="0" y="0"/>
                            <a:ext cx="3014907" cy="2411926"/>
                          </a:xfrm>
                          <a:prstGeom prst="rect">
                            <a:avLst/>
                          </a:prstGeom>
                          <a:noFill/>
                          <a:ln w="9525">
                            <a:noFill/>
                            <a:headEnd/>
                            <a:tailEnd/>
                          </a:ln>
                        </pic:spPr>
                      </pic:pic>
                    </a:graphicData>
                  </a:graphic>
                </wp:inline>
              </w:drawing>
            </w:r>
          </w:p>
        </w:tc>
        <w:tc>
          <w:tcPr>
            <w:tcW w:w="0" w:type="auto"/>
          </w:tcPr>
          <w:p w:rsidR="004F35B4" w:rsidRDefault="00985820">
            <w:pPr>
              <w:pStyle w:val="Compact"/>
            </w:pPr>
            <w:r>
              <w:rPr>
                <w:noProof/>
              </w:rPr>
              <w:drawing>
                <wp:inline distT="0" distB="0" distL="0" distR="0">
                  <wp:extent cx="3014907" cy="2411926"/>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ures/r2_thresholds-GO2013.png"/>
                          <pic:cNvPicPr>
                            <a:picLocks noChangeAspect="1" noChangeArrowheads="1"/>
                          </pic:cNvPicPr>
                        </pic:nvPicPr>
                        <pic:blipFill>
                          <a:blip r:embed="rId55"/>
                          <a:stretch>
                            <a:fillRect/>
                          </a:stretch>
                        </pic:blipFill>
                        <pic:spPr bwMode="auto">
                          <a:xfrm>
                            <a:off x="0" y="0"/>
                            <a:ext cx="3014907" cy="2411926"/>
                          </a:xfrm>
                          <a:prstGeom prst="rect">
                            <a:avLst/>
                          </a:prstGeom>
                          <a:noFill/>
                          <a:ln w="9525">
                            <a:noFill/>
                            <a:headEnd/>
                            <a:tailEnd/>
                          </a:ln>
                        </pic:spPr>
                      </pic:pic>
                    </a:graphicData>
                  </a:graphic>
                </wp:inline>
              </w:drawing>
            </w:r>
          </w:p>
        </w:tc>
      </w:tr>
    </w:tbl>
    <w:p w:rsidR="004F35B4" w:rsidRDefault="00985820">
      <w:r>
        <w:t>Gene Atlas and Gene Ontology (left a</w:t>
      </w:r>
      <w:r>
        <w:t xml:space="preserve">nd right). Each subplot has </w:t>
      </w:r>
      <m:oMath>
        <m: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r>
          <w:rPr>
            <w:rFonts w:ascii="Cambria Math" w:hAnsi="Cambria Math"/>
          </w:rPr>
          <m:t>P</m:t>
        </m:r>
      </m:oMath>
      <w:r>
        <w:t xml:space="preserve"> for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=1</m:t>
        </m:r>
      </m:oMath>
      <w:r>
        <w:t xml:space="preserve"> on the x-axis and </w:t>
      </w:r>
      <m:oMath>
        <m: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r>
          <w:rPr>
            <w:rFonts w:ascii="Cambria Math" w:hAnsi="Cambria Math"/>
          </w:rPr>
          <m:t>P</m:t>
        </m:r>
      </m:oMath>
      <w:r>
        <w:t xml:space="preserve"> on the y-axis for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threshold marked above. Grey lines are significance thresholds after correction testing multiple conditions (cell types, GO annotations). Black points are s</w:t>
      </w:r>
      <w:r>
        <w:t xml:space="preserve">ignificant and grey are not. We used the </w:t>
      </w:r>
      <w:r>
        <w:rPr>
          <w:rStyle w:val="VerbatimChar"/>
        </w:rPr>
        <w:t>’--score single’</w:t>
      </w:r>
      <w:r>
        <w:t xml:space="preserve"> option. Red blood cell count SNPs are enriched for </w:t>
      </w:r>
      <w:r>
        <w:rPr>
          <w:i/>
        </w:rPr>
        <w:t>hemopoiesis</w:t>
      </w:r>
      <w:r>
        <w:t xml:space="preserve"> (GO:0030097) (</w:t>
      </w:r>
      <m:oMath>
        <m:r>
          <w:rPr>
            <w:rFonts w:ascii="Cambria Math" w:hAnsi="Cambria Math"/>
          </w:rPr>
          <m:t>P</m:t>
        </m:r>
        <m:r>
          <w:rPr>
            <w:rFonts w:ascii="Cambria Math" w:hAnsi="Cambria Math"/>
          </w:rPr>
          <m:t>=2×</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5</m:t>
            </m:r>
          </m:sup>
        </m:sSup>
      </m:oMath>
      <w:r>
        <w:t xml:space="preserve">) for linkage intervals with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=(0.6,0.8,1.0)</m:t>
        </m:r>
      </m:oMath>
      <w:r>
        <w:t xml:space="preserve">. This result falls below the multiple testing threshold at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m:t>
        </m:r>
        <m:r>
          <w:rPr>
            <w:rFonts w:ascii="Cambria Math" w:hAnsi="Cambria Math"/>
          </w:rPr>
          <m:t>4</m:t>
        </m:r>
      </m:oMath>
      <w:r>
        <w:t xml:space="preserve">, but remains significant at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≥0.5</m:t>
        </m:r>
      </m:oMath>
      <w:r>
        <w:t xml:space="preserve"> (see main text).</w:t>
      </w:r>
    </w:p>
    <w:p w:rsidR="004F35B4" w:rsidRDefault="00985820">
      <w:pPr>
        <w:pStyle w:val="Heading4"/>
      </w:pPr>
      <w:bookmarkStart w:id="60" w:name="supplementary-figure-4-each-trait-associ"/>
      <w:r>
        <w:t>Supplementary Figure 4: Each trait-associated locus harbors a single associated gene</w:t>
      </w:r>
    </w:p>
    <w:bookmarkEnd w:id="60"/>
    <w:p w:rsidR="004F35B4" w:rsidRDefault="00985820">
      <w:r>
        <w:rPr>
          <w:noProof/>
        </w:rPr>
        <w:drawing>
          <wp:inline distT="0" distB="0" distL="0" distR="0">
            <wp:extent cx="5276088" cy="3014907"/>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ures/single_vs_total-RBC-MS-CD-HDL.png"/>
                    <pic:cNvPicPr>
                      <a:picLocks noChangeAspect="1" noChangeArrowheads="1"/>
                    </pic:cNvPicPr>
                  </pic:nvPicPr>
                  <pic:blipFill>
                    <a:blip r:embed="rId56"/>
                    <a:stretch>
                      <a:fillRect/>
                    </a:stretch>
                  </pic:blipFill>
                  <pic:spPr bwMode="auto">
                    <a:xfrm>
                      <a:off x="0" y="0"/>
                      <a:ext cx="5276088" cy="3014907"/>
                    </a:xfrm>
                    <a:prstGeom prst="rect">
                      <a:avLst/>
                    </a:prstGeom>
                    <a:noFill/>
                    <a:ln w="9525">
                      <a:noFill/>
                      <a:headEnd/>
                      <a:tailEnd/>
                    </a:ln>
                  </pic:spPr>
                </pic:pic>
              </a:graphicData>
            </a:graphic>
          </wp:inline>
        </w:drawing>
      </w:r>
    </w:p>
    <w:p w:rsidR="004F35B4" w:rsidRDefault="00985820">
      <w:r>
        <w:t xml:space="preserve">Quantile-quantile plots for Gene Atlas (Su </w:t>
      </w:r>
      <w:r>
        <w:rPr>
          <w:i/>
        </w:rPr>
        <w:t>et al.</w:t>
      </w:r>
      <w:r>
        <w:t xml:space="preserve"> 2004) and Gene Ontology (top and bottom). The x and y axes are </w:t>
      </w:r>
      <m:oMath>
        <m: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10</m:t>
            </m:r>
          </m:sub>
        </m:sSub>
        <m:r>
          <w:rPr>
            <w:rFonts w:ascii="Cambria Math" w:hAnsi="Cambria Math"/>
          </w:rPr>
          <m:t>P</m:t>
        </m:r>
      </m:oMath>
      <w:r>
        <w:t xml:space="preserve"> for </w:t>
      </w:r>
      <w:r>
        <w:rPr>
          <w:rStyle w:val="VerbatimChar"/>
        </w:rPr>
        <w:t>’--score single’ and ’--score total’</w:t>
      </w:r>
      <w:r>
        <w:t xml:space="preserve"> SNPsea options, respectively. The </w:t>
      </w:r>
      <w:r>
        <w:rPr>
          <w:rStyle w:val="VerbatimChar"/>
        </w:rPr>
        <w:t>’single’</w:t>
      </w:r>
      <w:r>
        <w:t xml:space="preserve"> and </w:t>
      </w:r>
      <w:r>
        <w:rPr>
          <w:rStyle w:val="VerbatimChar"/>
        </w:rPr>
        <w:t>’total’</w:t>
      </w:r>
      <w:r>
        <w:t xml:space="preserve"> methods are described . The </w:t>
      </w:r>
      <m:oMath>
        <m:r>
          <w:rPr>
            <w:rFonts w:ascii="Cambria Math" w:hAnsi="Cambria Math"/>
          </w:rPr>
          <m:t>P</m:t>
        </m:r>
      </m:oMath>
      <w:r>
        <w:t>-values appear similar between methods.</w:t>
      </w:r>
    </w:p>
    <w:p w:rsidR="004F35B4" w:rsidRDefault="00985820">
      <w:pPr>
        <w:pStyle w:val="Heading4"/>
      </w:pPr>
      <w:bookmarkStart w:id="61" w:name="supplementary-figure-5-type-1-error-esti"/>
      <w:r>
        <w:t>Supplementary Figure 5: Type 1 error estimates</w:t>
      </w:r>
    </w:p>
    <w:bookmarkEnd w:id="61"/>
    <w:p w:rsidR="004F35B4" w:rsidRDefault="00985820">
      <w:r>
        <w:rPr>
          <w:noProof/>
        </w:rPr>
        <w:drawing>
          <wp:inline distT="0" distB="0" distL="0" distR="0">
            <wp:extent cx="1645637" cy="139439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ures/type1error_GeneAtlas2004.png"/>
                    <pic:cNvPicPr>
                      <a:picLocks noChangeAspect="1" noChangeArrowheads="1"/>
                    </pic:cNvPicPr>
                  </pic:nvPicPr>
                  <pic:blipFill>
                    <a:blip r:embed="rId51"/>
                    <a:stretch>
                      <a:fillRect/>
                    </a:stretch>
                  </pic:blipFill>
                  <pic:spPr bwMode="auto">
                    <a:xfrm>
                      <a:off x="0" y="0"/>
                      <a:ext cx="1645637" cy="1394395"/>
                    </a:xfrm>
                    <a:prstGeom prst="rect">
                      <a:avLst/>
                    </a:prstGeom>
                    <a:noFill/>
                    <a:ln w="9525">
                      <a:noFill/>
                      <a:headEnd/>
                      <a:tailEnd/>
                    </a:ln>
                  </pic:spPr>
                </pic:pic>
              </a:graphicData>
            </a:graphic>
          </wp:inline>
        </w:drawing>
      </w:r>
    </w:p>
    <w:p w:rsidR="004F35B4" w:rsidRDefault="00985820">
      <w:r>
        <w:rPr>
          <w:noProof/>
        </w:rPr>
        <w:drawing>
          <wp:inline distT="0" distB="0" distL="0" distR="0">
            <wp:extent cx="2248618" cy="1394394"/>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ures/type1error_GO2013.png"/>
                    <pic:cNvPicPr>
                      <a:picLocks noChangeAspect="1" noChangeArrowheads="1"/>
                    </pic:cNvPicPr>
                  </pic:nvPicPr>
                  <pic:blipFill>
                    <a:blip r:embed="rId57"/>
                    <a:stretch>
                      <a:fillRect/>
                    </a:stretch>
                  </pic:blipFill>
                  <pic:spPr bwMode="auto">
                    <a:xfrm>
                      <a:off x="0" y="0"/>
                      <a:ext cx="2248618" cy="1394394"/>
                    </a:xfrm>
                    <a:prstGeom prst="rect">
                      <a:avLst/>
                    </a:prstGeom>
                    <a:noFill/>
                    <a:ln w="9525">
                      <a:noFill/>
                      <a:headEnd/>
                      <a:tailEnd/>
                    </a:ln>
                  </pic:spPr>
                </pic:pic>
              </a:graphicData>
            </a:graphic>
          </wp:inline>
        </w:drawing>
      </w:r>
    </w:p>
    <w:p w:rsidR="004F35B4" w:rsidRDefault="00985820">
      <w:r>
        <w:t>We sampled 10,000 sets of 100 S</w:t>
      </w:r>
      <w:r>
        <w:t xml:space="preserve">NPs uniformly from a list of LD-pruned SNPs (Lango Allen </w:t>
      </w:r>
      <w:r>
        <w:rPr>
          <w:i/>
        </w:rPr>
        <w:t>et al.</w:t>
      </w:r>
      <w:r>
        <w:t xml:space="preserve"> 2010). We tested each of the 10,000 sets for enrichment of tissue-specific expression in the Gene Atlas (Su </w:t>
      </w:r>
      <w:r>
        <w:rPr>
          <w:i/>
        </w:rPr>
        <w:t>et al.</w:t>
      </w:r>
      <w:r>
        <w:t xml:space="preserve"> 2004) gene expression matrix (top) and for enrichment of annotation with Gene</w:t>
      </w:r>
      <w:r>
        <w:t xml:space="preserve"> Ontology terms (bottom). For each condition, we show the proportion of the 10,000 enrichment p-values that are below the given thresholds. We observe that the p-values are near the expected values, so the type 1 (false positive) error rate is well-calibra</w:t>
      </w:r>
      <w:r>
        <w:t>ted.</w:t>
      </w:r>
    </w:p>
    <w:p w:rsidR="004F35B4" w:rsidRDefault="00985820">
      <w:pPr>
        <w:pStyle w:val="Heading1"/>
      </w:pPr>
      <w:bookmarkStart w:id="62" w:name="additional-examples"/>
      <w:r>
        <w:t>Additional Examples</w:t>
      </w:r>
    </w:p>
    <w:bookmarkEnd w:id="62"/>
    <w:p w:rsidR="004F35B4" w:rsidRDefault="00985820">
      <w:r>
        <w:t xml:space="preserve">We tested SNPsea with the three additional phenotypes listed below with genome-wide significant SNPs </w:t>
      </w:r>
      <m:oMath>
        <m:r>
          <w:rPr>
            <w:rFonts w:ascii="Cambria Math" w:hAnsi="Cambria Math"/>
          </w:rPr>
          <m:t>(</m:t>
        </m:r>
        <m:r>
          <w:rPr>
            <w:rFonts w:ascii="Cambria Math" w:hAnsi="Cambria Math"/>
          </w:rPr>
          <m:t>P</m:t>
        </m:r>
        <m:r>
          <w:rPr>
            <w:rFonts w:ascii="Cambria Math" w:hAnsi="Cambria Math"/>
          </w:rPr>
          <m:t>≤5×</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8</m:t>
            </m:r>
          </m:sup>
        </m:sSup>
        <m:r>
          <w:rPr>
            <w:rFonts w:ascii="Cambria Math" w:hAnsi="Cambria Math"/>
          </w:rPr>
          <m:t>)</m:t>
        </m:r>
      </m:oMath>
      <w:r>
        <w:t>. When multiple SNPs implicated the same genes, we merged them into a single locus. We tested each phenotype with the G</w:t>
      </w:r>
      <w:r>
        <w:t xml:space="preserve">ene Atlas and GO matrices with the </w:t>
      </w:r>
      <w:r>
        <w:rPr>
          <w:rStyle w:val="VerbatimChar"/>
        </w:rPr>
        <w:t>’--score single’</w:t>
      </w:r>
      <w:r>
        <w:t xml:space="preserve"> option. The adjacent heatmaps show Pearson correlation coefficients for all pairs of conditions.</w:t>
      </w:r>
    </w:p>
    <w:tbl>
      <w:tblPr>
        <w:tblW w:w="0" w:type="auto"/>
        <w:tblLook w:val="04A0" w:firstRow="1" w:lastRow="0" w:firstColumn="1" w:lastColumn="0" w:noHBand="0" w:noVBand="1"/>
      </w:tblPr>
      <w:tblGrid>
        <w:gridCol w:w="2017"/>
        <w:gridCol w:w="738"/>
        <w:gridCol w:w="645"/>
        <w:gridCol w:w="3983"/>
      </w:tblGrid>
      <w:tr w:rsidR="004F35B4">
        <w:tc>
          <w:tcPr>
            <w:tcW w:w="0" w:type="auto"/>
            <w:tcBorders>
              <w:bottom w:val="single" w:sz="0" w:space="0" w:color="auto"/>
            </w:tcBorders>
            <w:vAlign w:val="bottom"/>
          </w:tcPr>
          <w:p w:rsidR="004F35B4" w:rsidRDefault="00985820">
            <w:pPr>
              <w:pStyle w:val="Compact"/>
            </w:pPr>
            <w:r>
              <w:t>Phenotype</w:t>
            </w:r>
          </w:p>
        </w:tc>
        <w:tc>
          <w:tcPr>
            <w:tcW w:w="0" w:type="auto"/>
            <w:tcBorders>
              <w:bottom w:val="single" w:sz="0" w:space="0" w:color="auto"/>
            </w:tcBorders>
            <w:vAlign w:val="bottom"/>
          </w:tcPr>
          <w:p w:rsidR="004F35B4" w:rsidRDefault="00985820">
            <w:pPr>
              <w:pStyle w:val="Compact"/>
            </w:pPr>
            <w:r>
              <w:t>SNPs</w:t>
            </w:r>
          </w:p>
        </w:tc>
        <w:tc>
          <w:tcPr>
            <w:tcW w:w="0" w:type="auto"/>
            <w:tcBorders>
              <w:bottom w:val="single" w:sz="0" w:space="0" w:color="auto"/>
            </w:tcBorders>
            <w:vAlign w:val="bottom"/>
          </w:tcPr>
          <w:p w:rsidR="004F35B4" w:rsidRDefault="00985820">
            <w:pPr>
              <w:pStyle w:val="Compact"/>
            </w:pPr>
            <w:r>
              <w:t>Loci</w:t>
            </w:r>
          </w:p>
        </w:tc>
        <w:tc>
          <w:tcPr>
            <w:tcW w:w="0" w:type="auto"/>
            <w:tcBorders>
              <w:bottom w:val="single" w:sz="0" w:space="0" w:color="auto"/>
            </w:tcBorders>
            <w:vAlign w:val="bottom"/>
          </w:tcPr>
          <w:p w:rsidR="004F35B4" w:rsidRDefault="00985820">
            <w:pPr>
              <w:pStyle w:val="Compact"/>
            </w:pPr>
            <w:r>
              <w:t>Reference</w:t>
            </w:r>
          </w:p>
        </w:tc>
      </w:tr>
      <w:tr w:rsidR="004F35B4">
        <w:tc>
          <w:tcPr>
            <w:tcW w:w="0" w:type="auto"/>
          </w:tcPr>
          <w:p w:rsidR="004F35B4" w:rsidRDefault="00985820">
            <w:pPr>
              <w:pStyle w:val="Compact"/>
            </w:pPr>
            <w:r>
              <w:t>Multiple sclerosis</w:t>
            </w:r>
          </w:p>
        </w:tc>
        <w:tc>
          <w:tcPr>
            <w:tcW w:w="0" w:type="auto"/>
          </w:tcPr>
          <w:p w:rsidR="004F35B4" w:rsidRDefault="00985820">
            <w:pPr>
              <w:pStyle w:val="Compact"/>
            </w:pPr>
            <w:r>
              <w:t>51</w:t>
            </w:r>
          </w:p>
        </w:tc>
        <w:tc>
          <w:tcPr>
            <w:tcW w:w="0" w:type="auto"/>
          </w:tcPr>
          <w:p w:rsidR="004F35B4" w:rsidRDefault="00985820">
            <w:pPr>
              <w:pStyle w:val="Compact"/>
            </w:pPr>
            <w:r>
              <w:t>47</w:t>
            </w:r>
          </w:p>
        </w:tc>
        <w:tc>
          <w:tcPr>
            <w:tcW w:w="0" w:type="auto"/>
          </w:tcPr>
          <w:p w:rsidR="004F35B4" w:rsidRDefault="00985820">
            <w:pPr>
              <w:pStyle w:val="Compact"/>
            </w:pPr>
            <w:r>
              <w:t>Supp. Table A (IMSGC WTCCC 2011)</w:t>
            </w:r>
          </w:p>
        </w:tc>
      </w:tr>
      <w:tr w:rsidR="004F35B4">
        <w:tc>
          <w:tcPr>
            <w:tcW w:w="0" w:type="auto"/>
          </w:tcPr>
          <w:p w:rsidR="004F35B4" w:rsidRDefault="00985820">
            <w:pPr>
              <w:pStyle w:val="Compact"/>
            </w:pPr>
            <w:r>
              <w:t>Celiac disease</w:t>
            </w:r>
          </w:p>
        </w:tc>
        <w:tc>
          <w:tcPr>
            <w:tcW w:w="0" w:type="auto"/>
          </w:tcPr>
          <w:p w:rsidR="004F35B4" w:rsidRDefault="00985820">
            <w:pPr>
              <w:pStyle w:val="Compact"/>
            </w:pPr>
            <w:r>
              <w:t>35</w:t>
            </w:r>
          </w:p>
        </w:tc>
        <w:tc>
          <w:tcPr>
            <w:tcW w:w="0" w:type="auto"/>
          </w:tcPr>
          <w:p w:rsidR="004F35B4" w:rsidRDefault="00985820">
            <w:pPr>
              <w:pStyle w:val="Compact"/>
            </w:pPr>
            <w:r>
              <w:t>34</w:t>
            </w:r>
          </w:p>
        </w:tc>
        <w:tc>
          <w:tcPr>
            <w:tcW w:w="0" w:type="auto"/>
          </w:tcPr>
          <w:p w:rsidR="004F35B4" w:rsidRDefault="00985820">
            <w:pPr>
              <w:pStyle w:val="Compact"/>
            </w:pPr>
            <w:r>
              <w:t xml:space="preserve">Table 2 (Trynka, </w:t>
            </w:r>
            <w:r>
              <w:rPr>
                <w:i/>
              </w:rPr>
              <w:t>et al.</w:t>
            </w:r>
            <w:r>
              <w:t xml:space="preserve"> 2011)</w:t>
            </w:r>
          </w:p>
        </w:tc>
      </w:tr>
      <w:tr w:rsidR="004F35B4">
        <w:tc>
          <w:tcPr>
            <w:tcW w:w="0" w:type="auto"/>
          </w:tcPr>
          <w:p w:rsidR="004F35B4" w:rsidRDefault="00985820">
            <w:pPr>
              <w:pStyle w:val="Compact"/>
            </w:pPr>
            <w:r>
              <w:t>HDL cholesterol</w:t>
            </w:r>
          </w:p>
        </w:tc>
        <w:tc>
          <w:tcPr>
            <w:tcW w:w="0" w:type="auto"/>
          </w:tcPr>
          <w:p w:rsidR="004F35B4" w:rsidRDefault="00985820">
            <w:pPr>
              <w:pStyle w:val="Compact"/>
            </w:pPr>
            <w:r>
              <w:t>46</w:t>
            </w:r>
          </w:p>
        </w:tc>
        <w:tc>
          <w:tcPr>
            <w:tcW w:w="0" w:type="auto"/>
          </w:tcPr>
          <w:p w:rsidR="004F35B4" w:rsidRDefault="00985820">
            <w:pPr>
              <w:pStyle w:val="Compact"/>
            </w:pPr>
            <w:r>
              <w:t>46</w:t>
            </w:r>
          </w:p>
        </w:tc>
        <w:tc>
          <w:tcPr>
            <w:tcW w:w="0" w:type="auto"/>
          </w:tcPr>
          <w:p w:rsidR="004F35B4" w:rsidRDefault="00985820">
            <w:pPr>
              <w:pStyle w:val="Compact"/>
            </w:pPr>
            <w:r>
              <w:t xml:space="preserve">Supp. Table 2 (Teslovich, </w:t>
            </w:r>
            <w:r>
              <w:rPr>
                <w:i/>
              </w:rPr>
              <w:t>et al.</w:t>
            </w:r>
            <w:r>
              <w:t xml:space="preserve"> 2010)</w:t>
            </w:r>
          </w:p>
        </w:tc>
      </w:tr>
    </w:tbl>
    <w:p w:rsidR="004F35B4" w:rsidRDefault="00985820">
      <w:pPr>
        <w:pStyle w:val="Heading4"/>
      </w:pPr>
      <w:bookmarkStart w:id="63" w:name="supplementary-figure-6-red-blood-cell-co"/>
      <w:r>
        <w:t>Supplementary Figure 6: Red blood cell count GO enrichment</w:t>
      </w:r>
    </w:p>
    <w:bookmarkEnd w:id="63"/>
    <w:p w:rsidR="004F35B4" w:rsidRDefault="00985820">
      <w:r>
        <w:rPr>
          <w:noProof/>
        </w:rPr>
        <w:drawing>
          <wp:inline distT="0" distB="0" distL="0" distR="0">
            <wp:extent cx="2964659" cy="1698398"/>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gures/Red_blood_cell_count-Harst2012-45_SNPs-GO2013-single-pvalues_barplot.png"/>
                    <pic:cNvPicPr>
                      <a:picLocks noChangeAspect="1" noChangeArrowheads="1"/>
                    </pic:cNvPicPr>
                  </pic:nvPicPr>
                  <pic:blipFill>
                    <a:blip r:embed="rId58"/>
                    <a:stretch>
                      <a:fillRect/>
                    </a:stretch>
                  </pic:blipFill>
                  <pic:spPr bwMode="auto">
                    <a:xfrm>
                      <a:off x="0" y="0"/>
                      <a:ext cx="2964659" cy="1698398"/>
                    </a:xfrm>
                    <a:prstGeom prst="rect">
                      <a:avLst/>
                    </a:prstGeom>
                    <a:noFill/>
                    <a:ln w="9525">
                      <a:noFill/>
                      <a:headEnd/>
                      <a:tailEnd/>
                    </a:ln>
                  </pic:spPr>
                </pic:pic>
              </a:graphicData>
            </a:graphic>
          </wp:inline>
        </w:drawing>
      </w:r>
    </w:p>
    <w:p w:rsidR="004F35B4" w:rsidRDefault="00985820">
      <w:r>
        <w:t xml:space="preserve">We observed significant enrichment for </w:t>
      </w:r>
      <w:r>
        <w:rPr>
          <w:i/>
        </w:rPr>
        <w:t>hemopoiesis</w:t>
      </w:r>
      <w:r>
        <w:t xml:space="preserve"> </w:t>
      </w:r>
      <m:oMath>
        <m:r>
          <w:rPr>
            <w:rFonts w:ascii="Cambria Math" w:hAnsi="Cambria Math"/>
          </w:rPr>
          <m:t>(2×</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5</m:t>
            </m:r>
          </m:sup>
        </m:sSup>
        <m:r>
          <w:rPr>
            <w:rFonts w:ascii="Cambria Math" w:hAnsi="Cambria Math"/>
          </w:rPr>
          <m:t>)</m:t>
        </m:r>
      </m:oMath>
      <w:r>
        <w:t>. The top 25 terms are shown.</w:t>
      </w:r>
    </w:p>
    <w:p w:rsidR="004F35B4" w:rsidRDefault="00985820">
      <w:pPr>
        <w:pStyle w:val="Heading4"/>
      </w:pPr>
      <w:bookmarkStart w:id="64" w:name="supplementary-figure-7-multiple-sclerosi"/>
      <w:r>
        <w:t>Supplemen</w:t>
      </w:r>
      <w:r>
        <w:t>tary Figure 7: Multiple sclerosis</w:t>
      </w:r>
    </w:p>
    <w:bookmarkEnd w:id="64"/>
    <w:p w:rsidR="004F35B4" w:rsidRDefault="00985820">
      <w:r>
        <w:rPr>
          <w:noProof/>
        </w:rPr>
        <w:drawing>
          <wp:inline distT="0" distB="0" distL="0" distR="0">
            <wp:extent cx="2494836" cy="1698398"/>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gures/Multiple_sclerosis-IMSGC-51_SNPs-GeneAtlas2004-single-pvalues_barplot.png"/>
                    <pic:cNvPicPr>
                      <a:picLocks noChangeAspect="1" noChangeArrowheads="1"/>
                    </pic:cNvPicPr>
                  </pic:nvPicPr>
                  <pic:blipFill>
                    <a:blip r:embed="rId59"/>
                    <a:stretch>
                      <a:fillRect/>
                    </a:stretch>
                  </pic:blipFill>
                  <pic:spPr bwMode="auto">
                    <a:xfrm>
                      <a:off x="0" y="0"/>
                      <a:ext cx="2494836" cy="1698398"/>
                    </a:xfrm>
                    <a:prstGeom prst="rect">
                      <a:avLst/>
                    </a:prstGeom>
                    <a:noFill/>
                    <a:ln w="9525">
                      <a:noFill/>
                      <a:headEnd/>
                      <a:tailEnd/>
                    </a:ln>
                  </pic:spPr>
                </pic:pic>
              </a:graphicData>
            </a:graphic>
          </wp:inline>
        </w:drawing>
      </w:r>
    </w:p>
    <w:p w:rsidR="004F35B4" w:rsidRDefault="00985820">
      <w:r>
        <w:t>We observed significant enrichment for 6 cell types. The top 25 of 79 are shown.</w:t>
      </w:r>
    </w:p>
    <w:p w:rsidR="004F35B4" w:rsidRDefault="00985820">
      <w:r>
        <w:rPr>
          <w:noProof/>
        </w:rPr>
        <w:drawing>
          <wp:inline distT="0" distB="0" distL="0" distR="0">
            <wp:extent cx="3236001" cy="2421976"/>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gures/Multiple_sclerosis-IMSGC-51_SNPs-GO2013-single-pvalues_barplot.png"/>
                    <pic:cNvPicPr>
                      <a:picLocks noChangeAspect="1" noChangeArrowheads="1"/>
                    </pic:cNvPicPr>
                  </pic:nvPicPr>
                  <pic:blipFill>
                    <a:blip r:embed="rId60"/>
                    <a:stretch>
                      <a:fillRect/>
                    </a:stretch>
                  </pic:blipFill>
                  <pic:spPr bwMode="auto">
                    <a:xfrm>
                      <a:off x="0" y="0"/>
                      <a:ext cx="3236001" cy="2421976"/>
                    </a:xfrm>
                    <a:prstGeom prst="rect">
                      <a:avLst/>
                    </a:prstGeom>
                    <a:noFill/>
                    <a:ln w="9525">
                      <a:noFill/>
                      <a:headEnd/>
                      <a:tailEnd/>
                    </a:ln>
                  </pic:spPr>
                </pic:pic>
              </a:graphicData>
            </a:graphic>
          </wp:inline>
        </w:drawing>
      </w:r>
    </w:p>
    <w:p w:rsidR="004F35B4" w:rsidRDefault="00985820">
      <w:r>
        <w:t>We observed significant enrichment for 52 Gene Ontology terms. The top 60 terms are shown.</w:t>
      </w:r>
    </w:p>
    <w:p w:rsidR="004F35B4" w:rsidRDefault="00985820">
      <w:pPr>
        <w:pStyle w:val="Heading4"/>
      </w:pPr>
      <w:bookmarkStart w:id="65" w:name="supplementary-figure-8-celiac-disease"/>
      <w:r>
        <w:t>Supplementary Figure 8: Celiac disease</w:t>
      </w:r>
    </w:p>
    <w:bookmarkEnd w:id="65"/>
    <w:p w:rsidR="004F35B4" w:rsidRDefault="00985820">
      <w:r>
        <w:rPr>
          <w:noProof/>
        </w:rPr>
        <w:drawing>
          <wp:inline distT="0" distB="0" distL="0" distR="0">
            <wp:extent cx="2494836" cy="1698398"/>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igures/Celiac_disease-Trynka2011-35_SNPs-GeneAtlas2004-single-pvalues_barplot.png"/>
                    <pic:cNvPicPr>
                      <a:picLocks noChangeAspect="1" noChangeArrowheads="1"/>
                    </pic:cNvPicPr>
                  </pic:nvPicPr>
                  <pic:blipFill>
                    <a:blip r:embed="rId61"/>
                    <a:stretch>
                      <a:fillRect/>
                    </a:stretch>
                  </pic:blipFill>
                  <pic:spPr bwMode="auto">
                    <a:xfrm>
                      <a:off x="0" y="0"/>
                      <a:ext cx="2494836" cy="1698398"/>
                    </a:xfrm>
                    <a:prstGeom prst="rect">
                      <a:avLst/>
                    </a:prstGeom>
                    <a:noFill/>
                    <a:ln w="9525">
                      <a:noFill/>
                      <a:headEnd/>
                      <a:tailEnd/>
                    </a:ln>
                  </pic:spPr>
                </pic:pic>
              </a:graphicData>
            </a:graphic>
          </wp:inline>
        </w:drawing>
      </w:r>
    </w:p>
    <w:p w:rsidR="004F35B4" w:rsidRDefault="00985820">
      <w:r>
        <w:t>We observed significant enrichment for 3 cell types. The top 25 of 79 are shown.</w:t>
      </w:r>
    </w:p>
    <w:p w:rsidR="004F35B4" w:rsidRDefault="00985820">
      <w:r>
        <w:rPr>
          <w:noProof/>
        </w:rPr>
        <w:drawing>
          <wp:inline distT="0" distB="0" distL="0" distR="0">
            <wp:extent cx="2512423" cy="1698398"/>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figures/Celiac_disease-Trynka2011-35_SNPs-GO2013-single-pvalues_barplot.png"/>
                    <pic:cNvPicPr>
                      <a:picLocks noChangeAspect="1" noChangeArrowheads="1"/>
                    </pic:cNvPicPr>
                  </pic:nvPicPr>
                  <pic:blipFill>
                    <a:blip r:embed="rId62"/>
                    <a:stretch>
                      <a:fillRect/>
                    </a:stretch>
                  </pic:blipFill>
                  <pic:spPr bwMode="auto">
                    <a:xfrm>
                      <a:off x="0" y="0"/>
                      <a:ext cx="2512423" cy="1698398"/>
                    </a:xfrm>
                    <a:prstGeom prst="rect">
                      <a:avLst/>
                    </a:prstGeom>
                    <a:noFill/>
                    <a:ln w="9525">
                      <a:noFill/>
                      <a:headEnd/>
                      <a:tailEnd/>
                    </a:ln>
                  </pic:spPr>
                </pic:pic>
              </a:graphicData>
            </a:graphic>
          </wp:inline>
        </w:drawing>
      </w:r>
    </w:p>
    <w:p w:rsidR="004F35B4" w:rsidRDefault="00985820">
      <w:r>
        <w:t>We observed significant enrichment for 28 Gene Ontology terms. The top 40 terms are shown.</w:t>
      </w:r>
    </w:p>
    <w:p w:rsidR="004F35B4" w:rsidRDefault="00985820">
      <w:pPr>
        <w:pStyle w:val="Heading4"/>
      </w:pPr>
      <w:bookmarkStart w:id="66" w:name="supplementary-figure-9-hdl-cholesterol"/>
      <w:r>
        <w:t>Supplementary Figure 9: HDL cholesterol</w:t>
      </w:r>
    </w:p>
    <w:bookmarkEnd w:id="66"/>
    <w:p w:rsidR="004F35B4" w:rsidRDefault="00985820">
      <w:r>
        <w:rPr>
          <w:noProof/>
        </w:rPr>
        <w:drawing>
          <wp:inline distT="0" distB="0" distL="0" distR="0">
            <wp:extent cx="2494836" cy="1698398"/>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figures/HDL_cholesterol-Teslovich2010-46_SNPs-GeneAtlas2004-single-pvalues_barplot.png"/>
                    <pic:cNvPicPr>
                      <a:picLocks noChangeAspect="1" noChangeArrowheads="1"/>
                    </pic:cNvPicPr>
                  </pic:nvPicPr>
                  <pic:blipFill>
                    <a:blip r:embed="rId63"/>
                    <a:stretch>
                      <a:fillRect/>
                    </a:stretch>
                  </pic:blipFill>
                  <pic:spPr bwMode="auto">
                    <a:xfrm>
                      <a:off x="0" y="0"/>
                      <a:ext cx="2494836" cy="1698398"/>
                    </a:xfrm>
                    <a:prstGeom prst="rect">
                      <a:avLst/>
                    </a:prstGeom>
                    <a:noFill/>
                    <a:ln w="9525">
                      <a:noFill/>
                      <a:headEnd/>
                      <a:tailEnd/>
                    </a:ln>
                  </pic:spPr>
                </pic:pic>
              </a:graphicData>
            </a:graphic>
          </wp:inline>
        </w:drawing>
      </w:r>
    </w:p>
    <w:p w:rsidR="004F35B4" w:rsidRDefault="00985820">
      <w:r>
        <w:t>We observed significant enrichment for l</w:t>
      </w:r>
      <w:r>
        <w:t>iver tissue-specific gene expression. The top 25 of 79 are shown.</w:t>
      </w:r>
    </w:p>
    <w:p w:rsidR="004F35B4" w:rsidRDefault="00985820">
      <w:r>
        <w:rPr>
          <w:noProof/>
        </w:rPr>
        <w:drawing>
          <wp:inline distT="0" distB="0" distL="0" distR="0">
            <wp:extent cx="2831501" cy="163307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figures/HDL_cholesterol-Teslovich2010-46_SNPs-GO2013-single-pvalues_barplot.png"/>
                    <pic:cNvPicPr>
                      <a:picLocks noChangeAspect="1" noChangeArrowheads="1"/>
                    </pic:cNvPicPr>
                  </pic:nvPicPr>
                  <pic:blipFill>
                    <a:blip r:embed="rId64"/>
                    <a:stretch>
                      <a:fillRect/>
                    </a:stretch>
                  </pic:blipFill>
                  <pic:spPr bwMode="auto">
                    <a:xfrm>
                      <a:off x="0" y="0"/>
                      <a:ext cx="2831501" cy="1633075"/>
                    </a:xfrm>
                    <a:prstGeom prst="rect">
                      <a:avLst/>
                    </a:prstGeom>
                    <a:noFill/>
                    <a:ln w="9525">
                      <a:noFill/>
                      <a:headEnd/>
                      <a:tailEnd/>
                    </a:ln>
                  </pic:spPr>
                </pic:pic>
              </a:graphicData>
            </a:graphic>
          </wp:inline>
        </w:drawing>
      </w:r>
    </w:p>
    <w:p w:rsidR="004F35B4" w:rsidRDefault="00985820">
      <w:r>
        <w:t>We observed significant enrichment for 13 Gene Ontology terms. The top 25 terms are shown.</w:t>
      </w:r>
    </w:p>
    <w:p w:rsidR="004F35B4" w:rsidRDefault="00985820">
      <w:pPr>
        <w:pStyle w:val="Heading1"/>
      </w:pPr>
      <w:bookmarkStart w:id="67" w:name="references"/>
      <w:r>
        <w:t>References</w:t>
      </w:r>
    </w:p>
    <w:bookmarkEnd w:id="67"/>
    <w:p w:rsidR="004F35B4" w:rsidRDefault="00985820">
      <w:pPr>
        <w:numPr>
          <w:ilvl w:val="0"/>
          <w:numId w:val="11"/>
        </w:numPr>
      </w:pPr>
      <w:r>
        <w:t xml:space="preserve">Elizabeth J. Rossin, Kasper Lage, Soumya Raychaudhuri, Ramnik J. Xavier, Diana Tatar, </w:t>
      </w:r>
      <w:r>
        <w:t>Yair Benita, Chris Cotsapas, Mark J. Daly, and International Inflammatory Bowel Disease Genetics Constortium. Proteins encoded in genomic regions associated with immune-mediated disease physically interact and suggest underlying biology. PLoS Genet, 7(1):e</w:t>
      </w:r>
      <w:r>
        <w:t>1001273, January 2011.</w:t>
      </w:r>
    </w:p>
    <w:p w:rsidR="004F35B4" w:rsidRDefault="00985820">
      <w:pPr>
        <w:numPr>
          <w:ilvl w:val="0"/>
          <w:numId w:val="11"/>
        </w:numPr>
      </w:pPr>
      <w:r>
        <w:t>The 1000 Genomes Project Consortium. An integrated map of genetic variation from 1,092 human genomes. Nature, 491(7422):56–65, November 2012.</w:t>
      </w:r>
    </w:p>
    <w:p w:rsidR="004F35B4" w:rsidRDefault="00985820">
      <w:pPr>
        <w:numPr>
          <w:ilvl w:val="0"/>
          <w:numId w:val="11"/>
        </w:numPr>
      </w:pPr>
      <w:r>
        <w:t xml:space="preserve">Simon Myers, Leonardo Bottolo, Colin Freeman, Gil McVean, and Peter Donnelly. A fine-scale </w:t>
      </w:r>
      <w:r>
        <w:t>map of recombination rates and hotspots across the human genome. Science, 310(5746):321–324, October 2005.</w:t>
      </w:r>
    </w:p>
    <w:p w:rsidR="004F35B4" w:rsidRDefault="00985820">
      <w:pPr>
        <w:numPr>
          <w:ilvl w:val="0"/>
          <w:numId w:val="11"/>
        </w:numPr>
      </w:pPr>
      <w:r>
        <w:t>X. Hu, H. Kim, E. Stahl, R. Plenge, M. Daly, and S. Raychaudhuri. Integrating autoimmune risk loci with gene-expression data identifies specific path</w:t>
      </w:r>
      <w:r>
        <w:t>ogenic immune cell subsets. The American Journal of Human Genetics, 89(4):496 506, 2011.</w:t>
      </w:r>
    </w:p>
    <w:p w:rsidR="004F35B4" w:rsidRDefault="00985820">
      <w:pPr>
        <w:numPr>
          <w:ilvl w:val="0"/>
          <w:numId w:val="11"/>
        </w:numPr>
      </w:pPr>
      <w:r>
        <w:t>Hana Lango Allen, Karol Estrada, Guillaume Lettre, Sonja I. Berndt, Michael N. Weedon, Fernando Ri- vadeneira, Cristen J. Willer, Anne U. Jackson, Sailaja Vedantam, So</w:t>
      </w:r>
      <w:r>
        <w:t>umya Raychaudhuri, et al. Hundreds of variants clustered in genomic loci and biological pathways affect human height. Nature, 467(7317):832– 838, October 2010.</w:t>
      </w:r>
    </w:p>
    <w:p w:rsidR="004F35B4" w:rsidRDefault="00985820">
      <w:pPr>
        <w:numPr>
          <w:ilvl w:val="0"/>
          <w:numId w:val="11"/>
        </w:numPr>
      </w:pPr>
      <w:r>
        <w:t>Belinda Phipson and Gordon K. Smyth. Permutation p-values should never be zero: calculating exac</w:t>
      </w:r>
      <w:r>
        <w:t>t p-values when permutations are randomly drawn. Statistical Applications in Genetics and Molecular Biology, 9(1), 2010.</w:t>
      </w:r>
    </w:p>
    <w:p w:rsidR="004F35B4" w:rsidRDefault="00985820">
      <w:pPr>
        <w:numPr>
          <w:ilvl w:val="0"/>
          <w:numId w:val="11"/>
        </w:numPr>
      </w:pPr>
      <w:r>
        <w:t>Pim van der Harst, Weihua Zhang, Irene Mateo Leach, Augusto Rendon, Niek Verweij, Joban Sehmi, Dirk S. Paul, Ulrich Elling, Hooman Alla</w:t>
      </w:r>
      <w:r>
        <w:t>yee, Xinzhong Li, et al. Seventy-five genetic loci influencing the human red blood cell. Nature, 492(7429):369–375, December 2012.</w:t>
      </w:r>
    </w:p>
    <w:p w:rsidR="004F35B4" w:rsidRDefault="00985820">
      <w:pPr>
        <w:numPr>
          <w:ilvl w:val="0"/>
          <w:numId w:val="11"/>
        </w:numPr>
      </w:pPr>
      <w:r>
        <w:t>Andrew I. Su, Tim Wiltshire, Serge Batalov, Hilmar Lapp, Keith A. Ching, David Block, Jie Zhang, Richard Soden, Mimi Hayakawa, Gabriel Kreiman, et al. A gene atlas of the mouse and human protein- encoding transcriptomes. Proceedings of the National Academy</w:t>
      </w:r>
      <w:r>
        <w:t xml:space="preserve"> of Sciences of the United States of America, 101(16):6062–6067, April 2004. PMID: 15075390 PMCID: PMC395923.</w:t>
      </w:r>
    </w:p>
    <w:p w:rsidR="004F35B4" w:rsidRDefault="00985820">
      <w:pPr>
        <w:numPr>
          <w:ilvl w:val="0"/>
          <w:numId w:val="11"/>
        </w:numPr>
      </w:pPr>
      <w:r>
        <w:t>The International Multiple Sclerosis Genetics Consortium &amp; The Wellcome Trust Case Control Con- sortium. Genetic risk and a primary role for cell-</w:t>
      </w:r>
      <w:r>
        <w:t>mediated immune mechanisms in multiple sclerosis. Nature, 476(7359):214–219, August 2011.</w:t>
      </w:r>
    </w:p>
    <w:p w:rsidR="004F35B4" w:rsidRDefault="00985820">
      <w:pPr>
        <w:numPr>
          <w:ilvl w:val="0"/>
          <w:numId w:val="11"/>
        </w:numPr>
      </w:pPr>
      <w:r>
        <w:t>Gosia Trynka, Karen A. Hunt, Nicholas A. Bockett, Jihane Romanos, Vanisha Mistry, Agata Szperl, Sjoerd F. Bakker, Maria Teresa Bardella, Leena Bhaw-Rosun, Gemma Casti</w:t>
      </w:r>
      <w:r>
        <w:t>llejo, et al. Dense genotyping identifies and localizes multiple common and rare variant association signals in celiac disease. Nature Genetics, 43(12):1193–1201, December 2011.</w:t>
      </w:r>
    </w:p>
    <w:p w:rsidR="004F35B4" w:rsidRDefault="00985820">
      <w:pPr>
        <w:numPr>
          <w:ilvl w:val="0"/>
          <w:numId w:val="11"/>
        </w:numPr>
      </w:pPr>
      <w:r>
        <w:t>Tanya M. Teslovich, Kiran Musunuru, Albert V. Smith, Andrew C. Edmondson, Ioan</w:t>
      </w:r>
      <w:r>
        <w:t>nis M. Stylianou, Masahiro Koseki, James P. Pirruccello, Samuli Ripatti, Daniel I. Chasman, Cristen J. Willer, et al. Biological, clinical and population relevance of 95 loci for blood lipids. Nature, 466(7307):707–713, August 2010.</w:t>
      </w:r>
    </w:p>
    <w:sectPr w:rsidR="004F35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0A362C8"/>
    <w:multiLevelType w:val="multilevel"/>
    <w:tmpl w:val="E914555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3CE0A9"/>
    <w:multiLevelType w:val="multilevel"/>
    <w:tmpl w:val="DE702AA8"/>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BA24E36"/>
    <w:multiLevelType w:val="multilevel"/>
    <w:tmpl w:val="7EB695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3CA7AA41"/>
    <w:multiLevelType w:val="multilevel"/>
    <w:tmpl w:val="1BFE4FD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num>
  <w:num w:numId="5">
    <w:abstractNumId w:val="2"/>
  </w:num>
  <w:num w:numId="6">
    <w:abstractNumId w:val="2"/>
  </w:num>
  <w:num w:numId="7">
    <w:abstractNumId w:val="2"/>
  </w:num>
  <w:num w:numId="8">
    <w:abstractNumId w:val="2"/>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
  <w:rsids>
    <w:rsidRoot w:val="00590D07"/>
    <w:rsid w:val="00011C8B"/>
    <w:rsid w:val="004E29B3"/>
    <w:rsid w:val="004F35B4"/>
    <w:rsid w:val="00590D07"/>
    <w:rsid w:val="00784D58"/>
    <w:rsid w:val="008D6863"/>
    <w:rsid w:val="00985820"/>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985820"/>
    <w:pPr>
      <w:spacing w:before="0" w:after="0"/>
    </w:pPr>
    <w:rPr>
      <w:rFonts w:ascii="Tahoma" w:hAnsi="Tahoma" w:cs="Tahoma"/>
      <w:sz w:val="16"/>
      <w:szCs w:val="16"/>
    </w:rPr>
  </w:style>
  <w:style w:type="character" w:customStyle="1" w:styleId="BalloonTextChar">
    <w:name w:val="Balloon Text Char"/>
    <w:basedOn w:val="DefaultParagraphFont"/>
    <w:link w:val="BalloonText"/>
    <w:rsid w:val="0098582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13" Type="http://schemas.openxmlformats.org/officeDocument/2006/relationships/hyperlink" Target="http://guide.macports.org/" TargetMode="External"/><Relationship Id="rId18" Type="http://schemas.openxmlformats.org/officeDocument/2006/relationships/hyperlink" Target="http://www.ncbi.nlm.nih.gov/pubmed/23222517" TargetMode="External"/><Relationship Id="rId26" Type="http://schemas.openxmlformats.org/officeDocument/2006/relationships/hyperlink" Target="http://www.1000genomes.org/" TargetMode="External"/><Relationship Id="rId39" Type="http://schemas.openxmlformats.org/officeDocument/2006/relationships/hyperlink" Target="http://pandas.pydata.org" TargetMode="External"/><Relationship Id="rId21" Type="http://schemas.openxmlformats.org/officeDocument/2006/relationships/hyperlink" Target="http://www.geneontology.org" TargetMode="External"/><Relationship Id="rId34" Type="http://schemas.openxmlformats.org/officeDocument/2006/relationships/hyperlink" Target="http://gcc.gnu.org" TargetMode="External"/><Relationship Id="rId42" Type="http://schemas.openxmlformats.org/officeDocument/2006/relationships/hyperlink" Target="http://cran.r-project.org/web/packages/data.table" TargetMode="External"/><Relationship Id="rId47" Type="http://schemas.openxmlformats.org/officeDocument/2006/relationships/hyperlink" Target="http://www.gzip.org/" TargetMode="External"/><Relationship Id="rId50" Type="http://schemas.openxmlformats.org/officeDocument/2006/relationships/image" Target="media/image4.png"/><Relationship Id="rId55" Type="http://schemas.openxmlformats.org/officeDocument/2006/relationships/image" Target="media/image9.png"/><Relationship Id="rId63" Type="http://schemas.openxmlformats.org/officeDocument/2006/relationships/image" Target="media/image17.png"/><Relationship Id="rId7" Type="http://schemas.openxmlformats.org/officeDocument/2006/relationships/hyperlink" Target="http://www.ncbi.nlm.nih.gov/pubmed/21963258" TargetMode="External"/><Relationship Id="rId2" Type="http://schemas.openxmlformats.org/officeDocument/2006/relationships/styles" Target="styles.xml"/><Relationship Id="rId16" Type="http://schemas.openxmlformats.org/officeDocument/2006/relationships/hyperlink" Target="http://www.ncbi.nlm.nih.gov/pubmed/20686565" TargetMode="External"/><Relationship Id="rId20" Type="http://schemas.openxmlformats.org/officeDocument/2006/relationships/hyperlink" Target="http://www.ncbi.nlm.nih.gov/geo/query/acc.cgi?acc=GSE1133" TargetMode="External"/><Relationship Id="rId29" Type="http://schemas.openxmlformats.org/officeDocument/2006/relationships/hyperlink" Target="http://gcc.gnu.org/projects/cxx0x.html" TargetMode="External"/><Relationship Id="rId41" Type="http://schemas.openxmlformats.org/officeDocument/2006/relationships/hyperlink" Target="http://matplotlib.org/users/customizing.html" TargetMode="External"/><Relationship Id="rId54" Type="http://schemas.openxmlformats.org/officeDocument/2006/relationships/image" Target="media/image8.png"/><Relationship Id="rId62"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bioinformatics.oxfordjournals.org/content/early/2014/05/10/bioinformatics.btu326" TargetMode="External"/><Relationship Id="rId11" Type="http://schemas.openxmlformats.org/officeDocument/2006/relationships/hyperlink" Target="https://github.com/slowkow/snpsea/releases" TargetMode="External"/><Relationship Id="rId24" Type="http://schemas.openxmlformats.org/officeDocument/2006/relationships/hyperlink" Target="ftp://ftp.ncbi.nlm.nih.gov/gene/DATA/gene2refseq.gz" TargetMode="External"/><Relationship Id="rId32" Type="http://schemas.openxmlformats.org/officeDocument/2006/relationships/hyperlink" Target="http://www.open-mpi.org" TargetMode="External"/><Relationship Id="rId37" Type="http://schemas.openxmlformats.org/officeDocument/2006/relationships/hyperlink" Target="http://docopt.org/" TargetMode="External"/><Relationship Id="rId40" Type="http://schemas.openxmlformats.org/officeDocument/2006/relationships/hyperlink" Target="http://matplotlib.org" TargetMode="External"/><Relationship Id="rId45" Type="http://schemas.openxmlformats.org/officeDocument/2006/relationships/hyperlink" Target="http://cran.r-project.org/web/packages/ggplot2" TargetMode="External"/><Relationship Id="rId53" Type="http://schemas.openxmlformats.org/officeDocument/2006/relationships/image" Target="media/image7.png"/><Relationship Id="rId58" Type="http://schemas.openxmlformats.org/officeDocument/2006/relationships/image" Target="media/image1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ncbi.nlm.nih.gov/pubmed/22057235" TargetMode="External"/><Relationship Id="rId23" Type="http://schemas.openxmlformats.org/officeDocument/2006/relationships/hyperlink" Target="http://www.ncbi.nlm.nih.gov/geo/query/acc.cgi?acc=GSE15907" TargetMode="External"/><Relationship Id="rId28" Type="http://schemas.openxmlformats.org/officeDocument/2006/relationships/hyperlink" Target="http://hapmap.ncbi.nlm.nih.gov/downloads/" TargetMode="External"/><Relationship Id="rId36" Type="http://schemas.openxmlformats.org/officeDocument/2006/relationships/hyperlink" Target="http://www.pip-installer.org" TargetMode="External"/><Relationship Id="rId49" Type="http://schemas.openxmlformats.org/officeDocument/2006/relationships/image" Target="media/image3.png"/><Relationship Id="rId57" Type="http://schemas.openxmlformats.org/officeDocument/2006/relationships/image" Target="media/image11.png"/><Relationship Id="rId61"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www.broadinstitute.org/cancer/software/genepattern/gp_guides/file-formats/sections/gct" TargetMode="External"/><Relationship Id="rId31" Type="http://schemas.openxmlformats.org/officeDocument/2006/relationships/hyperlink" Target="http://eigen.tuxfamily.org" TargetMode="External"/><Relationship Id="rId44" Type="http://schemas.openxmlformats.org/officeDocument/2006/relationships/hyperlink" Target="http://cran.r-project.org/web/packages/gap" TargetMode="Externa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dx.doi.org/10.6084/m9.figshare.871430" TargetMode="External"/><Relationship Id="rId22" Type="http://schemas.openxmlformats.org/officeDocument/2006/relationships/hyperlink" Target="http://www.ncbi.nlm.nih.gov/homologene" TargetMode="External"/><Relationship Id="rId27" Type="http://schemas.openxmlformats.org/officeDocument/2006/relationships/hyperlink" Target="http://bochet.gcc.biostat.washington.edu/beagle/1000_Genomes.phase1_release_v3/" TargetMode="External"/><Relationship Id="rId30" Type="http://schemas.openxmlformats.org/officeDocument/2006/relationships/hyperlink" Target="https://github.com/slowkow/intervaltree" TargetMode="External"/><Relationship Id="rId35" Type="http://schemas.openxmlformats.org/officeDocument/2006/relationships/hyperlink" Target="http://gcc.gnu.org/projects/cxx0x.html" TargetMode="External"/><Relationship Id="rId43" Type="http://schemas.openxmlformats.org/officeDocument/2006/relationships/hyperlink" Target="http://cran.r-project.org/web/packages/reshape2" TargetMode="External"/><Relationship Id="rId48" Type="http://schemas.openxmlformats.org/officeDocument/2006/relationships/hyperlink" Target="http://www.broadinstitute.org/cancer/software/genepattern/gp_guides/file-formats/sections/gct" TargetMode="External"/><Relationship Id="rId56" Type="http://schemas.openxmlformats.org/officeDocument/2006/relationships/image" Target="media/image10.png"/><Relationship Id="rId64" Type="http://schemas.openxmlformats.org/officeDocument/2006/relationships/image" Target="media/image18.png"/><Relationship Id="rId8" Type="http://schemas.openxmlformats.org/officeDocument/2006/relationships/hyperlink" Target="mailto:slowikow@broadinstitute.org" TargetMode="External"/><Relationship Id="rId51" Type="http://schemas.openxmlformats.org/officeDocument/2006/relationships/image" Target="media/image5.png"/><Relationship Id="rId3" Type="http://schemas.microsoft.com/office/2007/relationships/stylesWithEffects" Target="stylesWithEffects.xml"/><Relationship Id="rId12" Type="http://schemas.openxmlformats.org/officeDocument/2006/relationships/hyperlink" Target="https://github.com/slowkow/snpsea" TargetMode="External"/><Relationship Id="rId17" Type="http://schemas.openxmlformats.org/officeDocument/2006/relationships/hyperlink" Target="http://www.ncbi.nlm.nih.gov/pubmed/21833088" TargetMode="External"/><Relationship Id="rId25" Type="http://schemas.openxmlformats.org/officeDocument/2006/relationships/hyperlink" Target="http://www.ncbi.nlm.nih.gov/pubmed/20881960" TargetMode="External"/><Relationship Id="rId33" Type="http://schemas.openxmlformats.org/officeDocument/2006/relationships/hyperlink" Target="http://www.gnu.org/software/gsl" TargetMode="External"/><Relationship Id="rId38" Type="http://schemas.openxmlformats.org/officeDocument/2006/relationships/hyperlink" Target="http://www.numpy.org" TargetMode="External"/><Relationship Id="rId46" Type="http://schemas.openxmlformats.org/officeDocument/2006/relationships/hyperlink" Target="http://www.gnu.org/software/bash/manual/bashref.html" TargetMode="External"/><Relationship Id="rId5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26</Pages>
  <Words>6541</Words>
  <Characters>37287</Characters>
  <Application>Microsoft Office Word</Application>
  <DocSecurity>0</DocSecurity>
  <Lines>310</Lines>
  <Paragraphs>87</Paragraphs>
  <ScaleCrop>false</ScaleCrop>
  <Company/>
  <LinksUpToDate>false</LinksUpToDate>
  <CharactersWithSpaces>43741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SNPsea Reference Manual</dc:title>
  <dc:creator>Kamil Slowikowski</dc:creator>
  <cp:lastModifiedBy>Kamil Slowikowski</cp:lastModifiedBy>
  <cp:revision>2</cp:revision>
  <dcterms:created xsi:type="dcterms:W3CDTF">2014-03-31T00:00:00Z</dcterms:created>
  <dcterms:modified xsi:type="dcterms:W3CDTF">2014-05-17T03:51:00Z</dcterms:modified>
</cp:coreProperties>
</file>