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B4BE" w14:textId="77777777" w:rsidR="00345C90" w:rsidRPr="00345C90" w:rsidRDefault="00345C90" w:rsidP="00345C9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000000"/>
          <w:kern w:val="0"/>
          <w:sz w:val="27"/>
          <w:szCs w:val="27"/>
        </w:rPr>
      </w:pPr>
      <w:r w:rsidRPr="00345C90">
        <w:rPr>
          <w:rFonts w:ascii="Open Sans" w:eastAsia="宋体" w:hAnsi="Open Sans" w:cs="Open Sans"/>
          <w:color w:val="000000"/>
          <w:kern w:val="0"/>
          <w:sz w:val="27"/>
          <w:szCs w:val="27"/>
        </w:rPr>
        <w:t>DESeq2-normalized counts: Median of ratios method</w:t>
      </w:r>
    </w:p>
    <w:p w14:paraId="01E2C1A8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Since tools for differential expression analysis are comparing the counts between sample groups for the same gene, gene length does not need to be accounted for by the tool. However, </w:t>
      </w: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sequencing depth</w:t>
      </w: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 and </w:t>
      </w: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RNA composition</w:t>
      </w: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 do need to be </w:t>
      </w:r>
      <w:proofErr w:type="gram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taken into account</w:t>
      </w:r>
      <w:proofErr w:type="gram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.</w:t>
      </w:r>
    </w:p>
    <w:p w14:paraId="732BFB55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To normalize for sequencing depth and RNA composition, DESeq2 uses the median of ratios method. On the user-end there is only one step, but on the </w:t>
      </w:r>
      <w:proofErr w:type="gram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back-end</w:t>
      </w:r>
      <w:proofErr w:type="gram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there are multiple steps involved, as described below.</w:t>
      </w:r>
    </w:p>
    <w:p w14:paraId="7955D9A6" w14:textId="77777777" w:rsidR="00345C90" w:rsidRPr="00345C90" w:rsidRDefault="00345C90" w:rsidP="00345C90">
      <w:pPr>
        <w:widowControl/>
        <w:jc w:val="left"/>
        <w:rPr>
          <w:rFonts w:ascii="Open Sans" w:eastAsia="宋体" w:hAnsi="Open Sans" w:cs="Open Sans"/>
          <w:color w:val="819198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b/>
          <w:bCs/>
          <w:color w:val="819198"/>
          <w:kern w:val="0"/>
          <w:sz w:val="26"/>
          <w:szCs w:val="26"/>
        </w:rPr>
        <w:t>NOTE:</w:t>
      </w:r>
      <w:r w:rsidRPr="00345C90">
        <w:rPr>
          <w:rFonts w:ascii="Open Sans" w:eastAsia="宋体" w:hAnsi="Open Sans" w:cs="Open Sans"/>
          <w:color w:val="819198"/>
          <w:kern w:val="0"/>
          <w:sz w:val="26"/>
          <w:szCs w:val="26"/>
        </w:rPr>
        <w:t> The steps below describe in detail some of the steps performed by DESeq2 when you run a single function to get DE genes. Basically, for a typical RNA-seq analysis, </w:t>
      </w:r>
      <w:r w:rsidRPr="00345C90">
        <w:rPr>
          <w:rFonts w:ascii="Open Sans" w:eastAsia="宋体" w:hAnsi="Open Sans" w:cs="Open Sans"/>
          <w:b/>
          <w:bCs/>
          <w:color w:val="819198"/>
          <w:kern w:val="0"/>
          <w:sz w:val="26"/>
          <w:szCs w:val="26"/>
        </w:rPr>
        <w:t>you would not run these steps individually</w:t>
      </w:r>
      <w:r w:rsidRPr="00345C90">
        <w:rPr>
          <w:rFonts w:ascii="Open Sans" w:eastAsia="宋体" w:hAnsi="Open Sans" w:cs="Open Sans"/>
          <w:color w:val="819198"/>
          <w:kern w:val="0"/>
          <w:sz w:val="26"/>
          <w:szCs w:val="26"/>
        </w:rPr>
        <w:t>.</w:t>
      </w:r>
    </w:p>
    <w:p w14:paraId="6D8BAA1E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Step 1: creates a pseudo-reference sample (row-wise geometric mean)</w:t>
      </w:r>
    </w:p>
    <w:p w14:paraId="220A21A2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For each gene, a pseudo-reference sample is created that is equal to the geometric mean across all samples.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213"/>
        <w:gridCol w:w="2204"/>
        <w:gridCol w:w="6395"/>
      </w:tblGrid>
      <w:tr w:rsidR="00345C90" w:rsidRPr="00345C90" w14:paraId="5DBD3885" w14:textId="77777777" w:rsidTr="00345C90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9B90A81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lastRenderedPageBreak/>
              <w:t>gene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AD5021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sampleA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8BDA5FC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sampleB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E95A3E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pseudo-reference sample</w:t>
            </w:r>
          </w:p>
        </w:tc>
      </w:tr>
      <w:tr w:rsidR="00345C90" w:rsidRPr="00345C90" w14:paraId="35D0CC3E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F2E263A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EF2A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87D45BA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1489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8E8D56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906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7507CCF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proofErr w:type="gramStart"/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sqrt(</w:t>
            </w:r>
            <w:proofErr w:type="gramEnd"/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1489 * 906)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1161.5</w:t>
            </w:r>
          </w:p>
        </w:tc>
      </w:tr>
      <w:tr w:rsidR="00345C90" w:rsidRPr="00345C90" w14:paraId="2AFF7AB8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6384576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ABCD1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7CD78A9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09ADF76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07B733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proofErr w:type="gramStart"/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sqrt(</w:t>
            </w:r>
            <w:proofErr w:type="gramEnd"/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22 * 13)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17.7</w:t>
            </w:r>
          </w:p>
        </w:tc>
      </w:tr>
      <w:tr w:rsidR="00345C90" w:rsidRPr="00345C90" w14:paraId="790F01DE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613A835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B28B80B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429601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257B031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</w:tr>
    </w:tbl>
    <w:p w14:paraId="4FC79916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Step 2: calculates ratio of each sample to the reference</w:t>
      </w:r>
    </w:p>
    <w:p w14:paraId="3748C014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For every gene in a sample, the ratios (sample/ref) are calculated (as shown below). This is performed for each sample in the dataset. Since </w:t>
      </w:r>
      <w:proofErr w:type="gram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the majority of</w:t>
      </w:r>
      <w:proofErr w:type="gram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genes are not differentially expressed, the majority of genes in each sample should have similar ratios within the sample.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212"/>
        <w:gridCol w:w="1206"/>
        <w:gridCol w:w="3501"/>
        <w:gridCol w:w="2798"/>
        <w:gridCol w:w="2793"/>
      </w:tblGrid>
      <w:tr w:rsidR="00345C90" w:rsidRPr="00345C90" w14:paraId="68F95BDD" w14:textId="77777777" w:rsidTr="00345C90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CFD85FF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gene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50A7376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sampleA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CFC3808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sampleB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2FE4D4C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pseudo-reference sample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0E80D8A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 xml:space="preserve">ratio of </w:t>
            </w: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sampleA</w:t>
            </w:r>
            <w:proofErr w:type="spellEnd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/ref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15C3210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 xml:space="preserve">ratio of </w:t>
            </w: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sampleB</w:t>
            </w:r>
            <w:proofErr w:type="spellEnd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/ref</w:t>
            </w:r>
          </w:p>
        </w:tc>
      </w:tr>
      <w:tr w:rsidR="00345C90" w:rsidRPr="00345C90" w14:paraId="0D3C1742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1461523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EF2A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8A5B01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1489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7621E8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906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A3AF525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1161.5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2DB51D3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1489/1161.5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1.28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2DEED23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906/1161.5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0.78</w:t>
            </w:r>
          </w:p>
        </w:tc>
      </w:tr>
      <w:tr w:rsidR="00345C90" w:rsidRPr="00345C90" w14:paraId="1DACF80C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554F3A6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ABCD1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7141BBE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9792C35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8A19B1C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16.9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AC8614E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22/16.9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1.30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449C8E7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13/16.9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0.77</w:t>
            </w:r>
          </w:p>
        </w:tc>
      </w:tr>
      <w:tr w:rsidR="00345C90" w:rsidRPr="00345C90" w14:paraId="427CA526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FB4ABB2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lastRenderedPageBreak/>
              <w:t>MEFV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12B7C25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793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C465EE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410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2B46883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570.2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E1A4F31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793/570.2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1.39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25CF055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410/570.2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0.72</w:t>
            </w:r>
          </w:p>
        </w:tc>
      </w:tr>
      <w:tr w:rsidR="00345C90" w:rsidRPr="00345C90" w14:paraId="1AB2E13B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2D88C75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BAG1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8913355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76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56AFAA7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42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41EAA0B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56.5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76E258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76/56.5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1.35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7A1F14C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42/56.5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0.74</w:t>
            </w:r>
          </w:p>
        </w:tc>
      </w:tr>
      <w:tr w:rsidR="00345C90" w:rsidRPr="00345C90" w14:paraId="79465E9D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B774835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MOV10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A1A06C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521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383AF61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1196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DEBEBF7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883.7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EC82066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521/883.7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0.590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E8FAF56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1196/883.7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1.35</w:t>
            </w:r>
          </w:p>
        </w:tc>
      </w:tr>
      <w:tr w:rsidR="00345C90" w:rsidRPr="00345C90" w14:paraId="48CC4536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BA8AE37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1302D27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040FB59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7F7586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708384B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1648843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 </w:t>
            </w:r>
          </w:p>
        </w:tc>
      </w:tr>
    </w:tbl>
    <w:p w14:paraId="5F87FE69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Step 3: calculate the normalization factor for each sample (size factor)</w:t>
      </w:r>
    </w:p>
    <w:p w14:paraId="7F37DB28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The median value (column-wise for the above table) of all ratios for a given sample is taken as the normalization factor (size factor) for that sample, as calculated below. Notice that the differentially expressed genes should not affect the median value:</w:t>
      </w:r>
    </w:p>
    <w:p w14:paraId="1CDF85A5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proofErr w:type="spellStart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>normalization_factor_sampleA</w:t>
      </w:r>
      <w:proofErr w:type="spellEnd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 xml:space="preserve"> &lt;- </w:t>
      </w:r>
      <w:proofErr w:type="gramStart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>median(</w:t>
      </w:r>
      <w:proofErr w:type="gramEnd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>c(1.28, 1.3, 1.39, 1.35, 0.59))</w:t>
      </w:r>
    </w:p>
    <w:p w14:paraId="4616C503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proofErr w:type="spellStart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>normalization_factor_sampleB</w:t>
      </w:r>
      <w:proofErr w:type="spellEnd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 xml:space="preserve"> &lt;- </w:t>
      </w:r>
      <w:proofErr w:type="gramStart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>median(</w:t>
      </w:r>
      <w:proofErr w:type="gramEnd"/>
      <w:r w:rsidRPr="00345C90">
        <w:rPr>
          <w:rFonts w:ascii="Consolas" w:eastAsia="宋体" w:hAnsi="Consolas" w:cs="Consolas"/>
          <w:color w:val="567482"/>
          <w:kern w:val="0"/>
          <w:sz w:val="24"/>
          <w:shd w:val="clear" w:color="auto" w:fill="F3F6FA"/>
        </w:rPr>
        <w:t>c(0.78, 0.77, 0.72, 0.74, 1.35))</w:t>
      </w:r>
    </w:p>
    <w:p w14:paraId="7290D529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lastRenderedPageBreak/>
        <w:t>The figure below illustrates the median value for the distribution of all gene ratios for a single sample (frequency is on the y-axis).</w:t>
      </w:r>
    </w:p>
    <w:p w14:paraId="394E7444" w14:textId="1B0AD1EB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fldChar w:fldCharType="begin"/>
      </w: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instrText xml:space="preserve"> INCLUDEPICTURE "/var/folders/yg/97y7c6f94fqb_7rqhsjcdvh40000gn/T/com.microsoft.Word/WebArchiveCopyPasteTempFiles/deseq_median_of_ratios.png" \* MERGEFORMATINET </w:instrText>
      </w: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fldChar w:fldCharType="separate"/>
      </w:r>
      <w:r w:rsidRPr="00345C90">
        <w:rPr>
          <w:rFonts w:ascii="Open Sans" w:eastAsia="宋体" w:hAnsi="Open Sans" w:cs="Open Sans"/>
          <w:noProof/>
          <w:color w:val="606C71"/>
          <w:kern w:val="0"/>
          <w:sz w:val="26"/>
          <w:szCs w:val="26"/>
        </w:rPr>
        <w:drawing>
          <wp:inline distT="0" distB="0" distL="0" distR="0" wp14:anchorId="79940640" wp14:editId="5427EF0E">
            <wp:extent cx="5087620" cy="3574415"/>
            <wp:effectExtent l="0" t="0" r="508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fldChar w:fldCharType="end"/>
      </w:r>
    </w:p>
    <w:p w14:paraId="11CF1D9D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lastRenderedPageBreak/>
        <w:t xml:space="preserve">The median of ratios method </w:t>
      </w:r>
      <w:proofErr w:type="gram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makes the assumption</w:t>
      </w:r>
      <w:proofErr w:type="gram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that not ALL genes are differentially expressed; therefore, the normalization factors should account for sequencing depth and RNA composition of the sample (large outlier genes will not represent the median ratio values). </w:t>
      </w: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This method is robust to imbalance in up-/down-regulation and large numbers of differentially expressed genes.</w:t>
      </w:r>
    </w:p>
    <w:p w14:paraId="51AFB965" w14:textId="77777777" w:rsidR="00345C90" w:rsidRPr="00345C90" w:rsidRDefault="00345C90" w:rsidP="00345C90">
      <w:pPr>
        <w:widowControl/>
        <w:jc w:val="left"/>
        <w:rPr>
          <w:rFonts w:ascii="Open Sans" w:eastAsia="宋体" w:hAnsi="Open Sans" w:cs="Open Sans"/>
          <w:color w:val="819198"/>
          <w:kern w:val="0"/>
          <w:sz w:val="26"/>
          <w:szCs w:val="26"/>
        </w:rPr>
      </w:pPr>
      <w:proofErr w:type="gramStart"/>
      <w:r w:rsidRPr="00345C90">
        <w:rPr>
          <w:rFonts w:ascii="Open Sans" w:eastAsia="宋体" w:hAnsi="Open Sans" w:cs="Open Sans"/>
          <w:color w:val="819198"/>
          <w:kern w:val="0"/>
          <w:sz w:val="26"/>
          <w:szCs w:val="26"/>
        </w:rPr>
        <w:t>Usually</w:t>
      </w:r>
      <w:proofErr w:type="gramEnd"/>
      <w:r w:rsidRPr="00345C90">
        <w:rPr>
          <w:rFonts w:ascii="Open Sans" w:eastAsia="宋体" w:hAnsi="Open Sans" w:cs="Open Sans"/>
          <w:color w:val="819198"/>
          <w:kern w:val="0"/>
          <w:sz w:val="26"/>
          <w:szCs w:val="26"/>
        </w:rPr>
        <w:t xml:space="preserve"> these size factors are around 1, if you see large variations between samples it is important to take note since it might indicate the presence of extreme outliers.</w:t>
      </w:r>
    </w:p>
    <w:p w14:paraId="5D683BB8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Step 4: calculate the normalized count values using the normalization factor</w:t>
      </w:r>
    </w:p>
    <w:p w14:paraId="02C7EE7E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This is performed by dividing each raw count value </w:t>
      </w:r>
      <w:proofErr w:type="gram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in a given</w:t>
      </w:r>
      <w:proofErr w:type="gram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sample by that sample’s normalization factor to generate normalized count values. This is performed for all count values (every gene in every sample). For example, if the median ratio for </w:t>
      </w:r>
      <w:proofErr w:type="spell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SampleA</w:t>
      </w:r>
      <w:proofErr w:type="spell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was 1.3 and the median ratio for </w:t>
      </w:r>
      <w:proofErr w:type="spell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SampleB</w:t>
      </w:r>
      <w:proofErr w:type="spell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was 0.77, you could calculate normalized counts as follows:</w:t>
      </w:r>
    </w:p>
    <w:p w14:paraId="4B1519C9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proofErr w:type="spell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lastRenderedPageBreak/>
        <w:t>SampleA</w:t>
      </w:r>
      <w:proofErr w:type="spell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median ratio = 1.3</w:t>
      </w:r>
    </w:p>
    <w:p w14:paraId="038B0ED7" w14:textId="77777777" w:rsidR="00345C90" w:rsidRPr="00345C90" w:rsidRDefault="00345C90" w:rsidP="00345C90">
      <w:pPr>
        <w:widowControl/>
        <w:spacing w:before="100"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proofErr w:type="spellStart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>SampleB</w:t>
      </w:r>
      <w:proofErr w:type="spellEnd"/>
      <w:r w:rsidRPr="00345C90">
        <w:rPr>
          <w:rFonts w:ascii="Open Sans" w:eastAsia="宋体" w:hAnsi="Open Sans" w:cs="Open Sans"/>
          <w:color w:val="606C71"/>
          <w:kern w:val="0"/>
          <w:sz w:val="26"/>
          <w:szCs w:val="26"/>
        </w:rPr>
        <w:t xml:space="preserve"> median ratio = 0.77</w:t>
      </w:r>
    </w:p>
    <w:p w14:paraId="08C4F7EB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Raw Counts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4539"/>
        <w:gridCol w:w="4520"/>
      </w:tblGrid>
      <w:tr w:rsidR="00345C90" w:rsidRPr="00345C90" w14:paraId="2AE105BE" w14:textId="77777777" w:rsidTr="00345C90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767B37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gene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05D6FF8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sampleA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B9D415B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sampleB</w:t>
            </w:r>
            <w:proofErr w:type="spellEnd"/>
          </w:p>
        </w:tc>
      </w:tr>
      <w:tr w:rsidR="00345C90" w:rsidRPr="00345C90" w14:paraId="7C43AF35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5A62105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EF2A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14D6BE0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1489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230268D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906</w:t>
            </w:r>
          </w:p>
        </w:tc>
      </w:tr>
      <w:tr w:rsidR="00345C90" w:rsidRPr="00345C90" w14:paraId="0315105A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BA5891A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ABCD1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889863C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EEF72D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13</w:t>
            </w:r>
          </w:p>
        </w:tc>
      </w:tr>
      <w:tr w:rsidR="00345C90" w:rsidRPr="00345C90" w14:paraId="46373FB0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A20FE4C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EC88CE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ED1EB29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</w:tr>
    </w:tbl>
    <w:p w14:paraId="50931AD4" w14:textId="77777777" w:rsidR="00345C90" w:rsidRPr="00345C90" w:rsidRDefault="00345C90" w:rsidP="00345C90">
      <w:pPr>
        <w:widowControl/>
        <w:spacing w:beforeAutospacing="1" w:after="240"/>
        <w:jc w:val="left"/>
        <w:rPr>
          <w:rFonts w:ascii="Open Sans" w:eastAsia="宋体" w:hAnsi="Open Sans" w:cs="Open Sans"/>
          <w:color w:val="606C71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b/>
          <w:bCs/>
          <w:color w:val="606C71"/>
          <w:kern w:val="0"/>
          <w:sz w:val="26"/>
          <w:szCs w:val="26"/>
        </w:rPr>
        <w:t>Normalized Counts</w:t>
      </w:r>
    </w:p>
    <w:tbl>
      <w:tblPr>
        <w:tblW w:w="12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5310"/>
        <w:gridCol w:w="5310"/>
      </w:tblGrid>
      <w:tr w:rsidR="00345C90" w:rsidRPr="00345C90" w14:paraId="110CFE92" w14:textId="77777777" w:rsidTr="00345C90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6791354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gene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DE74EF6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sampleA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DCD1E38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</w:pPr>
            <w:proofErr w:type="spellStart"/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sampleB</w:t>
            </w:r>
            <w:proofErr w:type="spellEnd"/>
          </w:p>
        </w:tc>
      </w:tr>
      <w:tr w:rsidR="00345C90" w:rsidRPr="00345C90" w14:paraId="5B976ED5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A8EF1AB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EF2A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8DA03AA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1489 / 1.3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1145.39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ECB62BA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906 / 0.77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1176.62</w:t>
            </w:r>
          </w:p>
        </w:tc>
      </w:tr>
      <w:tr w:rsidR="00345C90" w:rsidRPr="00345C90" w14:paraId="404EDFAD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B83C58F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lastRenderedPageBreak/>
              <w:t>ABCD1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93ED32B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22 / 1.3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16.92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A37F8C1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13 / 0.77 = </w:t>
            </w:r>
            <w:r w:rsidRPr="00345C90">
              <w:rPr>
                <w:rFonts w:ascii="Open Sans" w:eastAsia="宋体" w:hAnsi="Open Sans" w:cs="Open Sans"/>
                <w:b/>
                <w:bCs/>
                <w:color w:val="606C71"/>
                <w:kern w:val="0"/>
                <w:sz w:val="26"/>
                <w:szCs w:val="26"/>
              </w:rPr>
              <w:t>16.88</w:t>
            </w:r>
          </w:p>
        </w:tc>
      </w:tr>
      <w:tr w:rsidR="00345C90" w:rsidRPr="00345C90" w14:paraId="0CF80864" w14:textId="77777777" w:rsidTr="00345C90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CE7C857" w14:textId="77777777" w:rsidR="00345C90" w:rsidRPr="00345C90" w:rsidRDefault="00345C90" w:rsidP="00345C90">
            <w:pPr>
              <w:widowControl/>
              <w:jc w:val="left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2FD78F0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1156607" w14:textId="77777777" w:rsidR="00345C90" w:rsidRPr="00345C90" w:rsidRDefault="00345C90" w:rsidP="00345C90">
            <w:pPr>
              <w:widowControl/>
              <w:jc w:val="center"/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</w:pPr>
            <w:r w:rsidRPr="00345C90">
              <w:rPr>
                <w:rFonts w:ascii="Open Sans" w:eastAsia="宋体" w:hAnsi="Open Sans" w:cs="Open Sans"/>
                <w:color w:val="606C71"/>
                <w:kern w:val="0"/>
                <w:sz w:val="26"/>
                <w:szCs w:val="26"/>
              </w:rPr>
              <w:t>…</w:t>
            </w:r>
          </w:p>
        </w:tc>
      </w:tr>
    </w:tbl>
    <w:p w14:paraId="2266A2BF" w14:textId="77777777" w:rsidR="00345C90" w:rsidRPr="00345C90" w:rsidRDefault="00345C90" w:rsidP="00345C90">
      <w:pPr>
        <w:widowControl/>
        <w:jc w:val="left"/>
        <w:rPr>
          <w:rFonts w:ascii="Open Sans" w:eastAsia="宋体" w:hAnsi="Open Sans" w:cs="Open Sans"/>
          <w:color w:val="819198"/>
          <w:kern w:val="0"/>
          <w:sz w:val="26"/>
          <w:szCs w:val="26"/>
        </w:rPr>
      </w:pPr>
      <w:r w:rsidRPr="00345C90">
        <w:rPr>
          <w:rFonts w:ascii="Open Sans" w:eastAsia="宋体" w:hAnsi="Open Sans" w:cs="Open Sans"/>
          <w:color w:val="819198"/>
          <w:kern w:val="0"/>
          <w:sz w:val="26"/>
          <w:szCs w:val="26"/>
        </w:rPr>
        <w:t>Please note that normalized count values are not whole numbers.</w:t>
      </w:r>
    </w:p>
    <w:p w14:paraId="567E38A0" w14:textId="77777777" w:rsidR="00345C90" w:rsidRPr="00345C90" w:rsidRDefault="00345C90" w:rsidP="00345C9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FFE7761" w14:textId="4F34361C" w:rsidR="000160B4" w:rsidRPr="00345C90" w:rsidRDefault="00345C90">
      <w:r>
        <w:t>R</w:t>
      </w:r>
      <w:r>
        <w:rPr>
          <w:rFonts w:hint="eastAsia"/>
        </w:rPr>
        <w:t>ef</w:t>
      </w:r>
      <w:r>
        <w:t>:</w:t>
      </w:r>
      <w:r w:rsidRPr="00345C90">
        <w:t xml:space="preserve"> </w:t>
      </w:r>
      <w:r w:rsidRPr="00345C90">
        <w:t>https://hbctraining.github.io/DGE_workshop/lessons/02_DGE_count_normalization.html</w:t>
      </w:r>
    </w:p>
    <w:sectPr w:rsidR="000160B4" w:rsidRPr="00345C90" w:rsidSect="00345C90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90"/>
    <w:rsid w:val="000063AC"/>
    <w:rsid w:val="000160B4"/>
    <w:rsid w:val="0008731F"/>
    <w:rsid w:val="00097757"/>
    <w:rsid w:val="000A351A"/>
    <w:rsid w:val="00133A2E"/>
    <w:rsid w:val="00141A3B"/>
    <w:rsid w:val="00145CE9"/>
    <w:rsid w:val="001C62E8"/>
    <w:rsid w:val="00231554"/>
    <w:rsid w:val="00232388"/>
    <w:rsid w:val="002653DD"/>
    <w:rsid w:val="0028323B"/>
    <w:rsid w:val="002C7DAF"/>
    <w:rsid w:val="002D6EF8"/>
    <w:rsid w:val="002F4157"/>
    <w:rsid w:val="0030590C"/>
    <w:rsid w:val="00345C90"/>
    <w:rsid w:val="00345D74"/>
    <w:rsid w:val="003D4E92"/>
    <w:rsid w:val="003E5478"/>
    <w:rsid w:val="004B4110"/>
    <w:rsid w:val="004C1DCD"/>
    <w:rsid w:val="0051545B"/>
    <w:rsid w:val="0052193A"/>
    <w:rsid w:val="00524F8D"/>
    <w:rsid w:val="006438B0"/>
    <w:rsid w:val="00743DA1"/>
    <w:rsid w:val="00885AB7"/>
    <w:rsid w:val="008A30C2"/>
    <w:rsid w:val="008C1F46"/>
    <w:rsid w:val="00942AF7"/>
    <w:rsid w:val="009B2171"/>
    <w:rsid w:val="009E4642"/>
    <w:rsid w:val="00A02540"/>
    <w:rsid w:val="00A12923"/>
    <w:rsid w:val="00A438DA"/>
    <w:rsid w:val="00A44290"/>
    <w:rsid w:val="00A52435"/>
    <w:rsid w:val="00AA01A7"/>
    <w:rsid w:val="00AD6DA3"/>
    <w:rsid w:val="00AF30D9"/>
    <w:rsid w:val="00B61AEB"/>
    <w:rsid w:val="00BE2810"/>
    <w:rsid w:val="00C0003F"/>
    <w:rsid w:val="00C06628"/>
    <w:rsid w:val="00C8683A"/>
    <w:rsid w:val="00CB0FB9"/>
    <w:rsid w:val="00D17BAE"/>
    <w:rsid w:val="00DB06D9"/>
    <w:rsid w:val="00E26DD6"/>
    <w:rsid w:val="00E95886"/>
    <w:rsid w:val="00EE6899"/>
    <w:rsid w:val="00F13B38"/>
    <w:rsid w:val="00F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A4894"/>
  <w15:chartTrackingRefBased/>
  <w15:docId w15:val="{E5CEC9B4-3665-E44B-B769-AA70F673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45C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45C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45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45C90"/>
  </w:style>
  <w:style w:type="character" w:styleId="a4">
    <w:name w:val="Strong"/>
    <w:basedOn w:val="a0"/>
    <w:uiPriority w:val="22"/>
    <w:qFormat/>
    <w:rsid w:val="00345C90"/>
    <w:rPr>
      <w:b/>
      <w:bCs/>
    </w:rPr>
  </w:style>
  <w:style w:type="character" w:styleId="HTML">
    <w:name w:val="HTML Code"/>
    <w:basedOn w:val="a0"/>
    <w:uiPriority w:val="99"/>
    <w:semiHidden/>
    <w:unhideWhenUsed/>
    <w:rsid w:val="00345C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48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0" w:color="DCE6F0"/>
            <w:bottom w:val="none" w:sz="0" w:space="0" w:color="auto"/>
            <w:right w:val="none" w:sz="0" w:space="0" w:color="auto"/>
          </w:divBdr>
        </w:div>
        <w:div w:id="204177650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0" w:color="DCE6F0"/>
            <w:bottom w:val="none" w:sz="0" w:space="0" w:color="auto"/>
            <w:right w:val="none" w:sz="0" w:space="0" w:color="auto"/>
          </w:divBdr>
        </w:div>
        <w:div w:id="130169258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0" w:color="DCE6F0"/>
            <w:bottom w:val="none" w:sz="0" w:space="0" w:color="auto"/>
            <w:right w:val="none" w:sz="0" w:space="0" w:color="auto"/>
          </w:divBdr>
        </w:div>
      </w:divsChild>
    </w:div>
    <w:div w:id="214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0997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0" w:color="DCE6F0"/>
            <w:bottom w:val="none" w:sz="0" w:space="0" w:color="auto"/>
            <w:right w:val="none" w:sz="0" w:space="0" w:color="auto"/>
          </w:divBdr>
        </w:div>
        <w:div w:id="126572837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0" w:color="DCE6F0"/>
            <w:bottom w:val="none" w:sz="0" w:space="0" w:color="auto"/>
            <w:right w:val="none" w:sz="0" w:space="0" w:color="auto"/>
          </w:divBdr>
        </w:div>
        <w:div w:id="177925257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24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2021-10-07T10:49:00Z</dcterms:created>
  <dcterms:modified xsi:type="dcterms:W3CDTF">2021-10-07T11:08:00Z</dcterms:modified>
</cp:coreProperties>
</file>