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A65A3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事故程序系统测试说明</w:t>
      </w:r>
    </w:p>
    <w:p w14:paraId="4F5076E7">
      <w:pPr>
        <w:ind w:firstLine="480" w:firstLineChars="20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本文档以</w:t>
      </w:r>
      <w:r>
        <w:rPr>
          <w:rFonts w:ascii="Times New Roman" w:hAnsi="Times New Roman" w:eastAsia="宋体" w:cs="Times New Roman"/>
          <w:szCs w:val="24"/>
        </w:rPr>
        <w:t>modul</w:t>
      </w:r>
      <w:r>
        <w:rPr>
          <w:rFonts w:hint="eastAsia" w:ascii="Times New Roman" w:hAnsi="Times New Roman" w:eastAsia="宋体" w:cs="Times New Roman"/>
          <w:szCs w:val="24"/>
        </w:rPr>
        <w:t>200堆型的算例卡</w:t>
      </w:r>
      <w:r>
        <w:rPr>
          <w:rFonts w:ascii="Times New Roman" w:hAnsi="Times New Roman" w:eastAsia="宋体" w:cs="Times New Roman"/>
          <w:szCs w:val="24"/>
        </w:rPr>
        <w:t>为例</w:t>
      </w:r>
      <w:r>
        <w:rPr>
          <w:rFonts w:hint="eastAsia" w:ascii="Times New Roman" w:hAnsi="Times New Roman" w:eastAsia="宋体" w:cs="Times New Roman"/>
          <w:szCs w:val="24"/>
        </w:rPr>
        <w:t>。</w:t>
      </w:r>
    </w:p>
    <w:p w14:paraId="2A347EEE">
      <w:r>
        <w:rPr>
          <w:rFonts w:hint="eastAsia" w:ascii="Times New Roman" w:hAnsi="Times New Roman" w:cs="Times New Roman"/>
        </w:rPr>
        <w:t xml:space="preserve">4 </w:t>
      </w:r>
      <w:r>
        <w:rPr>
          <w:rFonts w:hint="eastAsia"/>
        </w:rPr>
        <w:t>主要物理性质</w:t>
      </w:r>
    </w:p>
    <w:p w14:paraId="3F8B5664">
      <w:pPr>
        <w:ind w:firstLine="480" w:firstLineChars="20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稳态计算是</w:t>
      </w:r>
      <w:r>
        <w:rPr>
          <w:rFonts w:hint="eastAsia" w:ascii="Times New Roman" w:hAnsi="Times New Roman" w:eastAsia="宋体" w:cs="Times New Roman"/>
          <w:color w:val="FF0000"/>
          <w:szCs w:val="24"/>
        </w:rPr>
        <w:t>瞬态</w:t>
      </w:r>
      <w:r>
        <w:rPr>
          <w:rFonts w:ascii="Times New Roman" w:hAnsi="Times New Roman" w:eastAsia="宋体" w:cs="Times New Roman"/>
          <w:color w:val="FF0000"/>
          <w:szCs w:val="24"/>
        </w:rPr>
        <w:t>计算的前提条件</w:t>
      </w:r>
      <w:r>
        <w:rPr>
          <w:rFonts w:hint="eastAsia" w:ascii="Times New Roman" w:hAnsi="Times New Roman" w:eastAsia="宋体" w:cs="Times New Roman"/>
          <w:color w:val="FF0000"/>
          <w:szCs w:val="24"/>
        </w:rPr>
        <w:t>。</w:t>
      </w:r>
    </w:p>
    <w:p w14:paraId="56463981">
      <w:pPr>
        <w:ind w:firstLine="480" w:firstLineChars="20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表</w:t>
      </w:r>
      <w:r>
        <w:rPr>
          <w:rFonts w:hint="eastAsia" w:ascii="Times New Roman" w:hAnsi="Times New Roman" w:eastAsia="宋体" w:cs="Times New Roman"/>
          <w:szCs w:val="24"/>
        </w:rPr>
        <w:t xml:space="preserve">5 </w:t>
      </w:r>
      <w:r>
        <w:rPr>
          <w:rFonts w:ascii="Times New Roman" w:hAnsi="Times New Roman" w:eastAsia="宋体" w:cs="Times New Roman"/>
          <w:szCs w:val="24"/>
        </w:rPr>
        <w:t>主要物理性质表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843"/>
        <w:gridCol w:w="2268"/>
        <w:gridCol w:w="3594"/>
      </w:tblGrid>
      <w:tr w14:paraId="1692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62081E4B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序号</w:t>
            </w:r>
          </w:p>
        </w:tc>
        <w:tc>
          <w:tcPr>
            <w:tcW w:w="1843" w:type="dxa"/>
          </w:tcPr>
          <w:p w14:paraId="77D613CF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实现功能</w:t>
            </w:r>
          </w:p>
        </w:tc>
        <w:tc>
          <w:tcPr>
            <w:tcW w:w="2268" w:type="dxa"/>
          </w:tcPr>
          <w:p w14:paraId="6AC2F34B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修改位置</w:t>
            </w:r>
          </w:p>
        </w:tc>
        <w:tc>
          <w:tcPr>
            <w:tcW w:w="3594" w:type="dxa"/>
          </w:tcPr>
          <w:p w14:paraId="53FC7144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输出位置</w:t>
            </w:r>
          </w:p>
        </w:tc>
      </w:tr>
      <w:tr w14:paraId="28957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1D0C31FE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1</w:t>
            </w:r>
          </w:p>
        </w:tc>
        <w:tc>
          <w:tcPr>
            <w:tcW w:w="1843" w:type="dxa"/>
          </w:tcPr>
          <w:p w14:paraId="26DDC595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稳态计算的额定功率定义，功率越高，堆芯出口氦气温度越高，燃料最高温度与平均温度越高</w:t>
            </w:r>
          </w:p>
        </w:tc>
        <w:tc>
          <w:tcPr>
            <w:tcW w:w="2268" w:type="dxa"/>
          </w:tcPr>
          <w:p w14:paraId="24F1BF7F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tn3文件ST*卡中的第一行第二个值</w:t>
            </w:r>
          </w:p>
        </w:tc>
        <w:tc>
          <w:tcPr>
            <w:tcW w:w="3594" w:type="dxa"/>
          </w:tcPr>
          <w:p w14:paraId="5524F0F8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equilibrium calculation和TRANSIENT CALCULATION中的Tk3（堆芯出口温度）</w:t>
            </w:r>
          </w:p>
          <w:p w14:paraId="1307FABF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BZTM（燃料最高温度）</w:t>
            </w:r>
          </w:p>
          <w:p w14:paraId="694C20DC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TFUEM（燃料平均温度）</w:t>
            </w:r>
          </w:p>
        </w:tc>
      </w:tr>
      <w:tr w14:paraId="6701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639983EE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2</w:t>
            </w:r>
          </w:p>
        </w:tc>
        <w:tc>
          <w:tcPr>
            <w:tcW w:w="1843" w:type="dxa"/>
          </w:tcPr>
          <w:p w14:paraId="0995E7DE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回路流量越大，堆芯出口温度越低，燃料最高温度与平均温度越低</w:t>
            </w:r>
          </w:p>
        </w:tc>
        <w:tc>
          <w:tcPr>
            <w:tcW w:w="2268" w:type="dxa"/>
          </w:tcPr>
          <w:p w14:paraId="1E49191D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tn3文件TM*卡中的质量源材料的第二行第8个值</w:t>
            </w:r>
          </w:p>
          <w:p w14:paraId="56ECE2C0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bookmarkStart w:id="0" w:name="_GoBack"/>
            <w:bookmarkEnd w:id="0"/>
          </w:p>
        </w:tc>
        <w:tc>
          <w:tcPr>
            <w:tcW w:w="3594" w:type="dxa"/>
          </w:tcPr>
          <w:p w14:paraId="0873A2AA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equilibrium calculation 和TRANSIENT CALCULATION中的Tk3（堆芯出口温度）</w:t>
            </w:r>
          </w:p>
          <w:p w14:paraId="57340CA1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BZTM（燃料最高温度）</w:t>
            </w:r>
          </w:p>
          <w:p w14:paraId="58C3B4F1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TFUEM（燃料平均温度），以及MP1（回路流量）</w:t>
            </w:r>
          </w:p>
        </w:tc>
      </w:tr>
      <w:tr w14:paraId="39B7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61364B1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3</w:t>
            </w:r>
          </w:p>
        </w:tc>
        <w:tc>
          <w:tcPr>
            <w:tcW w:w="1843" w:type="dxa"/>
          </w:tcPr>
          <w:p w14:paraId="3D211A36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质量源温度表示稳态计算时堆芯进口温度（Tk1），进口温度越高，堆芯出口温度越高，氦风机进口温度越高</w:t>
            </w:r>
          </w:p>
        </w:tc>
        <w:tc>
          <w:tcPr>
            <w:tcW w:w="2268" w:type="dxa"/>
          </w:tcPr>
          <w:p w14:paraId="39F766FB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tn3文件TM*卡中的质量源材料的第二行第1个值</w:t>
            </w:r>
          </w:p>
        </w:tc>
        <w:tc>
          <w:tcPr>
            <w:tcW w:w="3594" w:type="dxa"/>
          </w:tcPr>
          <w:p w14:paraId="158865C1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equilibrium calculation 和TRANSIENT CALCULATION中的Tk1（堆芯进口温度）、</w:t>
            </w:r>
          </w:p>
          <w:p w14:paraId="1E928ADD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Tk2（氦风机进口温度）、</w:t>
            </w:r>
          </w:p>
          <w:p w14:paraId="63366B18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Tk3（堆芯出口温度）</w:t>
            </w:r>
          </w:p>
        </w:tc>
      </w:tr>
      <w:tr w14:paraId="5663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</w:tcPr>
          <w:p w14:paraId="78B25581">
            <w:pPr>
              <w:spacing w:line="240" w:lineRule="auto"/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4</w:t>
            </w:r>
          </w:p>
        </w:tc>
        <w:tc>
          <w:tcPr>
            <w:tcW w:w="1843" w:type="dxa"/>
          </w:tcPr>
          <w:p w14:paraId="4E274E6A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系统压力P升高会导致回路总压降降低</w:t>
            </w:r>
          </w:p>
        </w:tc>
        <w:tc>
          <w:tcPr>
            <w:tcW w:w="2268" w:type="dxa"/>
          </w:tcPr>
          <w:p w14:paraId="54F81E8F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tn3文件TM*卡中的压力汇材料的第二行第7个值</w:t>
            </w:r>
          </w:p>
        </w:tc>
        <w:tc>
          <w:tcPr>
            <w:tcW w:w="3594" w:type="dxa"/>
          </w:tcPr>
          <w:p w14:paraId="70AB1BA7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equilibrium calculation 和TRANSIENT CALCULATION中的DP21（回路总压降）、</w:t>
            </w:r>
          </w:p>
          <w:p w14:paraId="4DB93CEC">
            <w:pPr>
              <w:spacing w:line="240" w:lineRule="auto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P（回路参考压力）</w:t>
            </w:r>
          </w:p>
        </w:tc>
      </w:tr>
    </w:tbl>
    <w:p w14:paraId="20132F48">
      <w:pPr>
        <w:jc w:val="left"/>
        <w:rPr>
          <w:rFonts w:ascii="Times New Roman" w:hAnsi="Times New Roman" w:eastAsia="宋体" w:cs="Times New Roman"/>
          <w:szCs w:val="24"/>
        </w:rPr>
      </w:pPr>
    </w:p>
    <w:p w14:paraId="2F616C7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4.1 模型参数符号化</w:t>
      </w:r>
    </w:p>
    <w:p w14:paraId="478A659F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（1）规范术语：堆芯Core，功率Power，温度Temperature，流量Flow，压力Pressure，入口In，出口Out，燃料Fuel，风机Fan，平均Average，最高Maximum，压降Drop。</w:t>
      </w:r>
    </w:p>
    <w:p w14:paraId="1C1CCC1D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（2）规范缩写：因存在多种温度，所以需要使用下标，功率、流量、压力、压降仅一种，故未用下标。</w:t>
      </w:r>
    </w:p>
    <w:p w14:paraId="3345B3B8">
      <w:pPr>
        <w:ind w:firstLine="480" w:firstLineChars="200"/>
        <w:rPr>
          <w:rFonts w:ascii="Times New Roman" w:hAnsi="Times New Roman" w:eastAsia="宋体"/>
        </w:rPr>
      </w:pPr>
    </w:p>
    <w:p w14:paraId="4D37EE9F">
      <w:pPr>
        <w:ind w:firstLine="480" w:firstLineChars="200"/>
        <w:jc w:val="left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/>
        </w:rPr>
        <w:t>堆芯进口温度Tin，堆芯出口温度Tout，燃料最高温度Tmax，燃料平均温度Tave，氦风机进口温度Tfan，额定功率Pow，回路流量F，系统压力P，回路总压降D。</w:t>
      </w:r>
    </w:p>
    <w:p w14:paraId="71D7D23F">
      <w:pPr>
        <w:jc w:val="left"/>
        <w:rPr>
          <w:rFonts w:ascii="Times New Roman" w:hAnsi="Times New Roman" w:eastAsia="宋体" w:cs="Times New Roman"/>
          <w:szCs w:val="24"/>
        </w:rPr>
      </w:pPr>
    </w:p>
    <w:p w14:paraId="2DD44F2B">
      <w:pPr>
        <w:jc w:val="left"/>
        <w:rPr>
          <w:rFonts w:ascii="Times New Roman" w:hAnsi="Times New Roman" w:eastAsia="宋体" w:cs="Times New Roman"/>
          <w:szCs w:val="24"/>
        </w:rPr>
      </w:pPr>
    </w:p>
    <w:p w14:paraId="796A44FC">
      <w:pPr>
        <w:jc w:val="left"/>
        <w:rPr>
          <w:rFonts w:ascii="Times New Roman" w:hAnsi="Times New Roman" w:eastAsia="宋体" w:cs="Times New Roman"/>
          <w:szCs w:val="24"/>
        </w:rPr>
      </w:pPr>
    </w:p>
    <w:p w14:paraId="1BC1C432">
      <w:pPr>
        <w:jc w:val="left"/>
        <w:rPr>
          <w:rFonts w:ascii="Times New Roman" w:hAnsi="Times New Roman" w:eastAsia="宋体" w:cs="Times New Roman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D41EB"/>
    <w:rsid w:val="00003D70"/>
    <w:rsid w:val="0002019C"/>
    <w:rsid w:val="00094047"/>
    <w:rsid w:val="000B79C7"/>
    <w:rsid w:val="000D749F"/>
    <w:rsid w:val="000F46A4"/>
    <w:rsid w:val="00147AFD"/>
    <w:rsid w:val="001968CF"/>
    <w:rsid w:val="001D1E59"/>
    <w:rsid w:val="00211929"/>
    <w:rsid w:val="00250361"/>
    <w:rsid w:val="002624B2"/>
    <w:rsid w:val="00276306"/>
    <w:rsid w:val="002900CA"/>
    <w:rsid w:val="002A4654"/>
    <w:rsid w:val="002A7CC9"/>
    <w:rsid w:val="002C5494"/>
    <w:rsid w:val="002C5AB5"/>
    <w:rsid w:val="002D08D7"/>
    <w:rsid w:val="002D68C6"/>
    <w:rsid w:val="00307437"/>
    <w:rsid w:val="00321E1F"/>
    <w:rsid w:val="00346FCD"/>
    <w:rsid w:val="00380C38"/>
    <w:rsid w:val="003D041A"/>
    <w:rsid w:val="003F7F8F"/>
    <w:rsid w:val="00425DD9"/>
    <w:rsid w:val="00447FFB"/>
    <w:rsid w:val="004533C0"/>
    <w:rsid w:val="00461B85"/>
    <w:rsid w:val="0048458C"/>
    <w:rsid w:val="004974A3"/>
    <w:rsid w:val="004A6622"/>
    <w:rsid w:val="004C769E"/>
    <w:rsid w:val="004D40A4"/>
    <w:rsid w:val="00516B42"/>
    <w:rsid w:val="00531456"/>
    <w:rsid w:val="0053717C"/>
    <w:rsid w:val="0054400A"/>
    <w:rsid w:val="00544D55"/>
    <w:rsid w:val="00586961"/>
    <w:rsid w:val="005B0A72"/>
    <w:rsid w:val="005C18ED"/>
    <w:rsid w:val="005E1884"/>
    <w:rsid w:val="006057E0"/>
    <w:rsid w:val="006216CF"/>
    <w:rsid w:val="006323F9"/>
    <w:rsid w:val="00636F8F"/>
    <w:rsid w:val="006706C3"/>
    <w:rsid w:val="006937F5"/>
    <w:rsid w:val="006B3683"/>
    <w:rsid w:val="006F3C1D"/>
    <w:rsid w:val="00706B50"/>
    <w:rsid w:val="00710D69"/>
    <w:rsid w:val="007113CE"/>
    <w:rsid w:val="00712CE0"/>
    <w:rsid w:val="00736D9D"/>
    <w:rsid w:val="007416BD"/>
    <w:rsid w:val="00761A84"/>
    <w:rsid w:val="00781B2B"/>
    <w:rsid w:val="007B6F15"/>
    <w:rsid w:val="007D6DB2"/>
    <w:rsid w:val="007E4A38"/>
    <w:rsid w:val="007F2706"/>
    <w:rsid w:val="008441BB"/>
    <w:rsid w:val="00860848"/>
    <w:rsid w:val="008B1237"/>
    <w:rsid w:val="008C17D3"/>
    <w:rsid w:val="008E1E29"/>
    <w:rsid w:val="00912B6D"/>
    <w:rsid w:val="009331FB"/>
    <w:rsid w:val="009D01B0"/>
    <w:rsid w:val="009D3388"/>
    <w:rsid w:val="009D4BD0"/>
    <w:rsid w:val="009F477D"/>
    <w:rsid w:val="00A03623"/>
    <w:rsid w:val="00A55EF0"/>
    <w:rsid w:val="00A63AE5"/>
    <w:rsid w:val="00A914A4"/>
    <w:rsid w:val="00AD3547"/>
    <w:rsid w:val="00AD6B06"/>
    <w:rsid w:val="00AE272E"/>
    <w:rsid w:val="00AF3D5B"/>
    <w:rsid w:val="00B15DC2"/>
    <w:rsid w:val="00B41979"/>
    <w:rsid w:val="00B55A88"/>
    <w:rsid w:val="00B9234E"/>
    <w:rsid w:val="00BA7011"/>
    <w:rsid w:val="00BF5D5C"/>
    <w:rsid w:val="00BF75A7"/>
    <w:rsid w:val="00C14C07"/>
    <w:rsid w:val="00C7476E"/>
    <w:rsid w:val="00CC13F1"/>
    <w:rsid w:val="00CC3EDA"/>
    <w:rsid w:val="00D2295E"/>
    <w:rsid w:val="00D249C5"/>
    <w:rsid w:val="00D31F78"/>
    <w:rsid w:val="00D7015E"/>
    <w:rsid w:val="00D90B06"/>
    <w:rsid w:val="00E13320"/>
    <w:rsid w:val="00E2047D"/>
    <w:rsid w:val="00E21AD1"/>
    <w:rsid w:val="00E42670"/>
    <w:rsid w:val="00E663D4"/>
    <w:rsid w:val="00E66932"/>
    <w:rsid w:val="00E842A6"/>
    <w:rsid w:val="00EC0C0A"/>
    <w:rsid w:val="00ED41EB"/>
    <w:rsid w:val="00EE1CD8"/>
    <w:rsid w:val="00EE7684"/>
    <w:rsid w:val="00F05201"/>
    <w:rsid w:val="00F217BE"/>
    <w:rsid w:val="00F250BB"/>
    <w:rsid w:val="00F43B8C"/>
    <w:rsid w:val="00F77BA0"/>
    <w:rsid w:val="00FA079D"/>
    <w:rsid w:val="076B3AA9"/>
    <w:rsid w:val="24FF006C"/>
    <w:rsid w:val="301314A2"/>
    <w:rsid w:val="30D37E45"/>
    <w:rsid w:val="FFFE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annotation text"/>
    <w:basedOn w:val="1"/>
    <w:link w:val="18"/>
    <w:unhideWhenUsed/>
    <w:qFormat/>
    <w:uiPriority w:val="99"/>
    <w:pPr>
      <w:jc w:val="left"/>
    </w:p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5"/>
    <w:next w:val="5"/>
    <w:link w:val="19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文字 字符"/>
    <w:basedOn w:val="11"/>
    <w:link w:val="5"/>
    <w:qFormat/>
    <w:uiPriority w:val="99"/>
    <w:rPr>
      <w:sz w:val="24"/>
    </w:rPr>
  </w:style>
  <w:style w:type="character" w:customStyle="1" w:styleId="19">
    <w:name w:val="批注主题 字符"/>
    <w:basedOn w:val="18"/>
    <w:link w:val="8"/>
    <w:semiHidden/>
    <w:qFormat/>
    <w:uiPriority w:val="99"/>
    <w:rPr>
      <w:b/>
      <w:bCs/>
      <w:sz w:val="24"/>
    </w:rPr>
  </w:style>
  <w:style w:type="paragraph" w:customStyle="1" w:styleId="20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3BA745FB-0006-45BF-B2AA-7D10BA3F55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3094</Words>
  <Characters>4811</Characters>
  <Lines>37</Lines>
  <Paragraphs>10</Paragraphs>
  <TotalTime>9</TotalTime>
  <ScaleCrop>false</ScaleCrop>
  <LinksUpToDate>false</LinksUpToDate>
  <CharactersWithSpaces>4983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2024-11-25T19:49:00Z</dcterms:created>
  <dc:creator>英杰 华</dc:creator>
  <cp:lastModifiedBy>WPS</cp:lastModifiedBy>
  <dcterms:modified xsi:type="dcterms:W3CDTF">2025-02-25T07:19:55Z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B3EF62DCB7CB0D8CB0A578679A9A55B0_43</vt:lpwstr>
  </property>
  <property fmtid="{D5CDD505-2E9C-101B-9397-08002B2CF9AE}" pid="4" name="KSOTemplateDocerSaveRecord">
    <vt:lpwstr>eyJoZGlkIjoiZmUzYTY4NGNmMWUwNmQ2OTk0NTMwMGNhMWNiODgzNDciLCJ1c2VySWQiOiI2NDA5MzQ0NzUifQ==</vt:lpwstr>
  </property>
</Properties>
</file>