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77C0" w14:textId="1D47EF36" w:rsidR="005C3BC0" w:rsidRDefault="00322C5D" w:rsidP="005C3BC0">
      <w:r>
        <w:t>a)</w:t>
      </w:r>
      <w:r w:rsidR="005C3BC0" w:rsidRPr="005C3BC0">
        <w:t>A relációs algebrai optimalizáció olyan folyamat, amely a lekérdezések hatékony végrehajtását célozza meg, az elemzőfától, azaz a logikai lekérdezéstervtől kiindulva, egészen a fizikai lekérdezésterv kialakításáig terjed. Ennek a folyamatnak a lényege az, hogy a rendelkezésre álló adatokon végzett műveletek során a lehető leggyorsabb és hatékonyabb működést érjük el a lekérdezés végrehajtása során.</w:t>
      </w:r>
    </w:p>
    <w:p w14:paraId="095DBE4E" w14:textId="76A73719" w:rsidR="005C3BC0" w:rsidRDefault="00322C5D" w:rsidP="005C3BC0">
      <w:r>
        <w:t>b)</w:t>
      </w:r>
      <w:r w:rsidR="0056108D" w:rsidRPr="0056108D">
        <w:t>Az ekvivalens kifejezések matematikai kifejezések, melyek ugyanazt az értéket vagy tulajdonságot fejezik ki bármely érvényes bemenet esetén. Más szóval, két kifejezés akkor tekinthető ekvivalensnek, ha minden lehetséges bemenetre nézve ugyanazt a logikai értéket (igaz vagy hamis) eredményezik.</w:t>
      </w:r>
    </w:p>
    <w:p w14:paraId="718B22E5" w14:textId="0EFCBBD8" w:rsidR="002F4AFD" w:rsidRDefault="00322C5D" w:rsidP="005C3BC0">
      <w:r>
        <w:t>c)</w:t>
      </w:r>
      <w:r w:rsidR="002F00FB">
        <w:t>Az optimalizáló a következő heurisztikus elveken alapul:</w:t>
      </w:r>
    </w:p>
    <w:p w14:paraId="29F420D2" w14:textId="0A88EA82" w:rsidR="00E53C35" w:rsidRDefault="00E53C35" w:rsidP="00E53C35">
      <w:r>
        <w:t>1. A lekérdezésfában minél korábban alkalmazott kiválasztás (szűrés) révén kisebb méretű részkifejezéseket kapunk, ami gyakran eredményez hatékonyabb végrehajtást.</w:t>
      </w:r>
    </w:p>
    <w:p w14:paraId="79D2B0DB" w14:textId="3527A16A" w:rsidR="00E53C35" w:rsidRDefault="00E53C35" w:rsidP="00E53C35">
      <w:r>
        <w:t>2. Amennyire lehetséges, kihasználjuk a természetes összekapcsolás előnyeit, mivel ez az összekapcsolás gyakran hatékonyabb lehet, mint más összekapcsolási módszerek.</w:t>
      </w:r>
    </w:p>
    <w:p w14:paraId="498A6F16" w14:textId="74861D43" w:rsidR="00E53C35" w:rsidRDefault="00E53C35" w:rsidP="00352A2E">
      <w:r>
        <w:t>3. Az egymás utáni unáris műveletek (például kiválasztások és vetítések) kombinálása vagy összevonása révén csökkenthetjük a műveletek számát és optimalizálhatjuk a kifejezést.</w:t>
      </w:r>
    </w:p>
    <w:p w14:paraId="52C42756" w14:textId="5D0A658B" w:rsidR="002F00FB" w:rsidRDefault="00E53C35" w:rsidP="00E53C35">
      <w:r>
        <w:t>4. Keressünk és csoportosítsunk össze közös részkifejezéseket annak érdekében, hogy azokat csak egyszer számoljuk ki, ezzel csökkentve az ismétlődő számítások számát.</w:t>
      </w:r>
    </w:p>
    <w:p w14:paraId="32D4D66C" w14:textId="08760C6B" w:rsidR="00C35BF2" w:rsidRDefault="00322C5D" w:rsidP="00C35BF2">
      <w:r>
        <w:t>d)</w:t>
      </w:r>
      <w:r w:rsidR="00C35BF2">
        <w:t>Algebrai optimalizáció szabályai:</w:t>
      </w:r>
    </w:p>
    <w:p w14:paraId="0CD0180D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>Kommutatív operátorok: természetes összekapcsolás, descartes szorzat, unió, metszet.</w:t>
      </w:r>
    </w:p>
    <w:p w14:paraId="6262C312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>Asszociatív szabályok: természetes összekapcsolás, descartes szorzat, unió, metszet.</w:t>
      </w:r>
    </w:p>
    <w:p w14:paraId="0C887FFC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 xml:space="preserve">Legyen A és B két részhalmaza az E relációnak úgy, hogy A </w:t>
      </w:r>
      <w:r w:rsidRPr="00C35BF2">
        <w:rPr>
          <w:rFonts w:ascii="Cambria Math" w:hAnsi="Cambria Math" w:cs="Cambria Math"/>
        </w:rPr>
        <w:t>⊆</w:t>
      </w:r>
      <w:r>
        <w:t xml:space="preserve"> B. Ekkor </w:t>
      </w:r>
      <w:r w:rsidRPr="00C35BF2">
        <w:rPr>
          <w:rFonts w:ascii="Calibri" w:hAnsi="Calibri" w:cs="Calibri"/>
        </w:rPr>
        <w:t>Π</w:t>
      </w:r>
      <w:r>
        <w:t xml:space="preserve"> A(</w:t>
      </w:r>
      <w:r w:rsidRPr="00C35BF2">
        <w:rPr>
          <w:rFonts w:ascii="Calibri" w:hAnsi="Calibri" w:cs="Calibri"/>
        </w:rPr>
        <w:t>Π</w:t>
      </w:r>
      <w:r>
        <w:t xml:space="preserve"> B(E))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Π</w:t>
      </w:r>
      <w:r>
        <w:t xml:space="preserve"> A(E).</w:t>
      </w:r>
    </w:p>
    <w:p w14:paraId="35D20AC9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>Kiválasztások felcserélhetősége, felbontása: Legyen F1 és F2 az E reláció oszlopain értelmezett kiválasztási feltétel. Ekkor σF1</w:t>
      </w:r>
      <w:r w:rsidRPr="00C35BF2">
        <w:rPr>
          <w:rFonts w:ascii="Cambria Math" w:hAnsi="Cambria Math" w:cs="Cambria Math"/>
        </w:rPr>
        <w:t>∧</w:t>
      </w:r>
      <w:r>
        <w:t xml:space="preserve">F2(E)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σ</w:t>
      </w:r>
      <w:r>
        <w:rPr>
          <w:rFonts w:ascii="Calibri" w:hAnsi="Calibri" w:cs="Calibri"/>
        </w:rPr>
        <w:t xml:space="preserve"> </w:t>
      </w:r>
      <w:r>
        <w:t xml:space="preserve">F1(σF2(E))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σ</w:t>
      </w:r>
      <w:r>
        <w:t>F2(</w:t>
      </w:r>
      <w:r w:rsidRPr="00C35BF2">
        <w:rPr>
          <w:rFonts w:ascii="Calibri" w:hAnsi="Calibri" w:cs="Calibri"/>
        </w:rPr>
        <w:t>σ</w:t>
      </w:r>
      <w:r>
        <w:t>F1(E)).</w:t>
      </w:r>
    </w:p>
    <w:p w14:paraId="51F57159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 xml:space="preserve">Legyen F az E relációnak csak az A oszlopain értelmezett kiválasztási feltétel. Ekkor Π A(σF(E))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σ</w:t>
      </w:r>
      <w:r>
        <w:t>F(</w:t>
      </w:r>
      <w:r w:rsidRPr="00C35BF2">
        <w:rPr>
          <w:rFonts w:ascii="Calibri" w:hAnsi="Calibri" w:cs="Calibri"/>
        </w:rPr>
        <w:t>Π</w:t>
      </w:r>
      <w:r>
        <w:t xml:space="preserve"> A(E)).</w:t>
      </w:r>
    </w:p>
    <w:p w14:paraId="61E27B19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 xml:space="preserve">Kiválasztás és szorzás felcserélhetősége: Legyen F az E1 reláció oszlopainak egy részhalmaza értelmezett kiválasztási feltétel. Ekkor σF(E1×E2)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σ</w:t>
      </w:r>
      <w:r>
        <w:t>F(E1)</w:t>
      </w:r>
      <w:r w:rsidRPr="00C35BF2">
        <w:rPr>
          <w:rFonts w:ascii="Calibri" w:hAnsi="Calibri" w:cs="Calibri"/>
        </w:rPr>
        <w:t>×</w:t>
      </w:r>
      <w:r>
        <w:t>E2.</w:t>
      </w:r>
    </w:p>
    <w:p w14:paraId="19536D0F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>Kiválasztás és egyesítés felcserélhetősége: Legyen E1, E2 relációk sémája megegyező, és F a közös sémán értelmezett kiválasztási feltétel. Ekkor σF(E1</w:t>
      </w:r>
      <w:r w:rsidRPr="00C35BF2">
        <w:rPr>
          <w:rFonts w:ascii="Cambria Math" w:hAnsi="Cambria Math" w:cs="Cambria Math"/>
        </w:rPr>
        <w:t>∪</w:t>
      </w:r>
      <w:r>
        <w:t xml:space="preserve">E2)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σ</w:t>
      </w:r>
      <w:r>
        <w:t>F(E1)</w:t>
      </w:r>
      <w:r w:rsidRPr="00C35BF2">
        <w:rPr>
          <w:rFonts w:ascii="Cambria Math" w:hAnsi="Cambria Math" w:cs="Cambria Math"/>
        </w:rPr>
        <w:t>∪</w:t>
      </w:r>
      <w:r w:rsidRPr="00C35BF2">
        <w:rPr>
          <w:rFonts w:ascii="Calibri" w:hAnsi="Calibri" w:cs="Calibri"/>
        </w:rPr>
        <w:t>σ</w:t>
      </w:r>
      <w:r>
        <w:t>F(E2).</w:t>
      </w:r>
    </w:p>
    <w:p w14:paraId="34868AAE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 xml:space="preserve">Kiválasztás és a kivonás felcserélhetősége: Legyen E1, E2 relációk sémája megegyező, és F a közös sémán értelmezett kiválasztási feltétel. Ekkor σF(E1) \ E2)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σ</w:t>
      </w:r>
      <w:r>
        <w:t xml:space="preserve">F(E1) \ </w:t>
      </w:r>
      <w:r w:rsidRPr="00C35BF2">
        <w:rPr>
          <w:rFonts w:ascii="Calibri" w:hAnsi="Calibri" w:cs="Calibri"/>
        </w:rPr>
        <w:t>σ</w:t>
      </w:r>
      <w:r>
        <w:t>F(E2).</w:t>
      </w:r>
    </w:p>
    <w:p w14:paraId="5D490AF4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 xml:space="preserve">Kiválasztás és a természetes összekapcsolás felcserélhetősége: Legyen F az E1 és E2 közös oszlopainak egy részhalmaza értelmezett kiválasztási feltétel. Ekkor σF(E1|×|E2)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σ</w:t>
      </w:r>
      <w:r>
        <w:t>F(E1)|</w:t>
      </w:r>
      <w:r w:rsidRPr="00C35BF2">
        <w:rPr>
          <w:rFonts w:ascii="Calibri" w:hAnsi="Calibri" w:cs="Calibri"/>
        </w:rPr>
        <w:t>×</w:t>
      </w:r>
      <w:r>
        <w:t>|</w:t>
      </w:r>
      <w:r w:rsidRPr="00C35BF2">
        <w:rPr>
          <w:rFonts w:ascii="Calibri" w:hAnsi="Calibri" w:cs="Calibri"/>
        </w:rPr>
        <w:t>σ</w:t>
      </w:r>
      <w:r>
        <w:t>F(E2).</w:t>
      </w:r>
    </w:p>
    <w:p w14:paraId="4BA52468" w14:textId="77777777" w:rsidR="00C35BF2" w:rsidRDefault="00C35BF2" w:rsidP="00C35BF2">
      <w:pPr>
        <w:pStyle w:val="ListParagraph"/>
        <w:numPr>
          <w:ilvl w:val="0"/>
          <w:numId w:val="2"/>
        </w:numPr>
      </w:pPr>
      <w:r>
        <w:t>Vetítés és a szorzás felcserélhetősége: Legyen i=1,2 esetén Ai az Ei reláció oszlopainak egy halmaza, és legyen A = A1</w:t>
      </w:r>
      <w:r w:rsidRPr="00C35BF2">
        <w:rPr>
          <w:rFonts w:ascii="Cambria Math" w:hAnsi="Cambria Math" w:cs="Cambria Math"/>
        </w:rPr>
        <w:t>∪</w:t>
      </w:r>
      <w:r>
        <w:t xml:space="preserve">A2. Ekkor </w:t>
      </w:r>
      <w:r w:rsidRPr="00C35BF2">
        <w:rPr>
          <w:rFonts w:ascii="Calibri" w:hAnsi="Calibri" w:cs="Calibri"/>
        </w:rPr>
        <w:t>Π</w:t>
      </w:r>
      <w:r>
        <w:t xml:space="preserve"> A(E1</w:t>
      </w:r>
      <w:r w:rsidRPr="00C35BF2">
        <w:rPr>
          <w:rFonts w:ascii="Calibri" w:hAnsi="Calibri" w:cs="Calibri"/>
        </w:rPr>
        <w:t>×</w:t>
      </w:r>
      <w:r>
        <w:t xml:space="preserve">E2)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Π</w:t>
      </w:r>
      <w:r>
        <w:t xml:space="preserve"> A1(E1)</w:t>
      </w:r>
      <w:r w:rsidRPr="00C35BF2">
        <w:rPr>
          <w:rFonts w:ascii="Calibri" w:hAnsi="Calibri" w:cs="Calibri"/>
        </w:rPr>
        <w:t>×Π</w:t>
      </w:r>
      <w:r>
        <w:t xml:space="preserve"> A2(E2).</w:t>
      </w:r>
    </w:p>
    <w:p w14:paraId="0E7D0FB1" w14:textId="6CF9F126" w:rsidR="00C35BF2" w:rsidRDefault="00C35BF2" w:rsidP="00C35BF2">
      <w:pPr>
        <w:pStyle w:val="ListParagraph"/>
        <w:numPr>
          <w:ilvl w:val="0"/>
          <w:numId w:val="2"/>
        </w:numPr>
      </w:pPr>
      <w:r>
        <w:t>Vetítés és egyesítés felcserélhetősége: Legyen E1 és E2 relációk sémája megegyező, és legyen A a sémában szereplő oszlopok egy részhalmaza. Ekkor Π A(E1</w:t>
      </w:r>
      <w:r w:rsidRPr="00C35BF2">
        <w:rPr>
          <w:rFonts w:ascii="Cambria Math" w:hAnsi="Cambria Math" w:cs="Cambria Math"/>
        </w:rPr>
        <w:t>∪</w:t>
      </w:r>
      <w:r>
        <w:t xml:space="preserve">E2) </w:t>
      </w:r>
      <w:r w:rsidRPr="00C35BF2">
        <w:rPr>
          <w:rFonts w:ascii="Cambria Math" w:hAnsi="Cambria Math" w:cs="Cambria Math"/>
        </w:rPr>
        <w:t>≅</w:t>
      </w:r>
      <w:r>
        <w:t xml:space="preserve"> </w:t>
      </w:r>
      <w:r w:rsidRPr="00C35BF2">
        <w:rPr>
          <w:rFonts w:ascii="Calibri" w:hAnsi="Calibri" w:cs="Calibri"/>
        </w:rPr>
        <w:t>Π</w:t>
      </w:r>
      <w:r>
        <w:t xml:space="preserve"> A(E1)</w:t>
      </w:r>
      <w:r w:rsidRPr="00C35BF2">
        <w:rPr>
          <w:rFonts w:ascii="Cambria Math" w:hAnsi="Cambria Math" w:cs="Cambria Math"/>
        </w:rPr>
        <w:t>∪</w:t>
      </w:r>
      <w:r w:rsidRPr="00C35BF2">
        <w:rPr>
          <w:rFonts w:ascii="Calibri" w:hAnsi="Calibri" w:cs="Calibri"/>
        </w:rPr>
        <w:t>Π</w:t>
      </w:r>
      <w:r>
        <w:t xml:space="preserve"> A(E2).</w:t>
      </w:r>
    </w:p>
    <w:p w14:paraId="7801BAAC" w14:textId="77777777" w:rsidR="00AF65CC" w:rsidRDefault="00AF65CC" w:rsidP="00AF65CC">
      <w:r>
        <w:t>e)</w:t>
      </w:r>
      <w:r>
        <w:t>Algebrai optimalizációs algoritmus:</w:t>
      </w:r>
    </w:p>
    <w:p w14:paraId="33ECCD03" w14:textId="77777777" w:rsidR="00AF65CC" w:rsidRDefault="00AF65CC" w:rsidP="00AF65CC">
      <w:r>
        <w:lastRenderedPageBreak/>
        <w:t>INPUT: relációs algebrai kifejezés kifejezésfája.</w:t>
      </w:r>
    </w:p>
    <w:p w14:paraId="5198ED26" w14:textId="4AEA0154" w:rsidR="00AF65CC" w:rsidRDefault="00AF65CC" w:rsidP="00AF65CC">
      <w:r>
        <w:t>OUTPUT: optimalizált kifejezésfa optimalizált kiértékelése.</w:t>
      </w:r>
    </w:p>
    <w:p w14:paraId="72CEA8B0" w14:textId="77777777" w:rsidR="00AF65CC" w:rsidRDefault="00AF65CC" w:rsidP="00AF65CC">
      <w:r>
        <w:t>Hajtsuk végre az alábbi lépéseket a megadott sorrendben:</w:t>
      </w:r>
    </w:p>
    <w:p w14:paraId="48AA64AB" w14:textId="4BE4CC76" w:rsidR="007F008A" w:rsidRDefault="00AF65CC" w:rsidP="007F008A">
      <w:pPr>
        <w:pStyle w:val="ListParagraph"/>
        <w:numPr>
          <w:ilvl w:val="0"/>
          <w:numId w:val="13"/>
        </w:numPr>
      </w:pPr>
      <w:r>
        <w:t>A kiválasztásokat bontsuk fel a 4. szabály segítségével: σF1</w:t>
      </w:r>
      <w:r w:rsidRPr="007F008A">
        <w:rPr>
          <w:rFonts w:ascii="Cambria Math" w:hAnsi="Cambria Math" w:cs="Cambria Math"/>
        </w:rPr>
        <w:t>∧</w:t>
      </w:r>
      <w:r>
        <w:t>...</w:t>
      </w:r>
      <w:r w:rsidRPr="007F008A">
        <w:rPr>
          <w:rFonts w:ascii="Cambria Math" w:hAnsi="Cambria Math" w:cs="Cambria Math"/>
        </w:rPr>
        <w:t>∧</w:t>
      </w:r>
      <w:r>
        <w:t xml:space="preserve">Fn(E) </w:t>
      </w:r>
      <w:r w:rsidRPr="007F008A">
        <w:rPr>
          <w:rFonts w:ascii="Cambria Math" w:hAnsi="Cambria Math" w:cs="Cambria Math"/>
        </w:rPr>
        <w:t>≅</w:t>
      </w:r>
      <w:r>
        <w:t xml:space="preserve"> </w:t>
      </w:r>
      <w:r w:rsidRPr="007F008A">
        <w:rPr>
          <w:rFonts w:ascii="Calibri" w:hAnsi="Calibri" w:cs="Calibri"/>
        </w:rPr>
        <w:t>σ</w:t>
      </w:r>
      <w:r>
        <w:t>F1(...(</w:t>
      </w:r>
      <w:r w:rsidRPr="007F008A">
        <w:rPr>
          <w:rFonts w:ascii="Calibri" w:hAnsi="Calibri" w:cs="Calibri"/>
        </w:rPr>
        <w:t>σ</w:t>
      </w:r>
      <w:r>
        <w:t>Fn(E)))</w:t>
      </w:r>
    </w:p>
    <w:p w14:paraId="2747DB35" w14:textId="77777777" w:rsidR="007F008A" w:rsidRDefault="00AF65CC" w:rsidP="00AF65CC">
      <w:pPr>
        <w:pStyle w:val="ListParagraph"/>
        <w:numPr>
          <w:ilvl w:val="0"/>
          <w:numId w:val="13"/>
        </w:numPr>
      </w:pPr>
      <w:r>
        <w:t>A kiválasztásokat a 4., 5., 6., 7., 8., 9. szabályok segítségével vigyük olyan mélyre a kifejezésfában, amilyen mélyre csak lehet.</w:t>
      </w:r>
    </w:p>
    <w:p w14:paraId="296956EF" w14:textId="77777777" w:rsidR="007F008A" w:rsidRDefault="00AF65CC" w:rsidP="00AF65CC">
      <w:pPr>
        <w:pStyle w:val="ListParagraph"/>
        <w:numPr>
          <w:ilvl w:val="0"/>
          <w:numId w:val="13"/>
        </w:numPr>
      </w:pPr>
      <w:r>
        <w:t>A vetítéseket a 3., 5., 10., 11. szabályok segítségével vigyük olyan mélyre a kifejezésfában, amilyen mélyre csak lehet. Hagyjuk el a triviális vetítéseket, azaz az olyanokat, amelyek az argumentum reláció összes attribútumára vetítenek.</w:t>
      </w:r>
    </w:p>
    <w:p w14:paraId="207C32A8" w14:textId="77777777" w:rsidR="007F008A" w:rsidRDefault="00AF65CC" w:rsidP="00AF65CC">
      <w:pPr>
        <w:pStyle w:val="ListParagraph"/>
        <w:numPr>
          <w:ilvl w:val="0"/>
          <w:numId w:val="13"/>
        </w:numPr>
      </w:pPr>
      <w:r>
        <w:t>Ha egy relációs változóra vagy konstans relációra közvetlenül egymás után kiválasztásokat vagy vetítéseket alkalmazunk, akkor ezeket a 3., 4., 5., 6., 7., 8., 9. szabályok segítségével vonjuk össze egy kiválasztássá, vagy egy vetítéssé, vagy egy kiválasztás utáni vetítéssé, ha lehet (azaz egy Π.(σ.()) alakú kifejezéssé). Ezzel megkaptuk az optimalizált kifejezésfát.</w:t>
      </w:r>
    </w:p>
    <w:p w14:paraId="4648A6C9" w14:textId="525A2C13" w:rsidR="007F008A" w:rsidRDefault="00AF65CC" w:rsidP="007F008A">
      <w:pPr>
        <w:pStyle w:val="ListParagraph"/>
        <w:numPr>
          <w:ilvl w:val="0"/>
          <w:numId w:val="13"/>
        </w:numPr>
      </w:pPr>
      <w:r>
        <w:t>A gráfot a bináris műveletek alapján bontsuk részgráfokra. Minden részgráf egy bináris műveletnek feleljen meg. A részgráf csúcsai legyenek: a bináris műveletnek (</w:t>
      </w:r>
      <w:r w:rsidRPr="007F008A">
        <w:rPr>
          <w:rFonts w:ascii="Cambria Math" w:hAnsi="Cambria Math" w:cs="Cambria Math"/>
        </w:rPr>
        <w:t>∪</w:t>
      </w:r>
      <w:r>
        <w:t>,---,</w:t>
      </w:r>
      <w:r w:rsidRPr="007F008A">
        <w:rPr>
          <w:rFonts w:ascii="Calibri" w:hAnsi="Calibri" w:cs="Calibri"/>
        </w:rPr>
        <w:t>×</w:t>
      </w:r>
      <w:r>
        <w:t>) megfelel</w:t>
      </w:r>
      <w:r w:rsidRPr="007F008A">
        <w:rPr>
          <w:rFonts w:ascii="Calibri" w:hAnsi="Calibri" w:cs="Calibri"/>
        </w:rPr>
        <w:t>ő</w:t>
      </w:r>
      <w:r>
        <w:t xml:space="preserve"> cs</w:t>
      </w:r>
      <w:r w:rsidRPr="007F008A">
        <w:rPr>
          <w:rFonts w:ascii="Calibri" w:hAnsi="Calibri" w:cs="Calibri"/>
        </w:rPr>
        <w:t>ú</w:t>
      </w:r>
      <w:r>
        <w:t xml:space="preserve">cs </w:t>
      </w:r>
      <w:r w:rsidRPr="007F008A">
        <w:rPr>
          <w:rFonts w:ascii="Calibri" w:hAnsi="Calibri" w:cs="Calibri"/>
        </w:rPr>
        <w:t>é</w:t>
      </w:r>
      <w:r>
        <w:t>s a cs</w:t>
      </w:r>
      <w:r w:rsidRPr="007F008A">
        <w:rPr>
          <w:rFonts w:ascii="Calibri" w:hAnsi="Calibri" w:cs="Calibri"/>
        </w:rPr>
        <w:t>ú</w:t>
      </w:r>
      <w:r>
        <w:t>cs felett a k</w:t>
      </w:r>
      <w:r w:rsidRPr="007F008A">
        <w:rPr>
          <w:rFonts w:ascii="Calibri" w:hAnsi="Calibri" w:cs="Calibri"/>
        </w:rPr>
        <w:t>ö</w:t>
      </w:r>
      <w:r>
        <w:t>vetkez</w:t>
      </w:r>
      <w:r w:rsidRPr="007F008A">
        <w:rPr>
          <w:rFonts w:ascii="Calibri" w:hAnsi="Calibri" w:cs="Calibri"/>
        </w:rPr>
        <w:t>ő</w:t>
      </w:r>
      <w:r>
        <w:t xml:space="preserve"> bin</w:t>
      </w:r>
      <w:r w:rsidRPr="007F008A">
        <w:rPr>
          <w:rFonts w:ascii="Calibri" w:hAnsi="Calibri" w:cs="Calibri"/>
        </w:rPr>
        <w:t>á</w:t>
      </w:r>
      <w:r>
        <w:t>ris m</w:t>
      </w:r>
      <w:r w:rsidRPr="007F008A">
        <w:rPr>
          <w:rFonts w:ascii="Calibri" w:hAnsi="Calibri" w:cs="Calibri"/>
        </w:rPr>
        <w:t>ű</w:t>
      </w:r>
      <w:r>
        <w:t>veletig szerepl</w:t>
      </w:r>
      <w:r w:rsidRPr="007F008A">
        <w:rPr>
          <w:rFonts w:ascii="Calibri" w:hAnsi="Calibri" w:cs="Calibri"/>
        </w:rPr>
        <w:t>ő</w:t>
      </w:r>
      <w:r>
        <w:t xml:space="preserve"> kiv</w:t>
      </w:r>
      <w:r w:rsidRPr="007F008A">
        <w:rPr>
          <w:rFonts w:ascii="Calibri" w:hAnsi="Calibri" w:cs="Calibri"/>
        </w:rPr>
        <w:t>á</w:t>
      </w:r>
      <w:r>
        <w:t>laszt</w:t>
      </w:r>
      <w:r w:rsidRPr="007F008A">
        <w:rPr>
          <w:rFonts w:ascii="Calibri" w:hAnsi="Calibri" w:cs="Calibri"/>
        </w:rPr>
        <w:t>á</w:t>
      </w:r>
      <w:r>
        <w:t>sok</w:t>
      </w:r>
      <w:r w:rsidR="007F008A">
        <w:t xml:space="preserve"> </w:t>
      </w:r>
      <w:r w:rsidR="007F008A">
        <w:t>(</w:t>
      </w:r>
      <w:r w:rsidR="007F008A" w:rsidRPr="007F008A">
        <w:rPr>
          <w:rFonts w:ascii="Calibri" w:hAnsi="Calibri" w:cs="Calibri"/>
        </w:rPr>
        <w:t>σ</w:t>
      </w:r>
      <w:r w:rsidR="007F008A">
        <w:t xml:space="preserve">) </w:t>
      </w:r>
      <w:r w:rsidR="007F008A" w:rsidRPr="007F008A">
        <w:rPr>
          <w:rFonts w:ascii="Calibri" w:hAnsi="Calibri" w:cs="Calibri"/>
        </w:rPr>
        <w:t>é</w:t>
      </w:r>
      <w:r w:rsidR="007F008A">
        <w:t>s vet</w:t>
      </w:r>
      <w:r w:rsidR="007F008A" w:rsidRPr="007F008A">
        <w:rPr>
          <w:rFonts w:ascii="Calibri" w:hAnsi="Calibri" w:cs="Calibri"/>
        </w:rPr>
        <w:t>í</w:t>
      </w:r>
      <w:r w:rsidR="007F008A">
        <w:t>t</w:t>
      </w:r>
      <w:r w:rsidR="007F008A" w:rsidRPr="007F008A">
        <w:rPr>
          <w:rFonts w:ascii="Calibri" w:hAnsi="Calibri" w:cs="Calibri"/>
        </w:rPr>
        <w:t>é</w:t>
      </w:r>
      <w:r w:rsidR="007F008A">
        <w:t>sek (</w:t>
      </w:r>
      <w:r w:rsidR="007F008A" w:rsidRPr="007F008A">
        <w:rPr>
          <w:rFonts w:ascii="Calibri" w:hAnsi="Calibri" w:cs="Calibri"/>
        </w:rPr>
        <w:t>Π</w:t>
      </w:r>
      <w:r w:rsidR="007F008A">
        <w:t>).</w:t>
      </w:r>
      <w:r w:rsidR="007F008A">
        <w:t xml:space="preserve"> </w:t>
      </w:r>
      <w:r w:rsidR="007F008A">
        <w:t>Ha a bin</w:t>
      </w:r>
      <w:r w:rsidR="007F008A" w:rsidRPr="007F008A">
        <w:rPr>
          <w:rFonts w:ascii="Calibri" w:hAnsi="Calibri" w:cs="Calibri"/>
        </w:rPr>
        <w:t>á</w:t>
      </w:r>
      <w:r w:rsidR="007F008A">
        <w:t>ris m</w:t>
      </w:r>
      <w:r w:rsidR="007F008A" w:rsidRPr="007F008A">
        <w:rPr>
          <w:rFonts w:ascii="Calibri" w:hAnsi="Calibri" w:cs="Calibri"/>
        </w:rPr>
        <w:t>ű</w:t>
      </w:r>
      <w:r w:rsidR="007F008A">
        <w:t>velet szorz</w:t>
      </w:r>
      <w:r w:rsidR="007F008A" w:rsidRPr="007F008A">
        <w:rPr>
          <w:rFonts w:ascii="Calibri" w:hAnsi="Calibri" w:cs="Calibri"/>
        </w:rPr>
        <w:t>á</w:t>
      </w:r>
      <w:r w:rsidR="007F008A">
        <w:t>s (</w:t>
      </w:r>
      <w:r w:rsidR="007F008A" w:rsidRPr="007F008A">
        <w:rPr>
          <w:rFonts w:ascii="Calibri" w:hAnsi="Calibri" w:cs="Calibri"/>
        </w:rPr>
        <w:t>×</w:t>
      </w:r>
      <w:r w:rsidR="007F008A">
        <w:t xml:space="preserve">), </w:t>
      </w:r>
      <w:r w:rsidR="007F008A" w:rsidRPr="007F008A">
        <w:rPr>
          <w:rFonts w:ascii="Calibri" w:hAnsi="Calibri" w:cs="Calibri"/>
        </w:rPr>
        <w:t>é</w:t>
      </w:r>
      <w:r w:rsidR="007F008A">
        <w:t>s a r</w:t>
      </w:r>
      <w:r w:rsidR="007F008A" w:rsidRPr="007F008A">
        <w:rPr>
          <w:rFonts w:ascii="Calibri" w:hAnsi="Calibri" w:cs="Calibri"/>
        </w:rPr>
        <w:t>é</w:t>
      </w:r>
      <w:r w:rsidR="007F008A">
        <w:t>szgr</w:t>
      </w:r>
      <w:r w:rsidR="007F008A" w:rsidRPr="007F008A">
        <w:rPr>
          <w:rFonts w:ascii="Calibri" w:hAnsi="Calibri" w:cs="Calibri"/>
        </w:rPr>
        <w:t>á</w:t>
      </w:r>
      <w:r w:rsidR="007F008A">
        <w:t xml:space="preserve">f equi-joinnak felel meg, </w:t>
      </w:r>
      <w:r w:rsidR="007F008A" w:rsidRPr="007F008A">
        <w:rPr>
          <w:rFonts w:ascii="Calibri" w:hAnsi="Calibri" w:cs="Calibri"/>
        </w:rPr>
        <w:t>é</w:t>
      </w:r>
      <w:r w:rsidR="007F008A">
        <w:t>s a szorz</w:t>
      </w:r>
      <w:r w:rsidR="007F008A" w:rsidRPr="007F008A">
        <w:rPr>
          <w:rFonts w:ascii="Calibri" w:hAnsi="Calibri" w:cs="Calibri"/>
        </w:rPr>
        <w:t>á</w:t>
      </w:r>
      <w:r w:rsidR="007F008A">
        <w:t xml:space="preserve">s valamelyik </w:t>
      </w:r>
      <w:r w:rsidR="007F008A" w:rsidRPr="007F008A">
        <w:rPr>
          <w:rFonts w:ascii="Calibri" w:hAnsi="Calibri" w:cs="Calibri"/>
        </w:rPr>
        <w:t>á</w:t>
      </w:r>
      <w:r w:rsidR="007F008A">
        <w:t>ga nem</w:t>
      </w:r>
      <w:r w:rsidR="007F008A">
        <w:t xml:space="preserve"> </w:t>
      </w:r>
      <w:r w:rsidR="007F008A">
        <w:t>tartalmaz</w:t>
      </w:r>
      <w:r w:rsidR="007F008A">
        <w:t xml:space="preserve"> </w:t>
      </w:r>
      <w:r w:rsidR="007F008A">
        <w:t>bináris</w:t>
      </w:r>
      <w:r w:rsidR="007F008A">
        <w:t xml:space="preserve"> </w:t>
      </w:r>
      <w:r w:rsidR="007F008A">
        <w:t>műveletet,</w:t>
      </w:r>
      <w:r w:rsidR="007F008A">
        <w:t xml:space="preserve"> </w:t>
      </w:r>
      <w:r w:rsidR="007F008A">
        <w:t>akkor</w:t>
      </w:r>
      <w:r w:rsidR="007F008A">
        <w:t xml:space="preserve"> </w:t>
      </w:r>
      <w:r w:rsidR="007F008A">
        <w:t>ezt</w:t>
      </w:r>
      <w:r w:rsidR="007F008A">
        <w:t xml:space="preserve"> </w:t>
      </w:r>
      <w:r w:rsidR="007F008A">
        <w:t>az</w:t>
      </w:r>
      <w:r w:rsidR="007F008A">
        <w:t xml:space="preserve"> </w:t>
      </w:r>
      <w:r w:rsidR="007F008A">
        <w:t>ágat</w:t>
      </w:r>
      <w:r w:rsidR="007F008A">
        <w:t xml:space="preserve"> </w:t>
      </w:r>
      <w:r w:rsidR="007F008A">
        <w:t>is</w:t>
      </w:r>
      <w:r w:rsidR="007F008A">
        <w:t xml:space="preserve"> </w:t>
      </w:r>
      <w:r w:rsidR="007F008A">
        <w:t>vegyük</w:t>
      </w:r>
      <w:r w:rsidR="007F008A">
        <w:t xml:space="preserve"> </w:t>
      </w:r>
      <w:r w:rsidR="007F008A">
        <w:t>hozzá</w:t>
      </w:r>
      <w:r w:rsidR="007F008A">
        <w:t xml:space="preserve"> </w:t>
      </w:r>
      <w:r w:rsidR="007F008A">
        <w:t>a</w:t>
      </w:r>
      <w:r w:rsidR="007F008A">
        <w:t xml:space="preserve"> </w:t>
      </w:r>
      <w:r w:rsidR="007F008A">
        <w:t>részgráfhoz.</w:t>
      </w:r>
    </w:p>
    <w:p w14:paraId="12FD6DA1" w14:textId="24AB9629" w:rsidR="004522B5" w:rsidRDefault="007F008A" w:rsidP="00FA382B">
      <w:pPr>
        <w:pStyle w:val="ListParagraph"/>
        <w:numPr>
          <w:ilvl w:val="0"/>
          <w:numId w:val="13"/>
        </w:numPr>
      </w:pPr>
      <w:r>
        <w:t>Az előző lépésben kapott részgráfok is fát képeznek. Az optimális kiértékeléshez ezt a fá</w:t>
      </w:r>
      <w:r w:rsidR="00FA382B">
        <w:t xml:space="preserve"> </w:t>
      </w:r>
      <w:r>
        <w:t>értékeljük ki alulról felfelé haladva, tetszőleges sorrendben.</w:t>
      </w:r>
    </w:p>
    <w:p w14:paraId="114C80EF" w14:textId="37E712AF" w:rsidR="00585D1A" w:rsidRDefault="00585D1A" w:rsidP="00585D1A">
      <w:r>
        <w:t>f)</w:t>
      </w:r>
      <w:r w:rsidR="00D16101">
        <w:t xml:space="preserve"> 4 példa a lentiekből:</w:t>
      </w:r>
      <w:r w:rsidR="00D16101" w:rsidRPr="00D16101">
        <w:rPr>
          <w:noProof/>
        </w:rPr>
        <w:t xml:space="preserve"> </w:t>
      </w:r>
      <w:r w:rsidR="00D16101" w:rsidRPr="00D16101">
        <w:drawing>
          <wp:inline distT="0" distB="0" distL="0" distR="0" wp14:anchorId="0750C371" wp14:editId="0BFE7123">
            <wp:extent cx="5156751" cy="2946400"/>
            <wp:effectExtent l="0" t="0" r="6350" b="6350"/>
            <wp:docPr id="176792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258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688" cy="29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DFA" w14:textId="2AD63DEA" w:rsidR="00690A70" w:rsidRPr="005C3BC0" w:rsidRDefault="00825552" w:rsidP="00585D1A">
      <w:r w:rsidRPr="00825552">
        <w:lastRenderedPageBreak/>
        <w:drawing>
          <wp:inline distT="0" distB="0" distL="0" distR="0" wp14:anchorId="2249A661" wp14:editId="53B267BF">
            <wp:extent cx="4940300" cy="4623121"/>
            <wp:effectExtent l="0" t="0" r="0" b="6350"/>
            <wp:docPr id="1340020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03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766" cy="46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A70" w:rsidRPr="005C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3D"/>
    <w:multiLevelType w:val="hybridMultilevel"/>
    <w:tmpl w:val="F6D4C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57B"/>
    <w:multiLevelType w:val="hybridMultilevel"/>
    <w:tmpl w:val="F858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B2D07"/>
    <w:multiLevelType w:val="hybridMultilevel"/>
    <w:tmpl w:val="F212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B7E23"/>
    <w:multiLevelType w:val="hybridMultilevel"/>
    <w:tmpl w:val="04FC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86FEA"/>
    <w:multiLevelType w:val="hybridMultilevel"/>
    <w:tmpl w:val="C592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419D"/>
    <w:multiLevelType w:val="hybridMultilevel"/>
    <w:tmpl w:val="4012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E1C69"/>
    <w:multiLevelType w:val="hybridMultilevel"/>
    <w:tmpl w:val="0554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43D33"/>
    <w:multiLevelType w:val="hybridMultilevel"/>
    <w:tmpl w:val="22906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A4D00"/>
    <w:multiLevelType w:val="hybridMultilevel"/>
    <w:tmpl w:val="7750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05381"/>
    <w:multiLevelType w:val="hybridMultilevel"/>
    <w:tmpl w:val="8694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1244F"/>
    <w:multiLevelType w:val="hybridMultilevel"/>
    <w:tmpl w:val="388E2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96731"/>
    <w:multiLevelType w:val="hybridMultilevel"/>
    <w:tmpl w:val="3DEC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3C83"/>
    <w:multiLevelType w:val="hybridMultilevel"/>
    <w:tmpl w:val="CFF0D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8437">
    <w:abstractNumId w:val="7"/>
  </w:num>
  <w:num w:numId="2" w16cid:durableId="321087696">
    <w:abstractNumId w:val="8"/>
  </w:num>
  <w:num w:numId="3" w16cid:durableId="1893226087">
    <w:abstractNumId w:val="0"/>
  </w:num>
  <w:num w:numId="4" w16cid:durableId="979117828">
    <w:abstractNumId w:val="3"/>
  </w:num>
  <w:num w:numId="5" w16cid:durableId="941031560">
    <w:abstractNumId w:val="5"/>
  </w:num>
  <w:num w:numId="6" w16cid:durableId="1268582289">
    <w:abstractNumId w:val="6"/>
  </w:num>
  <w:num w:numId="7" w16cid:durableId="882712330">
    <w:abstractNumId w:val="1"/>
  </w:num>
  <w:num w:numId="8" w16cid:durableId="262030825">
    <w:abstractNumId w:val="9"/>
  </w:num>
  <w:num w:numId="9" w16cid:durableId="170070407">
    <w:abstractNumId w:val="11"/>
  </w:num>
  <w:num w:numId="10" w16cid:durableId="1430156925">
    <w:abstractNumId w:val="12"/>
  </w:num>
  <w:num w:numId="11" w16cid:durableId="1175531559">
    <w:abstractNumId w:val="2"/>
  </w:num>
  <w:num w:numId="12" w16cid:durableId="283847302">
    <w:abstractNumId w:val="10"/>
  </w:num>
  <w:num w:numId="13" w16cid:durableId="204414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0"/>
    <w:rsid w:val="002F00FB"/>
    <w:rsid w:val="002F4AFD"/>
    <w:rsid w:val="00321103"/>
    <w:rsid w:val="00322C5D"/>
    <w:rsid w:val="00352A2E"/>
    <w:rsid w:val="004522B5"/>
    <w:rsid w:val="004600D0"/>
    <w:rsid w:val="004F2293"/>
    <w:rsid w:val="00527B53"/>
    <w:rsid w:val="005517BA"/>
    <w:rsid w:val="0056108D"/>
    <w:rsid w:val="00585D1A"/>
    <w:rsid w:val="00592A3D"/>
    <w:rsid w:val="005C3BC0"/>
    <w:rsid w:val="00690A70"/>
    <w:rsid w:val="006F37C7"/>
    <w:rsid w:val="007F008A"/>
    <w:rsid w:val="00825552"/>
    <w:rsid w:val="00865743"/>
    <w:rsid w:val="00945192"/>
    <w:rsid w:val="00AF65CC"/>
    <w:rsid w:val="00B53E4B"/>
    <w:rsid w:val="00C35BF2"/>
    <w:rsid w:val="00D16101"/>
    <w:rsid w:val="00DE179A"/>
    <w:rsid w:val="00E3387F"/>
    <w:rsid w:val="00E53C35"/>
    <w:rsid w:val="00F5732A"/>
    <w:rsid w:val="00FA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5371"/>
  <w15:chartTrackingRefBased/>
  <w15:docId w15:val="{A7A313A3-2B7D-42C8-BCF9-2F59BE19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26</cp:revision>
  <dcterms:created xsi:type="dcterms:W3CDTF">2023-12-18T15:33:00Z</dcterms:created>
  <dcterms:modified xsi:type="dcterms:W3CDTF">2023-12-18T16:29:00Z</dcterms:modified>
</cp:coreProperties>
</file>