
<file path=[Content_Types].xml><?xml version="1.0" encoding="utf-8"?>
<Types xmlns="http://schemas.openxmlformats.org/package/2006/content-types">
  <Default Extension="bin" ContentType="application/vnd.openxmlformats-officedocument.oleObject"/>
  <Default Extension="emf" ContentType="image/x-emf"/>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2DB0B1">
      <w:pPr>
        <w:pageBreakBefore/>
        <w:pBdr>
          <w:bottom w:val="single" w:color="auto" w:sz="12" w:space="1"/>
        </w:pBdr>
        <w:spacing w:line="360" w:lineRule="auto"/>
        <w:jc w:val="center"/>
        <w:rPr>
          <w:rFonts w:hint="eastAsia" w:ascii="宋体" w:hAnsi="宋体" w:eastAsia="宋体" w:cs="宋体"/>
          <w:b/>
          <w:bCs/>
          <w:kern w:val="0"/>
          <w:sz w:val="30"/>
          <w:szCs w:val="28"/>
        </w:rPr>
      </w:pPr>
      <w:bookmarkStart w:id="0" w:name="_GoBack"/>
      <w:bookmarkEnd w:id="0"/>
      <w:r>
        <w:rPr>
          <w:rFonts w:hint="eastAsia" w:ascii="宋体" w:hAnsi="宋体" w:eastAsia="宋体" w:cs="宋体"/>
          <w:b/>
          <w:bCs/>
          <w:kern w:val="0"/>
          <w:sz w:val="30"/>
          <w:szCs w:val="28"/>
        </w:rPr>
        <w:t>说   明    书    摘    要</w:t>
      </w:r>
    </w:p>
    <w:p w14:paraId="173C4DB6">
      <w:pPr>
        <w:pStyle w:val="22"/>
        <w:numPr>
          <w:ilvl w:val="0"/>
          <w:numId w:val="0"/>
        </w:numPr>
        <w:ind w:firstLine="584" w:firstLineChars="200"/>
        <w:rPr>
          <w:rFonts w:hint="eastAsia" w:ascii="宋体" w:hAnsi="宋体" w:eastAsia="宋体" w:cs="宋体"/>
          <w:sz w:val="28"/>
        </w:rPr>
      </w:pPr>
      <w:r>
        <w:rPr>
          <w:rFonts w:hint="eastAsia" w:ascii="宋体" w:hAnsi="宋体" w:eastAsia="宋体" w:cs="宋体"/>
          <w:sz w:val="28"/>
          <w:lang w:eastAsia="zh-CN"/>
        </w:rPr>
        <w:t>本发明公开了一种基于互联网的电子发票税务数据智能分析方法；</w:t>
      </w:r>
      <w:r>
        <w:rPr>
          <w:rFonts w:hint="eastAsia" w:ascii="宋体" w:hAnsi="宋体" w:eastAsia="宋体" w:cs="宋体"/>
          <w:sz w:val="28"/>
          <w:lang w:val="en-US" w:eastAsia="zh-CN"/>
        </w:rPr>
        <w:t>属于</w:t>
      </w:r>
      <w:r>
        <w:rPr>
          <w:rFonts w:hint="eastAsia" w:ascii="宋体" w:hAnsi="宋体" w:eastAsia="宋体" w:cs="宋体"/>
          <w:sz w:val="28"/>
          <w:lang w:eastAsia="zh-CN"/>
        </w:rPr>
        <w:t>电子发票税务分析</w:t>
      </w:r>
      <w:r>
        <w:rPr>
          <w:rFonts w:hint="eastAsia" w:ascii="宋体" w:hAnsi="宋体" w:eastAsia="宋体" w:cs="宋体"/>
          <w:sz w:val="28"/>
          <w:lang w:val="en-US" w:eastAsia="zh-CN"/>
        </w:rPr>
        <w:t>技术领域</w:t>
      </w:r>
      <w:r>
        <w:rPr>
          <w:rFonts w:hint="eastAsia" w:ascii="宋体" w:hAnsi="宋体" w:eastAsia="宋体" w:cs="宋体"/>
          <w:sz w:val="28"/>
          <w:lang w:eastAsia="zh-CN"/>
        </w:rPr>
        <w:t>；</w:t>
      </w:r>
      <w:r>
        <w:rPr>
          <w:rFonts w:hint="eastAsia" w:ascii="宋体" w:hAnsi="宋体" w:eastAsia="宋体" w:cs="宋体"/>
          <w:snapToGrid/>
          <w:spacing w:val="0"/>
          <w:kern w:val="2"/>
          <w:sz w:val="28"/>
          <w:szCs w:val="22"/>
          <w:lang w:val="en-US" w:eastAsia="zh-CN" w:bidi="ar-SA"/>
        </w:rPr>
        <w:t>通过互联网网签平台获取交易过程中的企业名称及其开具的电子发票，通过对获取的电子发票进行有效性审核，分析判断对应公司开的电子发票是否真实有效，可以高效快速的发现不合规的税务行为，提高了电子发票的真实性和有效性；通过对审核后的电子发票进行归类和评估，可以有效提高电子发票的预处理结果，同时还可以为后续的税务政策的自适应推送提供了有效的数据支撑</w:t>
      </w:r>
      <w:r>
        <w:rPr>
          <w:rFonts w:hint="eastAsia" w:ascii="宋体" w:hAnsi="宋体" w:eastAsia="宋体" w:cs="宋体"/>
          <w:sz w:val="28"/>
          <w:lang w:eastAsia="zh-CN"/>
        </w:rPr>
        <w:t>；本发明</w:t>
      </w:r>
      <w:r>
        <w:rPr>
          <w:rFonts w:hint="eastAsia" w:ascii="宋体" w:hAnsi="宋体" w:eastAsia="宋体" w:cs="宋体"/>
          <w:sz w:val="28"/>
          <w:lang w:val="en-US" w:eastAsia="zh-CN"/>
        </w:rPr>
        <w:t>解决了</w:t>
      </w:r>
      <w:r>
        <w:rPr>
          <w:rFonts w:hint="eastAsia" w:ascii="宋体" w:hAnsi="宋体" w:eastAsia="宋体" w:cs="宋体"/>
          <w:sz w:val="28"/>
          <w:lang w:eastAsia="zh-CN"/>
        </w:rPr>
        <w:t>现有方案中</w:t>
      </w:r>
      <w:r>
        <w:rPr>
          <w:rFonts w:hint="eastAsia" w:ascii="宋体" w:hAnsi="宋体" w:eastAsia="宋体" w:cs="宋体"/>
          <w:sz w:val="28"/>
          <w:lang w:val="en-US" w:eastAsia="zh-CN"/>
        </w:rPr>
        <w:t>不能高效快速的对电子发票进行核验和归类评估，并根据评估结果</w:t>
      </w:r>
      <w:r>
        <w:rPr>
          <w:rFonts w:hint="eastAsia" w:ascii="宋体" w:hAnsi="宋体" w:eastAsia="宋体" w:cs="宋体"/>
          <w:snapToGrid/>
          <w:spacing w:val="0"/>
          <w:kern w:val="2"/>
          <w:sz w:val="28"/>
          <w:szCs w:val="22"/>
          <w:lang w:val="en-US" w:eastAsia="zh-CN" w:bidi="ar-SA"/>
        </w:rPr>
        <w:t>自适应的推送相关联的税务政策的技术问题</w:t>
      </w:r>
      <w:r>
        <w:rPr>
          <w:rFonts w:hint="eastAsia" w:ascii="宋体" w:hAnsi="宋体" w:eastAsia="宋体" w:cs="宋体"/>
          <w:sz w:val="28"/>
          <w:lang w:eastAsia="zh-CN"/>
        </w:rPr>
        <w:t>。</w:t>
      </w:r>
    </w:p>
    <w:p w14:paraId="66E1C27B">
      <w:pPr>
        <w:pageBreakBefore/>
        <w:pBdr>
          <w:bottom w:val="single" w:color="auto" w:sz="12" w:space="1"/>
        </w:pBdr>
        <w:spacing w:line="360" w:lineRule="auto"/>
        <w:jc w:val="center"/>
        <w:rPr>
          <w:rFonts w:hint="eastAsia" w:ascii="宋体" w:hAnsi="宋体" w:eastAsia="宋体" w:cs="宋体"/>
          <w:b/>
          <w:bCs/>
          <w:kern w:val="0"/>
          <w:sz w:val="30"/>
          <w:szCs w:val="28"/>
        </w:rPr>
      </w:pPr>
      <w:r>
        <w:rPr>
          <w:rFonts w:hint="eastAsia" w:ascii="宋体" w:hAnsi="宋体" w:eastAsia="宋体" w:cs="宋体"/>
          <w:b/>
          <w:bCs/>
          <w:kern w:val="0"/>
          <w:sz w:val="30"/>
          <w:szCs w:val="28"/>
        </w:rPr>
        <w:t>摘    要    附    图</w:t>
      </w:r>
    </w:p>
    <w:p w14:paraId="22CFC377">
      <w:pPr>
        <w:spacing w:line="360" w:lineRule="auto"/>
        <w:jc w:val="center"/>
        <w:rPr>
          <w:rFonts w:hint="eastAsia"/>
        </w:rPr>
      </w:pPr>
    </w:p>
    <w:p w14:paraId="3118278D">
      <w:pPr>
        <w:spacing w:line="360" w:lineRule="auto"/>
        <w:jc w:val="center"/>
        <w:rPr>
          <w:rFonts w:hint="eastAsia" w:eastAsia="宋体"/>
          <w:lang w:eastAsia="zh-CN"/>
        </w:rPr>
      </w:pPr>
      <w:r>
        <w:rPr>
          <w:rFonts w:hint="eastAsia" w:eastAsia="楷体_GB2312"/>
          <w:kern w:val="0"/>
          <w:sz w:val="28"/>
          <w:szCs w:val="28"/>
          <w:lang w:eastAsia="zh-CN"/>
        </w:rPr>
        <w:object>
          <v:shape id="_x0000_i1025" o:spt="75" type="#_x0000_t75" style="height:375.95pt;width:457.95pt;" o:ole="t" filled="f" o:preferrelative="t" stroked="f" coordsize="21600,21600">
            <v:path/>
            <v:fill on="f" focussize="0,0"/>
            <v:stroke on="f"/>
            <v:imagedata r:id="rId10" o:title=""/>
            <o:lock v:ext="edit" aspectratio="t"/>
            <w10:wrap type="none"/>
            <w10:anchorlock/>
          </v:shape>
          <o:OLEObject Type="Embed" ProgID="Visio.Drawing.11" ShapeID="_x0000_i1025" DrawAspect="Content" ObjectID="_1468075725" r:id="rId9">
            <o:LockedField>false</o:LockedField>
          </o:OLEObject>
        </w:object>
      </w:r>
    </w:p>
    <w:p w14:paraId="228B4152">
      <w:pPr>
        <w:spacing w:line="360" w:lineRule="auto"/>
        <w:jc w:val="center"/>
        <w:rPr>
          <w:rFonts w:hint="eastAsia" w:eastAsia="楷体_GB2312"/>
          <w:kern w:val="0"/>
          <w:sz w:val="28"/>
          <w:szCs w:val="28"/>
        </w:rPr>
      </w:pPr>
    </w:p>
    <w:p w14:paraId="1A7748ED">
      <w:pPr>
        <w:pageBreakBefore/>
        <w:pBdr>
          <w:bottom w:val="single" w:color="auto" w:sz="12" w:space="1"/>
        </w:pBdr>
        <w:spacing w:line="360" w:lineRule="auto"/>
        <w:jc w:val="center"/>
        <w:rPr>
          <w:rFonts w:eastAsia="楷体_GB2312"/>
          <w:spacing w:val="62"/>
          <w:kern w:val="0"/>
          <w:sz w:val="28"/>
          <w:szCs w:val="28"/>
        </w:rPr>
        <w:sectPr>
          <w:footerReference r:id="rId3" w:type="default"/>
          <w:footerReference r:id="rId4" w:type="even"/>
          <w:type w:val="oddPage"/>
          <w:pgSz w:w="11907" w:h="16840"/>
          <w:pgMar w:top="1418" w:right="947" w:bottom="851" w:left="1418" w:header="0" w:footer="851" w:gutter="0"/>
          <w:lnNumType w:countBy="0"/>
          <w:cols w:space="720" w:num="1"/>
          <w:docGrid w:linePitch="432" w:charSpace="0"/>
        </w:sectPr>
      </w:pPr>
    </w:p>
    <w:p w14:paraId="089947BB">
      <w:pPr>
        <w:pageBreakBefore/>
        <w:pBdr>
          <w:bottom w:val="single" w:color="auto" w:sz="12" w:space="1"/>
        </w:pBdr>
        <w:spacing w:line="360" w:lineRule="auto"/>
        <w:jc w:val="center"/>
        <w:rPr>
          <w:rFonts w:hint="eastAsia" w:ascii="宋体" w:hAnsi="宋体" w:eastAsia="宋体" w:cs="宋体"/>
          <w:b/>
          <w:bCs/>
          <w:kern w:val="0"/>
          <w:sz w:val="30"/>
          <w:szCs w:val="28"/>
        </w:rPr>
      </w:pPr>
      <w:r>
        <w:rPr>
          <w:rFonts w:hint="eastAsia" w:ascii="宋体" w:hAnsi="宋体" w:eastAsia="宋体" w:cs="宋体"/>
          <w:b/>
          <w:bCs/>
          <w:kern w:val="0"/>
          <w:sz w:val="30"/>
          <w:szCs w:val="28"/>
        </w:rPr>
        <w:t>权    利    要    求    书</w:t>
      </w:r>
    </w:p>
    <w:p w14:paraId="4E0E706E">
      <w:pPr>
        <w:pStyle w:val="22"/>
        <w:numPr>
          <w:ilvl w:val="0"/>
          <w:numId w:val="3"/>
        </w:numPr>
        <w:ind w:left="0" w:leftChars="0" w:firstLine="584" w:firstLineChars="200"/>
        <w:rPr>
          <w:rFonts w:hint="eastAsia" w:ascii="宋体" w:hAnsi="宋体" w:eastAsia="宋体" w:cs="宋体"/>
          <w:snapToGrid/>
          <w:spacing w:val="0"/>
          <w:kern w:val="2"/>
          <w:sz w:val="28"/>
          <w:szCs w:val="22"/>
          <w:lang w:val="en-US" w:eastAsia="zh-CN" w:bidi="ar-SA"/>
        </w:rPr>
      </w:pPr>
      <w:r>
        <w:rPr>
          <w:rFonts w:hint="eastAsia" w:ascii="宋体" w:hAnsi="宋体" w:eastAsia="宋体" w:cs="宋体"/>
          <w:sz w:val="28"/>
          <w:lang w:eastAsia="zh-CN"/>
        </w:rPr>
        <w:t>一种基于互联网的电子发票税务数据智能分析方法</w:t>
      </w:r>
      <w:r>
        <w:rPr>
          <w:rFonts w:hint="eastAsia" w:ascii="宋体" w:hAnsi="宋体" w:eastAsia="宋体" w:cs="宋体"/>
          <w:snapToGrid/>
          <w:spacing w:val="0"/>
          <w:kern w:val="2"/>
          <w:sz w:val="28"/>
          <w:lang w:val="en-US" w:eastAsia="zh-CN" w:bidi="ar-SA"/>
        </w:rPr>
        <w:t>，其特征在于，包括</w:t>
      </w:r>
      <w:r>
        <w:rPr>
          <w:rFonts w:hint="eastAsia" w:ascii="宋体" w:hAnsi="宋体" w:eastAsia="宋体" w:cs="宋体"/>
          <w:snapToGrid/>
          <w:spacing w:val="0"/>
          <w:kern w:val="2"/>
          <w:sz w:val="28"/>
          <w:szCs w:val="22"/>
          <w:lang w:val="en-US" w:eastAsia="zh-CN" w:bidi="ar-SA"/>
        </w:rPr>
        <w:t>：</w:t>
      </w:r>
    </w:p>
    <w:p w14:paraId="12A07B65">
      <w:pPr>
        <w:pStyle w:val="22"/>
        <w:ind w:left="0" w:leftChars="0" w:firstLine="560" w:firstLineChars="200"/>
        <w:rPr>
          <w:rFonts w:hint="eastAsia" w:ascii="宋体" w:hAnsi="宋体" w:eastAsia="宋体" w:cs="宋体"/>
          <w:snapToGrid/>
          <w:spacing w:val="0"/>
          <w:kern w:val="2"/>
          <w:sz w:val="28"/>
          <w:szCs w:val="22"/>
          <w:lang w:val="en-US" w:eastAsia="zh-CN" w:bidi="ar-SA"/>
        </w:rPr>
      </w:pPr>
      <w:r>
        <w:rPr>
          <w:rFonts w:hint="eastAsia" w:ascii="宋体" w:hAnsi="宋体" w:eastAsia="宋体" w:cs="宋体"/>
          <w:snapToGrid/>
          <w:spacing w:val="0"/>
          <w:kern w:val="2"/>
          <w:sz w:val="28"/>
          <w:szCs w:val="22"/>
          <w:lang w:val="en-US" w:eastAsia="zh-CN" w:bidi="ar-SA"/>
        </w:rPr>
        <w:t>通过互联网网签平台获取交易过程中的企业名称及其开具的电子发票，获取电子发票的发票类型、发票金额和发票号码，企业名称及其开具的电子发票构成税务数据，并将税务数据发送至数据库中；</w:t>
      </w:r>
    </w:p>
    <w:p w14:paraId="0BCE46FB">
      <w:pPr>
        <w:pStyle w:val="22"/>
        <w:ind w:left="0" w:leftChars="0" w:firstLine="560" w:firstLineChars="200"/>
        <w:rPr>
          <w:rFonts w:hint="eastAsia" w:ascii="宋体" w:hAnsi="宋体" w:eastAsia="宋体" w:cs="宋体"/>
          <w:snapToGrid/>
          <w:spacing w:val="0"/>
          <w:kern w:val="2"/>
          <w:sz w:val="28"/>
          <w:szCs w:val="22"/>
          <w:lang w:val="en-US" w:eastAsia="zh-CN" w:bidi="ar-SA"/>
        </w:rPr>
      </w:pPr>
      <w:r>
        <w:rPr>
          <w:rFonts w:hint="eastAsia" w:ascii="宋体" w:hAnsi="宋体" w:eastAsia="宋体" w:cs="宋体"/>
          <w:snapToGrid/>
          <w:spacing w:val="0"/>
          <w:kern w:val="2"/>
          <w:sz w:val="28"/>
          <w:szCs w:val="22"/>
          <w:lang w:val="en-US" w:eastAsia="zh-CN" w:bidi="ar-SA"/>
        </w:rPr>
        <w:t>数据库接收到税务数据后生成审核指令，并根据审核指令对税务数据进行有效性审核，得到初审合格或者初审异常的税务审核结果；</w:t>
      </w:r>
    </w:p>
    <w:p w14:paraId="3E5939BF">
      <w:pPr>
        <w:pStyle w:val="22"/>
        <w:ind w:left="0" w:leftChars="0" w:firstLine="560" w:firstLineChars="200"/>
        <w:rPr>
          <w:rFonts w:hint="eastAsia" w:ascii="宋体" w:hAnsi="宋体" w:eastAsia="宋体" w:cs="宋体"/>
          <w:snapToGrid/>
          <w:spacing w:val="0"/>
          <w:kern w:val="2"/>
          <w:sz w:val="28"/>
          <w:szCs w:val="22"/>
          <w:lang w:val="en-US" w:eastAsia="zh-CN" w:bidi="ar-SA"/>
        </w:rPr>
      </w:pPr>
      <w:r>
        <w:rPr>
          <w:rFonts w:hint="eastAsia" w:ascii="宋体" w:hAnsi="宋体" w:eastAsia="宋体" w:cs="宋体"/>
          <w:snapToGrid/>
          <w:spacing w:val="0"/>
          <w:kern w:val="2"/>
          <w:sz w:val="28"/>
          <w:szCs w:val="22"/>
          <w:lang w:val="en-US" w:eastAsia="zh-CN" w:bidi="ar-SA"/>
        </w:rPr>
        <w:t>根据税务审核结果中的初审合格来对税务数据进行归类和评估，得到税务分析数据；</w:t>
      </w:r>
    </w:p>
    <w:p w14:paraId="7530A2E7">
      <w:pPr>
        <w:pStyle w:val="22"/>
        <w:ind w:left="0" w:leftChars="0" w:firstLine="560" w:firstLineChars="200"/>
        <w:rPr>
          <w:rFonts w:hint="eastAsia" w:ascii="宋体" w:hAnsi="宋体" w:eastAsia="宋体" w:cs="宋体"/>
          <w:snapToGrid/>
          <w:spacing w:val="0"/>
          <w:kern w:val="2"/>
          <w:sz w:val="28"/>
          <w:szCs w:val="22"/>
          <w:lang w:val="en-US" w:eastAsia="zh-CN" w:bidi="ar-SA"/>
        </w:rPr>
      </w:pPr>
      <w:r>
        <w:rPr>
          <w:rFonts w:hint="eastAsia" w:ascii="宋体" w:hAnsi="宋体" w:eastAsia="宋体" w:cs="宋体"/>
          <w:snapToGrid/>
          <w:spacing w:val="0"/>
          <w:kern w:val="2"/>
          <w:sz w:val="28"/>
          <w:szCs w:val="22"/>
          <w:lang w:val="en-US" w:eastAsia="zh-CN" w:bidi="ar-SA"/>
        </w:rPr>
        <w:t>将税务分析数据进行存储并生成存储指令，根据存储指令自适应的将相关联的税务政策进行推送。</w:t>
      </w:r>
    </w:p>
    <w:p w14:paraId="4E7353C2">
      <w:pPr>
        <w:pStyle w:val="22"/>
        <w:ind w:left="0" w:leftChars="0" w:firstLine="560" w:firstLineChars="200"/>
        <w:rPr>
          <w:rFonts w:hint="eastAsia" w:ascii="宋体" w:hAnsi="宋体" w:eastAsia="宋体" w:cs="宋体"/>
          <w:snapToGrid/>
          <w:spacing w:val="0"/>
          <w:kern w:val="2"/>
          <w:sz w:val="28"/>
          <w:szCs w:val="22"/>
          <w:lang w:val="en-US" w:eastAsia="zh-CN" w:bidi="ar-SA"/>
        </w:rPr>
      </w:pPr>
      <w:r>
        <w:rPr>
          <w:rFonts w:hint="eastAsia" w:ascii="宋体" w:hAnsi="宋体" w:eastAsia="宋体" w:cs="宋体"/>
          <w:snapToGrid/>
          <w:spacing w:val="0"/>
          <w:kern w:val="2"/>
          <w:sz w:val="28"/>
          <w:lang w:val="en-US" w:eastAsia="zh-CN" w:bidi="ar-SA"/>
        </w:rPr>
        <w:t>2</w:t>
      </w:r>
      <w:r>
        <w:rPr>
          <w:rFonts w:hint="eastAsia" w:ascii="宋体" w:hAnsi="宋体" w:eastAsia="宋体" w:cs="宋体"/>
          <w:sz w:val="28"/>
          <w:szCs w:val="22"/>
          <w:lang w:val="en-US" w:eastAsia="zh-CN"/>
        </w:rPr>
        <w:t>.</w:t>
      </w:r>
      <w:r>
        <w:rPr>
          <w:rFonts w:hint="eastAsia" w:ascii="宋体" w:hAnsi="宋体" w:eastAsia="宋体" w:cs="宋体"/>
          <w:snapToGrid/>
          <w:spacing w:val="0"/>
          <w:kern w:val="2"/>
          <w:sz w:val="28"/>
          <w:lang w:val="en-US" w:eastAsia="zh-CN" w:bidi="ar-SA"/>
        </w:rPr>
        <w:t>根据权利要求1所述的一种基于互联网的电子发票税务数据智能分析方法，其特征在于，</w:t>
      </w:r>
      <w:r>
        <w:rPr>
          <w:rFonts w:hint="eastAsia" w:ascii="宋体" w:hAnsi="宋体" w:eastAsia="宋体" w:cs="宋体"/>
          <w:snapToGrid/>
          <w:spacing w:val="0"/>
          <w:kern w:val="2"/>
          <w:sz w:val="28"/>
          <w:szCs w:val="22"/>
          <w:lang w:val="en-US" w:eastAsia="zh-CN" w:bidi="ar-SA"/>
        </w:rPr>
        <w:t>根据审核指令对税务数据进行有效性审核，包括：</w:t>
      </w:r>
    </w:p>
    <w:p w14:paraId="350E6B17">
      <w:pPr>
        <w:pStyle w:val="22"/>
        <w:ind w:left="0" w:leftChars="0" w:firstLine="560" w:firstLineChars="200"/>
        <w:rPr>
          <w:rFonts w:hint="eastAsia" w:ascii="宋体" w:hAnsi="宋体" w:eastAsia="宋体" w:cs="宋体"/>
          <w:snapToGrid/>
          <w:spacing w:val="0"/>
          <w:kern w:val="2"/>
          <w:sz w:val="28"/>
          <w:szCs w:val="22"/>
          <w:lang w:val="en-US" w:eastAsia="zh-CN" w:bidi="ar-SA"/>
        </w:rPr>
      </w:pPr>
      <w:r>
        <w:rPr>
          <w:rFonts w:hint="eastAsia" w:ascii="宋体" w:hAnsi="宋体" w:eastAsia="宋体" w:cs="宋体"/>
          <w:snapToGrid/>
          <w:spacing w:val="0"/>
          <w:kern w:val="2"/>
          <w:sz w:val="28"/>
          <w:szCs w:val="22"/>
          <w:lang w:val="en-US" w:eastAsia="zh-CN" w:bidi="ar-SA"/>
        </w:rPr>
        <w:t>获取税务数据中的企业名称以及电子发票的发票类型和发票金额；</w:t>
      </w:r>
    </w:p>
    <w:p w14:paraId="673BC541">
      <w:pPr>
        <w:pStyle w:val="22"/>
        <w:ind w:left="0" w:leftChars="0" w:firstLine="560" w:firstLineChars="200"/>
        <w:rPr>
          <w:rFonts w:hint="eastAsia" w:ascii="宋体" w:hAnsi="宋体" w:eastAsia="宋体" w:cs="宋体"/>
          <w:snapToGrid/>
          <w:spacing w:val="0"/>
          <w:kern w:val="2"/>
          <w:sz w:val="28"/>
          <w:szCs w:val="22"/>
          <w:lang w:val="en-US" w:eastAsia="zh-CN" w:bidi="ar-SA"/>
        </w:rPr>
      </w:pPr>
      <w:r>
        <w:rPr>
          <w:rFonts w:hint="eastAsia" w:ascii="宋体" w:hAnsi="宋体" w:eastAsia="宋体" w:cs="宋体"/>
          <w:snapToGrid/>
          <w:spacing w:val="0"/>
          <w:kern w:val="2"/>
          <w:sz w:val="28"/>
          <w:szCs w:val="22"/>
          <w:lang w:val="en-US" w:eastAsia="zh-CN" w:bidi="ar-SA"/>
        </w:rPr>
        <w:t>将企业名称与预构建的企业名称表进行匹配获取对应的企业经营范围并将其设定为样本范围；将税务数据中的发票类型与样本范围进行遍历匹配，若样本范围中存在与发票类型相同的经营类型，则生成第一遍历信号；</w:t>
      </w:r>
    </w:p>
    <w:p w14:paraId="7F19D176">
      <w:pPr>
        <w:pStyle w:val="22"/>
        <w:ind w:left="0" w:leftChars="0" w:firstLine="560" w:firstLineChars="200"/>
        <w:rPr>
          <w:rFonts w:hint="eastAsia" w:ascii="宋体" w:hAnsi="宋体" w:eastAsia="宋体" w:cs="宋体"/>
          <w:snapToGrid/>
          <w:spacing w:val="0"/>
          <w:kern w:val="2"/>
          <w:sz w:val="28"/>
          <w:szCs w:val="22"/>
          <w:lang w:val="en-US" w:eastAsia="zh-CN" w:bidi="ar-SA"/>
        </w:rPr>
      </w:pPr>
      <w:r>
        <w:rPr>
          <w:rFonts w:hint="eastAsia" w:ascii="宋体" w:hAnsi="宋体" w:eastAsia="宋体" w:cs="宋体"/>
          <w:snapToGrid/>
          <w:spacing w:val="0"/>
          <w:kern w:val="2"/>
          <w:sz w:val="28"/>
          <w:szCs w:val="22"/>
          <w:lang w:val="en-US" w:eastAsia="zh-CN" w:bidi="ar-SA"/>
        </w:rPr>
        <w:t>若样本范围中不存在与发票类型相同的经营类型，则生成第二遍历信号；第一遍历信号和第二遍历信号构成第一审核数据；</w:t>
      </w:r>
    </w:p>
    <w:p w14:paraId="0F986D1E">
      <w:pPr>
        <w:pStyle w:val="22"/>
        <w:ind w:left="0" w:leftChars="0" w:firstLine="560" w:firstLineChars="200"/>
        <w:rPr>
          <w:rFonts w:hint="eastAsia" w:ascii="宋体" w:hAnsi="宋体" w:eastAsia="宋体" w:cs="宋体"/>
          <w:snapToGrid/>
          <w:spacing w:val="0"/>
          <w:kern w:val="2"/>
          <w:sz w:val="28"/>
          <w:szCs w:val="22"/>
          <w:lang w:val="en-US" w:eastAsia="zh-CN" w:bidi="ar-SA"/>
        </w:rPr>
      </w:pPr>
      <w:r>
        <w:rPr>
          <w:rFonts w:hint="eastAsia" w:ascii="宋体" w:hAnsi="宋体" w:eastAsia="宋体" w:cs="宋体"/>
          <w:snapToGrid/>
          <w:spacing w:val="0"/>
          <w:kern w:val="2"/>
          <w:sz w:val="28"/>
          <w:szCs w:val="22"/>
          <w:lang w:val="en-US" w:eastAsia="zh-CN" w:bidi="ar-SA"/>
        </w:rPr>
        <w:t>根据企业名称获取发票号码对应的交易的银行流水数据，提取银行流水数据中的交易金额；</w:t>
      </w:r>
    </w:p>
    <w:p w14:paraId="3ACB23FA">
      <w:pPr>
        <w:pStyle w:val="22"/>
        <w:ind w:left="0" w:leftChars="0" w:firstLine="560" w:firstLineChars="200"/>
        <w:rPr>
          <w:rFonts w:hint="eastAsia" w:ascii="宋体" w:hAnsi="宋体" w:eastAsia="宋体" w:cs="宋体"/>
          <w:snapToGrid/>
          <w:spacing w:val="0"/>
          <w:kern w:val="2"/>
          <w:sz w:val="28"/>
          <w:szCs w:val="22"/>
          <w:lang w:val="en-US" w:eastAsia="zh-CN" w:bidi="ar-SA"/>
        </w:rPr>
      </w:pPr>
      <w:r>
        <w:rPr>
          <w:rFonts w:hint="eastAsia" w:ascii="宋体" w:hAnsi="宋体" w:eastAsia="宋体" w:cs="宋体"/>
          <w:snapToGrid/>
          <w:spacing w:val="0"/>
          <w:kern w:val="2"/>
          <w:sz w:val="28"/>
          <w:szCs w:val="22"/>
          <w:lang w:val="en-US" w:eastAsia="zh-CN" w:bidi="ar-SA"/>
        </w:rPr>
        <w:t>分别获取发票金额和交易金额的数值，根据获取的数值计算两者之间的比值，若比值为1，则生成第一核验信号；若比值不为1，则生成第二核验信号；第一核验信号和第二核验信号构成第二审核数据；</w:t>
      </w:r>
    </w:p>
    <w:p w14:paraId="69A1E4B4">
      <w:pPr>
        <w:pStyle w:val="22"/>
        <w:ind w:left="0" w:leftChars="0" w:firstLine="560" w:firstLineChars="200"/>
        <w:rPr>
          <w:rFonts w:hint="eastAsia" w:ascii="宋体" w:hAnsi="宋体" w:eastAsia="宋体" w:cs="宋体"/>
          <w:snapToGrid/>
          <w:spacing w:val="0"/>
          <w:kern w:val="2"/>
          <w:sz w:val="28"/>
          <w:lang w:val="en-US" w:eastAsia="zh-CN" w:bidi="ar-SA"/>
        </w:rPr>
      </w:pPr>
      <w:r>
        <w:rPr>
          <w:rFonts w:hint="eastAsia" w:ascii="宋体" w:hAnsi="宋体" w:eastAsia="宋体" w:cs="宋体"/>
          <w:snapToGrid/>
          <w:spacing w:val="0"/>
          <w:kern w:val="2"/>
          <w:sz w:val="28"/>
          <w:szCs w:val="22"/>
          <w:lang w:val="en-US" w:eastAsia="zh-CN" w:bidi="ar-SA"/>
        </w:rPr>
        <w:t>当第一审核数据中包含第一遍历信号且第二审核数据中包含第一核验信号时，则生成初审合格；反之，则生成初审异常；初审合格和初审异常构成税务审核结果</w:t>
      </w:r>
      <w:r>
        <w:rPr>
          <w:rFonts w:hint="eastAsia" w:ascii="宋体" w:hAnsi="宋体" w:eastAsia="宋体" w:cs="宋体"/>
          <w:snapToGrid/>
          <w:spacing w:val="0"/>
          <w:kern w:val="2"/>
          <w:sz w:val="28"/>
          <w:lang w:val="en-US" w:eastAsia="zh-CN" w:bidi="ar-SA"/>
        </w:rPr>
        <w:t>。</w:t>
      </w:r>
    </w:p>
    <w:p w14:paraId="12C5408F">
      <w:pPr>
        <w:pStyle w:val="22"/>
        <w:ind w:left="0" w:leftChars="0" w:firstLine="560" w:firstLineChars="200"/>
        <w:rPr>
          <w:rFonts w:hint="eastAsia" w:ascii="宋体" w:hAnsi="宋体" w:eastAsia="宋体" w:cs="宋体"/>
          <w:snapToGrid/>
          <w:spacing w:val="0"/>
          <w:kern w:val="2"/>
          <w:sz w:val="28"/>
          <w:szCs w:val="22"/>
          <w:lang w:val="en-US" w:eastAsia="zh-CN" w:bidi="ar-SA"/>
        </w:rPr>
      </w:pPr>
      <w:r>
        <w:rPr>
          <w:rFonts w:hint="eastAsia" w:ascii="宋体" w:hAnsi="宋体" w:eastAsia="宋体" w:cs="宋体"/>
          <w:snapToGrid/>
          <w:spacing w:val="0"/>
          <w:kern w:val="2"/>
          <w:sz w:val="28"/>
          <w:lang w:val="en-US" w:eastAsia="zh-CN" w:bidi="ar-SA"/>
        </w:rPr>
        <w:t>3</w:t>
      </w:r>
      <w:r>
        <w:rPr>
          <w:rFonts w:hint="eastAsia" w:ascii="宋体" w:hAnsi="宋体" w:eastAsia="宋体" w:cs="宋体"/>
          <w:sz w:val="28"/>
          <w:szCs w:val="22"/>
          <w:lang w:val="en-US" w:eastAsia="zh-CN"/>
        </w:rPr>
        <w:t>.</w:t>
      </w:r>
      <w:r>
        <w:rPr>
          <w:rFonts w:hint="eastAsia" w:ascii="宋体" w:hAnsi="宋体" w:eastAsia="宋体" w:cs="宋体"/>
          <w:snapToGrid/>
          <w:spacing w:val="0"/>
          <w:kern w:val="2"/>
          <w:sz w:val="28"/>
          <w:lang w:val="en-US" w:eastAsia="zh-CN" w:bidi="ar-SA"/>
        </w:rPr>
        <w:t>根据权利要求1所述的一种基于互联网的电子发票税务数据智能分析方法，其特征在于，</w:t>
      </w:r>
      <w:r>
        <w:rPr>
          <w:rFonts w:hint="eastAsia" w:ascii="宋体" w:hAnsi="宋体" w:eastAsia="宋体" w:cs="宋体"/>
          <w:snapToGrid/>
          <w:spacing w:val="0"/>
          <w:kern w:val="2"/>
          <w:sz w:val="28"/>
          <w:szCs w:val="22"/>
          <w:lang w:val="en-US" w:eastAsia="zh-CN" w:bidi="ar-SA"/>
        </w:rPr>
        <w:t>根据税务审核结果中的初审合格来对税务数据进行归类和评估，包括：</w:t>
      </w:r>
    </w:p>
    <w:p w14:paraId="3DC430C0">
      <w:pPr>
        <w:pStyle w:val="22"/>
        <w:ind w:left="0" w:leftChars="0" w:firstLine="560" w:firstLineChars="200"/>
        <w:rPr>
          <w:rFonts w:hint="eastAsia" w:ascii="宋体" w:hAnsi="宋体" w:eastAsia="宋体" w:cs="宋体"/>
          <w:snapToGrid/>
          <w:spacing w:val="0"/>
          <w:kern w:val="2"/>
          <w:sz w:val="28"/>
          <w:szCs w:val="22"/>
          <w:lang w:val="en-US" w:eastAsia="zh-CN" w:bidi="ar-SA"/>
        </w:rPr>
      </w:pPr>
      <w:r>
        <w:rPr>
          <w:rFonts w:hint="eastAsia" w:ascii="宋体" w:hAnsi="宋体" w:eastAsia="宋体" w:cs="宋体"/>
          <w:snapToGrid/>
          <w:spacing w:val="0"/>
          <w:kern w:val="2"/>
          <w:sz w:val="28"/>
          <w:szCs w:val="22"/>
          <w:lang w:val="en-US" w:eastAsia="zh-CN" w:bidi="ar-SA"/>
        </w:rPr>
        <w:t>根据税务审核结果中的初审合格，将税务数据中发票类型对应的经营类型的交易次数加一；根据企业名称获取其企业经营范围的若干个经营类型对应的经营权重并标记；</w:t>
      </w:r>
    </w:p>
    <w:p w14:paraId="45CDD213">
      <w:pPr>
        <w:pStyle w:val="22"/>
        <w:ind w:left="0" w:leftChars="0" w:firstLine="560" w:firstLineChars="200"/>
        <w:rPr>
          <w:rFonts w:hint="eastAsia" w:ascii="宋体" w:hAnsi="宋体" w:eastAsia="宋体" w:cs="宋体"/>
          <w:snapToGrid/>
          <w:spacing w:val="0"/>
          <w:kern w:val="2"/>
          <w:sz w:val="28"/>
          <w:szCs w:val="22"/>
          <w:lang w:val="en-US" w:eastAsia="zh-CN" w:bidi="ar-SA"/>
        </w:rPr>
      </w:pPr>
      <w:r>
        <w:rPr>
          <w:rFonts w:hint="eastAsia" w:ascii="宋体" w:hAnsi="宋体" w:eastAsia="宋体" w:cs="宋体"/>
          <w:snapToGrid/>
          <w:spacing w:val="0"/>
          <w:kern w:val="2"/>
          <w:sz w:val="28"/>
          <w:szCs w:val="22"/>
          <w:lang w:val="en-US" w:eastAsia="zh-CN" w:bidi="ar-SA"/>
        </w:rPr>
        <w:t>根据电子发票税务数据对公司进行分类前，将若干个经营类型对应的经营权重进行求和获取公司交易的类估值；将类估值与预构建的类估范围进行匹配获取对应的公司类别并将其设定为评估标志，根据评估标志对公司交易的发票进行评估；</w:t>
      </w:r>
    </w:p>
    <w:p w14:paraId="1F00DE1D">
      <w:pPr>
        <w:pStyle w:val="22"/>
        <w:ind w:left="0" w:leftChars="0" w:firstLine="560" w:firstLineChars="200"/>
        <w:rPr>
          <w:rFonts w:hint="eastAsia" w:ascii="宋体" w:hAnsi="宋体" w:eastAsia="宋体" w:cs="宋体"/>
          <w:snapToGrid/>
          <w:spacing w:val="0"/>
          <w:kern w:val="2"/>
          <w:sz w:val="28"/>
          <w:szCs w:val="22"/>
          <w:lang w:val="en-US" w:eastAsia="zh-CN" w:bidi="ar-SA"/>
        </w:rPr>
      </w:pPr>
      <w:r>
        <w:rPr>
          <w:rFonts w:hint="eastAsia" w:ascii="宋体" w:hAnsi="宋体" w:eastAsia="宋体" w:cs="宋体"/>
          <w:snapToGrid/>
          <w:spacing w:val="0"/>
          <w:kern w:val="2"/>
          <w:sz w:val="28"/>
          <w:szCs w:val="22"/>
          <w:lang w:val="en-US" w:eastAsia="zh-CN" w:bidi="ar-SA"/>
        </w:rPr>
        <w:t>评估前，根据企业名称统计监测时间段内所有的经营类型的交易总次数，以及经营类型的交易总金额；</w:t>
      </w:r>
    </w:p>
    <w:p w14:paraId="343A6858">
      <w:pPr>
        <w:pStyle w:val="22"/>
        <w:ind w:left="0" w:leftChars="0" w:firstLine="560" w:firstLineChars="200"/>
        <w:rPr>
          <w:rFonts w:hint="eastAsia" w:ascii="宋体" w:hAnsi="宋体" w:eastAsia="宋体" w:cs="宋体"/>
          <w:snapToGrid/>
          <w:spacing w:val="0"/>
          <w:kern w:val="2"/>
          <w:sz w:val="28"/>
          <w:lang w:val="en-US" w:eastAsia="zh-CN" w:bidi="ar-SA"/>
        </w:rPr>
      </w:pPr>
      <w:r>
        <w:rPr>
          <w:rFonts w:hint="eastAsia" w:ascii="宋体" w:hAnsi="宋体" w:eastAsia="宋体" w:cs="宋体"/>
          <w:snapToGrid/>
          <w:spacing w:val="0"/>
          <w:kern w:val="2"/>
          <w:sz w:val="28"/>
          <w:szCs w:val="22"/>
          <w:lang w:val="en-US" w:eastAsia="zh-CN" w:bidi="ar-SA"/>
        </w:rPr>
        <w:t>分别提取所有的经营类型的交易总次数和交易总金额的数值并标记，将标记的交易总次数和交易总金额与若干个经营类型对应的经营权重进行联立获取公司交易的票估值；将票估值与票估阈值进行匹配，得到包含达标交易和不达标交易的税务分析数据</w:t>
      </w:r>
      <w:r>
        <w:rPr>
          <w:rFonts w:hint="eastAsia" w:ascii="宋体" w:hAnsi="宋体" w:eastAsia="宋体" w:cs="宋体"/>
          <w:snapToGrid/>
          <w:spacing w:val="0"/>
          <w:kern w:val="2"/>
          <w:sz w:val="28"/>
          <w:lang w:val="en-US" w:eastAsia="zh-CN" w:bidi="ar-SA"/>
        </w:rPr>
        <w:t>。</w:t>
      </w:r>
    </w:p>
    <w:p w14:paraId="5157712F">
      <w:pPr>
        <w:pStyle w:val="22"/>
        <w:ind w:left="0" w:leftChars="0" w:firstLine="560" w:firstLineChars="200"/>
        <w:rPr>
          <w:rFonts w:hint="eastAsia" w:ascii="宋体" w:hAnsi="宋体" w:eastAsia="宋体" w:cs="宋体"/>
          <w:snapToGrid/>
          <w:spacing w:val="0"/>
          <w:kern w:val="2"/>
          <w:sz w:val="28"/>
          <w:lang w:val="en-US" w:eastAsia="zh-CN" w:bidi="ar-SA"/>
        </w:rPr>
      </w:pPr>
      <w:r>
        <w:rPr>
          <w:rFonts w:hint="eastAsia" w:ascii="宋体" w:hAnsi="宋体" w:eastAsia="宋体" w:cs="宋体"/>
          <w:snapToGrid/>
          <w:spacing w:val="0"/>
          <w:kern w:val="2"/>
          <w:sz w:val="28"/>
          <w:lang w:val="en-US" w:eastAsia="zh-CN" w:bidi="ar-SA"/>
        </w:rPr>
        <w:t>4</w:t>
      </w:r>
      <w:r>
        <w:rPr>
          <w:rFonts w:hint="eastAsia" w:ascii="宋体" w:hAnsi="宋体" w:eastAsia="宋体" w:cs="宋体"/>
          <w:sz w:val="28"/>
          <w:szCs w:val="22"/>
          <w:lang w:val="en-US" w:eastAsia="zh-CN"/>
        </w:rPr>
        <w:t>.</w:t>
      </w:r>
      <w:r>
        <w:rPr>
          <w:rFonts w:hint="eastAsia" w:ascii="宋体" w:hAnsi="宋体" w:eastAsia="宋体" w:cs="宋体"/>
          <w:snapToGrid/>
          <w:spacing w:val="0"/>
          <w:kern w:val="2"/>
          <w:sz w:val="28"/>
          <w:lang w:val="en-US" w:eastAsia="zh-CN" w:bidi="ar-SA"/>
        </w:rPr>
        <w:t>根据权利要求3所述的一种基于互联网的电子发票税务数据智能分析方法，其特征在于，</w:t>
      </w:r>
      <w:r>
        <w:rPr>
          <w:rFonts w:hint="eastAsia" w:ascii="宋体" w:hAnsi="宋体" w:eastAsia="宋体" w:cs="宋体"/>
          <w:snapToGrid/>
          <w:spacing w:val="0"/>
          <w:kern w:val="2"/>
          <w:sz w:val="28"/>
          <w:szCs w:val="22"/>
          <w:lang w:val="en-US" w:eastAsia="zh-CN" w:bidi="ar-SA"/>
        </w:rPr>
        <w:t>将类估值与预构建的类估范围进行匹配时，若类估值属于类估范围中的第一子范围(0，p1]、第二子范围(p1，p2]或者第三子范围(p2，+</w:t>
      </w:r>
      <w:r>
        <w:rPr>
          <w:rFonts w:hint="eastAsia" w:ascii="宋体" w:hAnsi="宋体" w:eastAsia="宋体" w:cs="宋体"/>
          <w:snapToGrid/>
          <w:spacing w:val="0"/>
          <w:kern w:val="2"/>
          <w:position w:val="-4"/>
          <w:sz w:val="28"/>
          <w:szCs w:val="22"/>
          <w:lang w:val="en-US" w:eastAsia="zh-CN" w:bidi="ar-SA"/>
        </w:rPr>
        <w:object>
          <v:shape id="_x0000_i1165" o:spt="75" type="#_x0000_t75" style="height:10pt;width:12pt;" o:ole="t" filled="f" o:preferrelative="t" stroked="f" coordsize="21600,21600">
            <v:path/>
            <v:fill on="f" focussize="0,0"/>
            <v:stroke on="f"/>
            <v:imagedata r:id="rId12" o:title=""/>
            <o:lock v:ext="edit" aspectratio="t"/>
            <w10:wrap type="none"/>
            <w10:anchorlock/>
          </v:shape>
          <o:OLEObject Type="Embed" ProgID="Equation.KSEE3" ShapeID="_x0000_i1165" DrawAspect="Content" ObjectID="_1468075726" r:id="rId11">
            <o:LockedField>false</o:LockedField>
          </o:OLEObject>
        </w:object>
      </w:r>
      <w:r>
        <w:rPr>
          <w:rFonts w:hint="eastAsia" w:ascii="宋体" w:hAnsi="宋体" w:eastAsia="宋体" w:cs="宋体"/>
          <w:snapToGrid/>
          <w:spacing w:val="0"/>
          <w:kern w:val="2"/>
          <w:sz w:val="28"/>
          <w:szCs w:val="22"/>
          <w:lang w:val="en-US" w:eastAsia="zh-CN" w:bidi="ar-SA"/>
        </w:rPr>
        <w:t>]时，则判定类估值对应的公司属于第一子范围关联的第一公司类别、第二子范围关联的第二公司类别或者第三子范围关联的第三公司类别；p1和p2均为大于零的实数，且第一公司类别、第二公司类别和第三公司类别的等级依次递增。</w:t>
      </w:r>
    </w:p>
    <w:p w14:paraId="3B17240F">
      <w:pPr>
        <w:pStyle w:val="22"/>
        <w:rPr>
          <w:rFonts w:hint="eastAsia" w:ascii="宋体" w:hAnsi="宋体" w:eastAsia="宋体" w:cs="宋体"/>
          <w:snapToGrid/>
          <w:spacing w:val="0"/>
          <w:kern w:val="2"/>
          <w:sz w:val="28"/>
          <w:lang w:val="en-US" w:eastAsia="zh-CN" w:bidi="ar-SA"/>
        </w:rPr>
      </w:pPr>
      <w:r>
        <w:rPr>
          <w:rFonts w:hint="eastAsia" w:ascii="宋体" w:hAnsi="宋体" w:eastAsia="宋体" w:cs="宋体"/>
          <w:snapToGrid/>
          <w:spacing w:val="0"/>
          <w:kern w:val="2"/>
          <w:sz w:val="28"/>
          <w:lang w:val="en-US" w:eastAsia="zh-CN" w:bidi="ar-SA"/>
        </w:rPr>
        <w:t>5</w:t>
      </w:r>
      <w:r>
        <w:rPr>
          <w:rFonts w:hint="eastAsia" w:ascii="宋体" w:hAnsi="宋体" w:eastAsia="宋体" w:cs="宋体"/>
          <w:sz w:val="28"/>
          <w:szCs w:val="22"/>
          <w:lang w:val="en-US" w:eastAsia="zh-CN"/>
        </w:rPr>
        <w:t>.</w:t>
      </w:r>
      <w:r>
        <w:rPr>
          <w:rFonts w:hint="eastAsia" w:ascii="宋体" w:hAnsi="宋体" w:eastAsia="宋体" w:cs="宋体"/>
          <w:snapToGrid/>
          <w:spacing w:val="0"/>
          <w:kern w:val="2"/>
          <w:sz w:val="28"/>
          <w:lang w:val="en-US" w:eastAsia="zh-CN" w:bidi="ar-SA"/>
        </w:rPr>
        <w:t>根据权利要求3所述的一种基于互联网的电子发票税务数据智能分析方法，其特征在于，</w:t>
      </w:r>
      <w:r>
        <w:rPr>
          <w:rFonts w:hint="eastAsia" w:ascii="宋体" w:hAnsi="宋体" w:eastAsia="宋体" w:cs="宋体"/>
          <w:snapToGrid/>
          <w:spacing w:val="0"/>
          <w:kern w:val="2"/>
          <w:sz w:val="28"/>
          <w:szCs w:val="22"/>
          <w:lang w:val="en-US" w:eastAsia="zh-CN" w:bidi="ar-SA"/>
        </w:rPr>
        <w:t>将票估值与票估阈值进行匹配时，若票估值不大于票估阈值，则判定监测时间段内该公司的交易属于不达标交易；若票估值大于票估阈值，则判定监测时段段内该公司的交易属于达标交易，并将达标交易的总次数加一</w:t>
      </w:r>
      <w:r>
        <w:rPr>
          <w:rFonts w:hint="eastAsia" w:ascii="宋体" w:hAnsi="宋体" w:eastAsia="宋体" w:cs="宋体"/>
          <w:snapToGrid/>
          <w:spacing w:val="0"/>
          <w:kern w:val="2"/>
          <w:sz w:val="28"/>
          <w:lang w:val="en-US" w:eastAsia="zh-CN" w:bidi="ar-SA"/>
        </w:rPr>
        <w:t>。</w:t>
      </w:r>
    </w:p>
    <w:p w14:paraId="7B54E119">
      <w:pPr>
        <w:pStyle w:val="22"/>
        <w:rPr>
          <w:rFonts w:hint="eastAsia" w:ascii="宋体" w:hAnsi="宋体" w:eastAsia="宋体" w:cs="宋体"/>
          <w:snapToGrid/>
          <w:spacing w:val="0"/>
          <w:kern w:val="2"/>
          <w:sz w:val="28"/>
          <w:szCs w:val="22"/>
          <w:lang w:val="en-US" w:eastAsia="zh-CN" w:bidi="ar-SA"/>
        </w:rPr>
      </w:pPr>
      <w:r>
        <w:rPr>
          <w:rFonts w:hint="eastAsia" w:ascii="宋体" w:hAnsi="宋体" w:eastAsia="宋体" w:cs="宋体"/>
          <w:sz w:val="28"/>
          <w:szCs w:val="22"/>
          <w:lang w:val="en-US" w:eastAsia="zh-CN"/>
        </w:rPr>
        <w:t>6.</w:t>
      </w:r>
      <w:r>
        <w:rPr>
          <w:rFonts w:hint="eastAsia" w:ascii="宋体" w:hAnsi="宋体" w:eastAsia="宋体" w:cs="宋体"/>
          <w:snapToGrid/>
          <w:spacing w:val="0"/>
          <w:kern w:val="2"/>
          <w:sz w:val="28"/>
          <w:lang w:val="en-US" w:eastAsia="zh-CN" w:bidi="ar-SA"/>
        </w:rPr>
        <w:t>根据权利要求1所述的一种基于互联网的电子发票税务数据智能分析方法，其特征在于，</w:t>
      </w:r>
      <w:r>
        <w:rPr>
          <w:rFonts w:hint="eastAsia" w:ascii="宋体" w:hAnsi="宋体" w:eastAsia="宋体" w:cs="宋体"/>
          <w:snapToGrid/>
          <w:spacing w:val="0"/>
          <w:kern w:val="2"/>
          <w:sz w:val="28"/>
          <w:szCs w:val="22"/>
          <w:lang w:val="en-US" w:eastAsia="zh-CN" w:bidi="ar-SA"/>
        </w:rPr>
        <w:t>根据存储指令自适应的将相关联的税务政策进行推送，包括：</w:t>
      </w:r>
    </w:p>
    <w:p w14:paraId="6B0CD352">
      <w:pPr>
        <w:pStyle w:val="22"/>
        <w:rPr>
          <w:rFonts w:hint="eastAsia" w:ascii="宋体" w:hAnsi="宋体" w:eastAsia="宋体" w:cs="宋体"/>
          <w:snapToGrid/>
          <w:spacing w:val="0"/>
          <w:kern w:val="2"/>
          <w:sz w:val="28"/>
          <w:szCs w:val="22"/>
          <w:lang w:val="en-US" w:eastAsia="zh-CN" w:bidi="ar-SA"/>
        </w:rPr>
      </w:pPr>
      <w:r>
        <w:rPr>
          <w:rFonts w:hint="eastAsia" w:ascii="宋体" w:hAnsi="宋体" w:eastAsia="宋体" w:cs="宋体"/>
          <w:snapToGrid/>
          <w:spacing w:val="0"/>
          <w:kern w:val="2"/>
          <w:sz w:val="28"/>
          <w:szCs w:val="22"/>
          <w:lang w:val="en-US" w:eastAsia="zh-CN" w:bidi="ar-SA"/>
        </w:rPr>
        <w:t>根据预设的监测时间间隔对所有公司的</w:t>
      </w:r>
      <w:r>
        <w:rPr>
          <w:rFonts w:hint="eastAsia" w:ascii="宋体" w:hAnsi="宋体" w:eastAsia="宋体" w:cs="宋体"/>
          <w:snapToGrid w:val="0"/>
          <w:spacing w:val="6"/>
          <w:kern w:val="0"/>
          <w:sz w:val="28"/>
          <w:szCs w:val="22"/>
          <w:lang w:val="en-US" w:eastAsia="zh-CN" w:bidi="ar-SA"/>
        </w:rPr>
        <w:t>电子发票税务数据</w:t>
      </w:r>
      <w:r>
        <w:rPr>
          <w:rFonts w:hint="eastAsia" w:ascii="宋体" w:hAnsi="宋体" w:eastAsia="宋体" w:cs="宋体"/>
          <w:snapToGrid/>
          <w:spacing w:val="0"/>
          <w:kern w:val="2"/>
          <w:sz w:val="28"/>
          <w:szCs w:val="22"/>
          <w:lang w:val="en-US" w:eastAsia="zh-CN" w:bidi="ar-SA"/>
        </w:rPr>
        <w:t>进行评估，采集统计所有公司的电子发票税务数据中初审合格的发票总金额并取值标记；</w:t>
      </w:r>
    </w:p>
    <w:p w14:paraId="4FEA12FD">
      <w:pPr>
        <w:pStyle w:val="22"/>
        <w:rPr>
          <w:rFonts w:hint="eastAsia" w:ascii="宋体" w:hAnsi="宋体" w:eastAsia="宋体" w:cs="宋体"/>
          <w:snapToGrid/>
          <w:spacing w:val="0"/>
          <w:kern w:val="2"/>
          <w:sz w:val="28"/>
          <w:lang w:val="en-US" w:eastAsia="zh-CN" w:bidi="ar-SA"/>
        </w:rPr>
      </w:pPr>
      <w:r>
        <w:rPr>
          <w:rFonts w:hint="eastAsia" w:ascii="宋体" w:hAnsi="宋体" w:eastAsia="宋体" w:cs="宋体"/>
          <w:snapToGrid/>
          <w:spacing w:val="0"/>
          <w:kern w:val="2"/>
          <w:sz w:val="28"/>
          <w:szCs w:val="22"/>
          <w:lang w:val="en-US" w:eastAsia="zh-CN" w:bidi="ar-SA"/>
        </w:rPr>
        <w:t>采集统计所有公司的电子发票税务数据中初审异常的发票总金额并取值标记；采集统计所有公司的达标交易的总次数并取值标记；将所有公司的初审合格的发票总金额、初审异常的发票总金额和达标交易的总次数进行联立获取资料推估值，根据资料推估值和预处理的政策排序集自适应的将相关联的税务政策进行推送</w:t>
      </w:r>
      <w:r>
        <w:rPr>
          <w:rFonts w:hint="eastAsia" w:ascii="宋体" w:hAnsi="宋体" w:eastAsia="宋体" w:cs="宋体"/>
          <w:snapToGrid/>
          <w:spacing w:val="0"/>
          <w:kern w:val="2"/>
          <w:sz w:val="28"/>
          <w:lang w:val="en-US" w:eastAsia="zh-CN" w:bidi="ar-SA"/>
        </w:rPr>
        <w:t>。</w:t>
      </w:r>
    </w:p>
    <w:p w14:paraId="71BED81D">
      <w:pPr>
        <w:pStyle w:val="22"/>
        <w:ind w:left="0" w:leftChars="0" w:firstLine="584" w:firstLineChars="200"/>
        <w:rPr>
          <w:rFonts w:hint="eastAsia" w:ascii="宋体" w:hAnsi="宋体" w:eastAsia="宋体" w:cs="宋体"/>
          <w:snapToGrid/>
          <w:spacing w:val="0"/>
          <w:kern w:val="2"/>
          <w:sz w:val="28"/>
          <w:lang w:val="en-US" w:eastAsia="zh-CN" w:bidi="ar-SA"/>
        </w:rPr>
      </w:pPr>
      <w:r>
        <w:rPr>
          <w:rFonts w:hint="eastAsia" w:ascii="宋体" w:hAnsi="宋体" w:eastAsia="宋体" w:cs="宋体"/>
          <w:sz w:val="28"/>
          <w:szCs w:val="22"/>
          <w:lang w:val="en-US" w:eastAsia="zh-CN"/>
        </w:rPr>
        <w:t>7.</w:t>
      </w:r>
      <w:r>
        <w:rPr>
          <w:rFonts w:hint="eastAsia" w:ascii="宋体" w:hAnsi="宋体" w:eastAsia="宋体" w:cs="宋体"/>
          <w:snapToGrid/>
          <w:spacing w:val="0"/>
          <w:kern w:val="2"/>
          <w:sz w:val="28"/>
          <w:lang w:val="en-US" w:eastAsia="zh-CN" w:bidi="ar-SA"/>
        </w:rPr>
        <w:t>根据权利要求6所述的一种基于互联网的电子发票税务数据智能分析方法，其特征在于，</w:t>
      </w:r>
      <w:r>
        <w:rPr>
          <w:rFonts w:hint="eastAsia" w:ascii="宋体" w:hAnsi="宋体" w:eastAsia="宋体" w:cs="宋体"/>
          <w:snapToGrid/>
          <w:spacing w:val="0"/>
          <w:kern w:val="2"/>
          <w:sz w:val="28"/>
          <w:szCs w:val="22"/>
          <w:lang w:val="en-US" w:eastAsia="zh-CN" w:bidi="ar-SA"/>
        </w:rPr>
        <w:t>根据资料推估值和预处理的政策排序集自适应的将相关联的税务政策进行推送，包括：将相同公司类别的资料推估值进行降序排列，得到若干个资料推估排序集，并将若干个资料推估排序集中排前k位的资料推估值设定为目标推估值，k为正整数，将目标推估值对应的公司设定为目标公司；将政策排序集中排序的若干个税务政策自适应的推送给相关联的若干个目标公司</w:t>
      </w:r>
      <w:r>
        <w:rPr>
          <w:rFonts w:hint="eastAsia" w:ascii="宋体" w:hAnsi="宋体" w:eastAsia="宋体" w:cs="宋体"/>
          <w:snapToGrid/>
          <w:spacing w:val="0"/>
          <w:kern w:val="2"/>
          <w:sz w:val="28"/>
          <w:lang w:val="en-US" w:eastAsia="zh-CN" w:bidi="ar-SA"/>
        </w:rPr>
        <w:t>。</w:t>
      </w:r>
    </w:p>
    <w:p w14:paraId="14EAA574">
      <w:pPr>
        <w:pStyle w:val="22"/>
        <w:rPr>
          <w:rFonts w:hint="eastAsia" w:ascii="宋体" w:hAnsi="宋体" w:eastAsia="宋体" w:cs="宋体"/>
          <w:spacing w:val="285"/>
          <w:kern w:val="0"/>
          <w:sz w:val="28"/>
          <w:szCs w:val="28"/>
        </w:rPr>
        <w:sectPr>
          <w:footerReference r:id="rId5" w:type="default"/>
          <w:type w:val="oddPage"/>
          <w:pgSz w:w="11907" w:h="16840"/>
          <w:pgMar w:top="1418" w:right="947" w:bottom="851" w:left="1418" w:header="0" w:footer="851" w:gutter="0"/>
          <w:lnNumType w:countBy="0"/>
          <w:pgNumType w:start="1"/>
          <w:cols w:space="720" w:num="1"/>
          <w:docGrid w:linePitch="432" w:charSpace="0"/>
        </w:sectPr>
      </w:pPr>
      <w:r>
        <w:rPr>
          <w:rFonts w:hint="eastAsia" w:ascii="宋体" w:hAnsi="宋体" w:eastAsia="宋体" w:cs="宋体"/>
          <w:sz w:val="28"/>
          <w:szCs w:val="22"/>
          <w:lang w:val="en-US" w:eastAsia="zh-CN"/>
        </w:rPr>
        <w:t>8.</w:t>
      </w:r>
      <w:r>
        <w:rPr>
          <w:rFonts w:hint="eastAsia" w:ascii="宋体" w:hAnsi="宋体" w:eastAsia="宋体" w:cs="宋体"/>
          <w:snapToGrid/>
          <w:spacing w:val="0"/>
          <w:kern w:val="2"/>
          <w:sz w:val="28"/>
          <w:lang w:val="en-US" w:eastAsia="zh-CN" w:bidi="ar-SA"/>
        </w:rPr>
        <w:t>根据权利要求6所述的一种基于互联网的电子发票税务数据智能分析方法，其特征在于，</w:t>
      </w:r>
      <w:r>
        <w:rPr>
          <w:rFonts w:hint="eastAsia" w:ascii="宋体" w:hAnsi="宋体" w:eastAsia="宋体" w:cs="宋体"/>
          <w:snapToGrid/>
          <w:spacing w:val="0"/>
          <w:kern w:val="2"/>
          <w:sz w:val="28"/>
          <w:szCs w:val="22"/>
          <w:lang w:val="en-US" w:eastAsia="zh-CN" w:bidi="ar-SA"/>
        </w:rPr>
        <w:t>将税务政策进行推送前，首先将所有有效的税务政策进行统计，并提取税务政策中的税务主体类型和税务限制条件；根据税务主体类型将所有有效的税务政策进行归类，得到政策归类集；将政策归类集中所有有效的税务政策根据税务限制条件中的税务限制金额进行降序排列，得到政策排序集</w:t>
      </w:r>
      <w:r>
        <w:rPr>
          <w:rFonts w:hint="eastAsia" w:ascii="宋体" w:hAnsi="宋体" w:eastAsia="宋体" w:cs="宋体"/>
          <w:sz w:val="28"/>
          <w:szCs w:val="22"/>
        </w:rPr>
        <w:t>。</w:t>
      </w:r>
    </w:p>
    <w:p w14:paraId="6FD5A624">
      <w:pPr>
        <w:pageBreakBefore/>
        <w:pBdr>
          <w:bottom w:val="single" w:color="auto" w:sz="12" w:space="1"/>
        </w:pBdr>
        <w:spacing w:line="360" w:lineRule="auto"/>
        <w:jc w:val="center"/>
        <w:rPr>
          <w:rFonts w:hint="eastAsia" w:ascii="宋体" w:hAnsi="宋体" w:eastAsia="宋体" w:cs="宋体"/>
          <w:b/>
          <w:bCs/>
          <w:kern w:val="0"/>
          <w:sz w:val="30"/>
          <w:szCs w:val="28"/>
        </w:rPr>
      </w:pPr>
      <w:r>
        <w:rPr>
          <w:rFonts w:hint="eastAsia" w:ascii="宋体" w:hAnsi="宋体" w:eastAsia="宋体" w:cs="宋体"/>
          <w:b/>
          <w:bCs/>
          <w:kern w:val="0"/>
          <w:sz w:val="30"/>
          <w:szCs w:val="28"/>
        </w:rPr>
        <w:t>说    明    书</w:t>
      </w:r>
    </w:p>
    <w:p w14:paraId="413DF9A0">
      <w:pPr>
        <w:spacing w:line="520" w:lineRule="exact"/>
        <w:jc w:val="center"/>
        <w:rPr>
          <w:rFonts w:hint="eastAsia" w:ascii="宋体" w:hAnsi="宋体" w:eastAsia="宋体" w:cs="宋体"/>
          <w:b/>
          <w:bCs/>
          <w:sz w:val="30"/>
          <w:szCs w:val="30"/>
        </w:rPr>
      </w:pPr>
      <w:r>
        <w:rPr>
          <w:rFonts w:hint="eastAsia" w:ascii="宋体" w:hAnsi="宋体" w:eastAsia="宋体" w:cs="宋体"/>
          <w:b/>
          <w:bCs/>
          <w:sz w:val="30"/>
          <w:szCs w:val="30"/>
          <w:lang w:eastAsia="zh-CN"/>
        </w:rPr>
        <w:t>一种基于互联网的电子发票税务数据智能分析方法</w:t>
      </w:r>
    </w:p>
    <w:p w14:paraId="07FF50CB">
      <w:pPr>
        <w:spacing w:line="520" w:lineRule="exact"/>
        <w:ind w:firstLine="570"/>
        <w:rPr>
          <w:rFonts w:hint="eastAsia" w:ascii="宋体" w:hAnsi="宋体" w:eastAsia="宋体" w:cs="宋体"/>
          <w:sz w:val="28"/>
        </w:rPr>
      </w:pPr>
      <w:r>
        <w:rPr>
          <w:rFonts w:hint="eastAsia" w:ascii="宋体" w:hAnsi="宋体" w:eastAsia="宋体" w:cs="宋体"/>
          <w:b/>
          <w:bCs/>
          <w:sz w:val="30"/>
          <w:szCs w:val="30"/>
        </w:rPr>
        <w:t>技术领域</w:t>
      </w:r>
    </w:p>
    <w:p w14:paraId="45A27197">
      <w:pPr>
        <w:spacing w:line="520" w:lineRule="exact"/>
        <w:ind w:firstLine="570"/>
        <w:rPr>
          <w:rFonts w:hint="eastAsia" w:ascii="宋体" w:hAnsi="宋体" w:eastAsia="宋体" w:cs="宋体"/>
          <w:snapToGrid/>
          <w:spacing w:val="0"/>
          <w:kern w:val="2"/>
          <w:sz w:val="28"/>
          <w:lang w:val="en-US" w:eastAsia="zh-CN" w:bidi="ar-SA"/>
        </w:rPr>
      </w:pPr>
      <w:r>
        <w:rPr>
          <w:rFonts w:hint="eastAsia" w:ascii="宋体" w:hAnsi="宋体" w:eastAsia="宋体" w:cs="宋体"/>
          <w:sz w:val="28"/>
          <w:szCs w:val="22"/>
        </w:rPr>
        <w:t>本</w:t>
      </w:r>
      <w:r>
        <w:rPr>
          <w:rFonts w:hint="eastAsia" w:ascii="宋体" w:hAnsi="宋体" w:eastAsia="宋体" w:cs="宋体"/>
          <w:snapToGrid/>
          <w:spacing w:val="0"/>
          <w:kern w:val="2"/>
          <w:sz w:val="28"/>
          <w:lang w:val="en-US" w:eastAsia="zh-CN" w:bidi="ar-SA"/>
        </w:rPr>
        <w:t>发明涉</w:t>
      </w:r>
      <w:r>
        <w:rPr>
          <w:rFonts w:hint="eastAsia" w:ascii="宋体" w:hAnsi="宋体" w:eastAsia="宋体" w:cs="宋体"/>
          <w:snapToGrid/>
          <w:spacing w:val="0"/>
          <w:kern w:val="2"/>
          <w:sz w:val="28"/>
          <w:szCs w:val="22"/>
          <w:lang w:val="en-US" w:eastAsia="zh-CN" w:bidi="ar-SA"/>
        </w:rPr>
        <w:t>及电子发票税务分析技术领域，更具体地说，它涉及一种基于互联网的电子发票税务数据智能分析方法。</w:t>
      </w:r>
    </w:p>
    <w:p w14:paraId="62129839">
      <w:pPr>
        <w:keepNext w:val="0"/>
        <w:keepLines w:val="0"/>
        <w:pageBreakBefore w:val="0"/>
        <w:widowControl w:val="0"/>
        <w:kinsoku/>
        <w:wordWrap/>
        <w:overflowPunct/>
        <w:topLinePunct w:val="0"/>
        <w:autoSpaceDE/>
        <w:autoSpaceDN/>
        <w:bidi w:val="0"/>
        <w:adjustRightInd/>
        <w:spacing w:line="520" w:lineRule="exact"/>
        <w:ind w:firstLine="570"/>
        <w:rPr>
          <w:rFonts w:hint="eastAsia" w:ascii="宋体" w:hAnsi="宋体" w:eastAsia="宋体" w:cs="宋体"/>
          <w:sz w:val="28"/>
        </w:rPr>
      </w:pPr>
      <w:r>
        <w:rPr>
          <w:rFonts w:hint="eastAsia" w:ascii="宋体" w:hAnsi="宋体" w:eastAsia="宋体" w:cs="宋体"/>
          <w:b/>
          <w:bCs/>
          <w:sz w:val="30"/>
          <w:szCs w:val="30"/>
        </w:rPr>
        <w:t>背景技术</w:t>
      </w:r>
    </w:p>
    <w:p w14:paraId="7736C69C">
      <w:pPr>
        <w:pStyle w:val="22"/>
        <w:ind w:left="0" w:leftChars="0" w:firstLine="560" w:firstLineChars="200"/>
        <w:rPr>
          <w:rFonts w:hint="eastAsia" w:ascii="宋体" w:hAnsi="宋体" w:eastAsia="宋体" w:cs="宋体"/>
          <w:snapToGrid/>
          <w:spacing w:val="0"/>
          <w:kern w:val="2"/>
          <w:sz w:val="28"/>
          <w:szCs w:val="22"/>
          <w:lang w:val="en-US" w:eastAsia="zh-CN" w:bidi="ar-SA"/>
        </w:rPr>
      </w:pPr>
      <w:r>
        <w:rPr>
          <w:rFonts w:hint="eastAsia" w:ascii="宋体" w:hAnsi="宋体" w:eastAsia="宋体" w:cs="宋体"/>
          <w:snapToGrid/>
          <w:spacing w:val="0"/>
          <w:kern w:val="2"/>
          <w:sz w:val="28"/>
          <w:szCs w:val="22"/>
          <w:lang w:val="en-US" w:eastAsia="zh-CN" w:bidi="ar-SA"/>
        </w:rPr>
        <w:t>电子发票是信息时代的产物，同普通发票一样，采用税务局统一发放的形式给商家使用，发票号码采用全国统一编码，采用统一防伪技术，分配给商家，在电子发票上附有电子税务局的签名机制；税收数据，是企业是否是合规纳税的证据，也是企业税务画像的依据。</w:t>
      </w:r>
    </w:p>
    <w:p w14:paraId="5C7F16A3">
      <w:pPr>
        <w:pStyle w:val="22"/>
        <w:ind w:left="0" w:leftChars="0" w:firstLine="560" w:firstLineChars="200"/>
        <w:rPr>
          <w:rFonts w:hint="default" w:ascii="宋体" w:hAnsi="宋体" w:eastAsia="宋体" w:cs="宋体"/>
          <w:snapToGrid/>
          <w:spacing w:val="0"/>
          <w:kern w:val="2"/>
          <w:sz w:val="28"/>
          <w:szCs w:val="22"/>
          <w:lang w:val="en-US" w:eastAsia="zh-CN" w:bidi="ar-SA"/>
        </w:rPr>
      </w:pPr>
      <w:r>
        <w:rPr>
          <w:rFonts w:hint="eastAsia" w:ascii="宋体" w:hAnsi="宋体" w:eastAsia="宋体" w:cs="宋体"/>
          <w:snapToGrid/>
          <w:spacing w:val="0"/>
          <w:kern w:val="2"/>
          <w:sz w:val="28"/>
          <w:szCs w:val="22"/>
          <w:lang w:val="en-US" w:eastAsia="zh-CN" w:bidi="ar-SA"/>
        </w:rPr>
        <w:t>经检索，公开号为CN110705382A、名称为一种基于发票类别的电子发票管理方法、装置、设备及介质的中国发明，公开了获取网络标准发票图片以及对应的标准发票的类别，确定目标电子发票的目标发票类别；根据网络标准发票图片建立发票信息录入表，在发票信息录入表中设定网络标准发票图片的特征提取区域；通过全卷积网络和特征提取区域对待识别图片进行特征提取，获得待识别图片的目标特征序列；通过循环神经网络获得目标特征序列的文本识别信息；将文本识别信息录入至发票信息录入表，能够针对性的获得发票信息录入的区域的特征信息，减少了信息录入时间，提高电子发票信息获取的速度，降低了人工信息录入操作失误，避免不必要的经济损失，保障了电子发票信息的真实性。</w:t>
      </w:r>
    </w:p>
    <w:p w14:paraId="240002AB">
      <w:pPr>
        <w:pStyle w:val="22"/>
        <w:ind w:left="0" w:leftChars="0" w:firstLine="560" w:firstLineChars="200"/>
        <w:rPr>
          <w:rFonts w:hint="eastAsia" w:ascii="宋体" w:hAnsi="宋体" w:eastAsia="宋体" w:cs="宋体"/>
          <w:snapToGrid/>
          <w:spacing w:val="0"/>
          <w:kern w:val="2"/>
          <w:sz w:val="28"/>
          <w:szCs w:val="22"/>
          <w:lang w:val="en-US" w:eastAsia="zh-CN" w:bidi="ar-SA"/>
        </w:rPr>
      </w:pPr>
      <w:r>
        <w:rPr>
          <w:rFonts w:hint="eastAsia" w:ascii="宋体" w:hAnsi="宋体" w:eastAsia="宋体" w:cs="宋体"/>
          <w:snapToGrid/>
          <w:spacing w:val="0"/>
          <w:kern w:val="2"/>
          <w:sz w:val="28"/>
          <w:szCs w:val="22"/>
          <w:lang w:val="en-US" w:eastAsia="zh-CN" w:bidi="ar-SA"/>
        </w:rPr>
        <w:t>现有的电子发票税务数据分析方案在实施时，没有对电子发票的有效性进行验证，同时也不能对电子发票进行分类和评估，导致电子发票的有效性以及浏览效果不佳，也不能根据企业的电子发票的分析结果自适应的推动相关联的税务政策，导致电子发票税务数据分析的拓展性不佳。</w:t>
      </w:r>
    </w:p>
    <w:p w14:paraId="61FCB611">
      <w:pPr>
        <w:spacing w:line="520" w:lineRule="exact"/>
        <w:ind w:firstLine="570"/>
        <w:rPr>
          <w:rFonts w:hint="eastAsia" w:ascii="宋体" w:hAnsi="宋体" w:eastAsia="宋体" w:cs="宋体"/>
          <w:b/>
          <w:bCs/>
          <w:sz w:val="30"/>
          <w:szCs w:val="30"/>
        </w:rPr>
      </w:pPr>
      <w:r>
        <w:rPr>
          <w:rFonts w:hint="eastAsia" w:ascii="宋体" w:hAnsi="宋体" w:eastAsia="宋体" w:cs="宋体"/>
          <w:b/>
          <w:bCs/>
          <w:sz w:val="30"/>
          <w:szCs w:val="30"/>
          <w:lang w:eastAsia="zh-CN"/>
        </w:rPr>
        <w:t>发明</w:t>
      </w:r>
      <w:r>
        <w:rPr>
          <w:rFonts w:hint="eastAsia" w:ascii="宋体" w:hAnsi="宋体" w:eastAsia="宋体" w:cs="宋体"/>
          <w:b/>
          <w:bCs/>
          <w:sz w:val="30"/>
          <w:szCs w:val="30"/>
        </w:rPr>
        <w:t>内容</w:t>
      </w:r>
    </w:p>
    <w:p w14:paraId="2B489D4B">
      <w:pPr>
        <w:pStyle w:val="22"/>
        <w:ind w:left="0" w:leftChars="0" w:firstLine="584" w:firstLineChars="200"/>
        <w:rPr>
          <w:rFonts w:hint="eastAsia" w:ascii="宋体" w:hAnsi="宋体" w:eastAsia="宋体" w:cs="宋体"/>
          <w:snapToGrid/>
          <w:spacing w:val="0"/>
          <w:kern w:val="2"/>
          <w:sz w:val="28"/>
          <w:szCs w:val="22"/>
          <w:lang w:val="en-US" w:eastAsia="zh-CN" w:bidi="ar-SA"/>
        </w:rPr>
      </w:pPr>
      <w:r>
        <w:rPr>
          <w:rFonts w:hint="eastAsia" w:ascii="宋体" w:hAnsi="宋体" w:eastAsia="宋体" w:cs="宋体"/>
          <w:sz w:val="28"/>
          <w:szCs w:val="22"/>
        </w:rPr>
        <w:t>针对现有技术存在的不足，本</w:t>
      </w:r>
      <w:r>
        <w:rPr>
          <w:rFonts w:hint="eastAsia" w:ascii="宋体" w:hAnsi="宋体" w:eastAsia="宋体" w:cs="宋体"/>
          <w:sz w:val="28"/>
          <w:szCs w:val="22"/>
          <w:lang w:eastAsia="zh-CN"/>
        </w:rPr>
        <w:t>发明</w:t>
      </w:r>
      <w:r>
        <w:rPr>
          <w:rFonts w:hint="eastAsia" w:ascii="宋体" w:hAnsi="宋体" w:eastAsia="宋体" w:cs="宋体"/>
          <w:sz w:val="28"/>
          <w:szCs w:val="22"/>
        </w:rPr>
        <w:t>的目</w:t>
      </w:r>
      <w:r>
        <w:rPr>
          <w:rFonts w:hint="eastAsia" w:ascii="宋体" w:hAnsi="宋体" w:eastAsia="宋体" w:cs="宋体"/>
          <w:snapToGrid/>
          <w:spacing w:val="0"/>
          <w:kern w:val="2"/>
          <w:sz w:val="28"/>
          <w:szCs w:val="22"/>
          <w:lang w:val="en-US" w:eastAsia="zh-CN" w:bidi="ar-SA"/>
        </w:rPr>
        <w:t>的在于提供一种基于互联网的电子发票税务数据智能分析方法，用于解决现有方案中</w:t>
      </w:r>
      <w:r>
        <w:rPr>
          <w:rFonts w:hint="eastAsia" w:ascii="宋体" w:hAnsi="宋体" w:eastAsia="宋体" w:cs="宋体"/>
          <w:sz w:val="28"/>
          <w:lang w:val="en-US" w:eastAsia="zh-CN"/>
        </w:rPr>
        <w:t>不能高效快速的对电子发票进行核验和归类评估，并根据评估结果</w:t>
      </w:r>
      <w:r>
        <w:rPr>
          <w:rFonts w:hint="eastAsia" w:ascii="宋体" w:hAnsi="宋体" w:eastAsia="宋体" w:cs="宋体"/>
          <w:snapToGrid/>
          <w:spacing w:val="0"/>
          <w:kern w:val="2"/>
          <w:sz w:val="28"/>
          <w:szCs w:val="22"/>
          <w:lang w:val="en-US" w:eastAsia="zh-CN" w:bidi="ar-SA"/>
        </w:rPr>
        <w:t>自适应的推送相关联的税务政策的技术问题。</w:t>
      </w:r>
    </w:p>
    <w:p w14:paraId="01C0136A">
      <w:pPr>
        <w:pStyle w:val="22"/>
        <w:ind w:left="0" w:leftChars="0" w:firstLine="560" w:firstLineChars="200"/>
        <w:rPr>
          <w:rFonts w:hint="eastAsia" w:ascii="宋体" w:hAnsi="宋体" w:eastAsia="宋体" w:cs="宋体"/>
          <w:snapToGrid/>
          <w:spacing w:val="0"/>
          <w:kern w:val="2"/>
          <w:sz w:val="28"/>
          <w:szCs w:val="22"/>
          <w:lang w:val="en-US" w:eastAsia="zh-CN" w:bidi="ar-SA"/>
        </w:rPr>
      </w:pPr>
      <w:r>
        <w:rPr>
          <w:rFonts w:hint="eastAsia" w:ascii="宋体" w:hAnsi="宋体" w:eastAsia="宋体" w:cs="宋体"/>
          <w:snapToGrid/>
          <w:spacing w:val="0"/>
          <w:kern w:val="2"/>
          <w:sz w:val="28"/>
          <w:szCs w:val="22"/>
          <w:lang w:val="en-US" w:eastAsia="zh-CN" w:bidi="ar-SA"/>
        </w:rPr>
        <w:t>本发明的目的可以通过以下技术方案实现：</w:t>
      </w:r>
    </w:p>
    <w:p w14:paraId="4624AE7C">
      <w:pPr>
        <w:pStyle w:val="22"/>
        <w:ind w:left="0" w:leftChars="0" w:firstLine="560" w:firstLineChars="200"/>
        <w:rPr>
          <w:rFonts w:hint="eastAsia" w:ascii="宋体" w:hAnsi="宋体" w:eastAsia="宋体" w:cs="宋体"/>
          <w:snapToGrid/>
          <w:spacing w:val="0"/>
          <w:kern w:val="2"/>
          <w:sz w:val="28"/>
          <w:szCs w:val="22"/>
          <w:lang w:val="en-US" w:eastAsia="zh-CN" w:bidi="ar-SA"/>
        </w:rPr>
      </w:pPr>
      <w:r>
        <w:rPr>
          <w:rFonts w:hint="eastAsia" w:ascii="宋体" w:hAnsi="宋体" w:eastAsia="宋体" w:cs="宋体"/>
          <w:snapToGrid/>
          <w:spacing w:val="0"/>
          <w:kern w:val="2"/>
          <w:sz w:val="28"/>
          <w:szCs w:val="22"/>
          <w:lang w:val="en-US" w:eastAsia="zh-CN" w:bidi="ar-SA"/>
        </w:rPr>
        <w:t>一种基于互联网的电子发票税务数据智能分析方法，包括：</w:t>
      </w:r>
    </w:p>
    <w:p w14:paraId="441DA949">
      <w:pPr>
        <w:pStyle w:val="22"/>
        <w:ind w:left="0" w:leftChars="0" w:firstLine="560" w:firstLineChars="200"/>
        <w:rPr>
          <w:rFonts w:hint="eastAsia" w:ascii="宋体" w:hAnsi="宋体" w:eastAsia="宋体" w:cs="宋体"/>
          <w:snapToGrid/>
          <w:spacing w:val="0"/>
          <w:kern w:val="2"/>
          <w:sz w:val="28"/>
          <w:szCs w:val="22"/>
          <w:lang w:val="en-US" w:eastAsia="zh-CN" w:bidi="ar-SA"/>
        </w:rPr>
      </w:pPr>
      <w:r>
        <w:rPr>
          <w:rFonts w:hint="eastAsia" w:ascii="宋体" w:hAnsi="宋体" w:eastAsia="宋体" w:cs="宋体"/>
          <w:snapToGrid/>
          <w:spacing w:val="0"/>
          <w:kern w:val="2"/>
          <w:sz w:val="28"/>
          <w:szCs w:val="22"/>
          <w:lang w:val="en-US" w:eastAsia="zh-CN" w:bidi="ar-SA"/>
        </w:rPr>
        <w:t>通过互联网网签平台获取交易过程中的企业名称及其开具的电子发票，获取电子发票的发票类型、发票金额和发票号码，企业名称及其开具的电子发票构成税务数据，并将税务数据发送至数据库中；</w:t>
      </w:r>
    </w:p>
    <w:p w14:paraId="53D73673">
      <w:pPr>
        <w:pStyle w:val="22"/>
        <w:ind w:left="0" w:leftChars="0" w:firstLine="560" w:firstLineChars="200"/>
        <w:rPr>
          <w:rFonts w:hint="eastAsia" w:ascii="宋体" w:hAnsi="宋体" w:eastAsia="宋体" w:cs="宋体"/>
          <w:snapToGrid/>
          <w:spacing w:val="0"/>
          <w:kern w:val="2"/>
          <w:sz w:val="28"/>
          <w:szCs w:val="22"/>
          <w:lang w:val="en-US" w:eastAsia="zh-CN" w:bidi="ar-SA"/>
        </w:rPr>
      </w:pPr>
      <w:r>
        <w:rPr>
          <w:rFonts w:hint="eastAsia" w:ascii="宋体" w:hAnsi="宋体" w:eastAsia="宋体" w:cs="宋体"/>
          <w:snapToGrid/>
          <w:spacing w:val="0"/>
          <w:kern w:val="2"/>
          <w:sz w:val="28"/>
          <w:szCs w:val="22"/>
          <w:lang w:val="en-US" w:eastAsia="zh-CN" w:bidi="ar-SA"/>
        </w:rPr>
        <w:t>数据库接收到税务数据后生成审核指令，并根据审核指令对税务数据进行有效性审核，得到初审合格或者初审异常的税务审核结果；</w:t>
      </w:r>
    </w:p>
    <w:p w14:paraId="336D1E34">
      <w:pPr>
        <w:pStyle w:val="22"/>
        <w:ind w:left="0" w:leftChars="0" w:firstLine="560" w:firstLineChars="200"/>
        <w:rPr>
          <w:rFonts w:hint="eastAsia" w:ascii="宋体" w:hAnsi="宋体" w:eastAsia="宋体" w:cs="宋体"/>
          <w:snapToGrid/>
          <w:spacing w:val="0"/>
          <w:kern w:val="2"/>
          <w:sz w:val="28"/>
          <w:szCs w:val="22"/>
          <w:lang w:val="en-US" w:eastAsia="zh-CN" w:bidi="ar-SA"/>
        </w:rPr>
      </w:pPr>
      <w:r>
        <w:rPr>
          <w:rFonts w:hint="eastAsia" w:ascii="宋体" w:hAnsi="宋体" w:eastAsia="宋体" w:cs="宋体"/>
          <w:snapToGrid/>
          <w:spacing w:val="0"/>
          <w:kern w:val="2"/>
          <w:sz w:val="28"/>
          <w:szCs w:val="22"/>
          <w:lang w:val="en-US" w:eastAsia="zh-CN" w:bidi="ar-SA"/>
        </w:rPr>
        <w:t>根据税务审核结果中的初审合格来对税务数据进行归类和评估，得到税务分析数据；</w:t>
      </w:r>
    </w:p>
    <w:p w14:paraId="539FCB74">
      <w:pPr>
        <w:pStyle w:val="22"/>
        <w:ind w:left="0" w:leftChars="0" w:firstLine="560" w:firstLineChars="200"/>
        <w:rPr>
          <w:rFonts w:hint="eastAsia" w:ascii="宋体" w:hAnsi="宋体" w:eastAsia="宋体" w:cs="宋体"/>
          <w:snapToGrid/>
          <w:spacing w:val="0"/>
          <w:kern w:val="2"/>
          <w:sz w:val="28"/>
          <w:szCs w:val="22"/>
          <w:lang w:val="en-US" w:eastAsia="zh-CN" w:bidi="ar-SA"/>
        </w:rPr>
      </w:pPr>
      <w:r>
        <w:rPr>
          <w:rFonts w:hint="eastAsia" w:ascii="宋体" w:hAnsi="宋体" w:eastAsia="宋体" w:cs="宋体"/>
          <w:snapToGrid/>
          <w:spacing w:val="0"/>
          <w:kern w:val="2"/>
          <w:sz w:val="28"/>
          <w:szCs w:val="22"/>
          <w:lang w:val="en-US" w:eastAsia="zh-CN" w:bidi="ar-SA"/>
        </w:rPr>
        <w:t>将税务分析数据进行存储并生成存储指令，根据存储指令自适应的将相关联的税务政策进行推送。</w:t>
      </w:r>
    </w:p>
    <w:p w14:paraId="2D97378F">
      <w:pPr>
        <w:pStyle w:val="22"/>
        <w:ind w:left="0" w:leftChars="0" w:firstLine="560" w:firstLineChars="200"/>
        <w:rPr>
          <w:rFonts w:hint="eastAsia" w:ascii="宋体" w:hAnsi="宋体" w:eastAsia="宋体" w:cs="宋体"/>
          <w:snapToGrid/>
          <w:spacing w:val="0"/>
          <w:kern w:val="2"/>
          <w:sz w:val="28"/>
          <w:szCs w:val="22"/>
          <w:lang w:val="en-US" w:eastAsia="zh-CN" w:bidi="ar-SA"/>
        </w:rPr>
      </w:pPr>
      <w:r>
        <w:rPr>
          <w:rFonts w:hint="eastAsia" w:ascii="宋体" w:hAnsi="宋体" w:eastAsia="宋体" w:cs="宋体"/>
          <w:snapToGrid/>
          <w:spacing w:val="0"/>
          <w:kern w:val="2"/>
          <w:sz w:val="28"/>
          <w:szCs w:val="22"/>
          <w:lang w:val="en-US" w:eastAsia="zh-CN" w:bidi="ar-SA"/>
        </w:rPr>
        <w:t>进一步的，根据审核指令对税务数据进行有效性审核，包括：</w:t>
      </w:r>
    </w:p>
    <w:p w14:paraId="41541545">
      <w:pPr>
        <w:pStyle w:val="22"/>
        <w:ind w:left="0" w:leftChars="0" w:firstLine="560" w:firstLineChars="200"/>
        <w:rPr>
          <w:rFonts w:hint="eastAsia" w:ascii="宋体" w:hAnsi="宋体" w:eastAsia="宋体" w:cs="宋体"/>
          <w:snapToGrid/>
          <w:spacing w:val="0"/>
          <w:kern w:val="2"/>
          <w:sz w:val="28"/>
          <w:szCs w:val="22"/>
          <w:lang w:val="en-US" w:eastAsia="zh-CN" w:bidi="ar-SA"/>
        </w:rPr>
      </w:pPr>
      <w:r>
        <w:rPr>
          <w:rFonts w:hint="eastAsia" w:ascii="宋体" w:hAnsi="宋体" w:eastAsia="宋体" w:cs="宋体"/>
          <w:snapToGrid/>
          <w:spacing w:val="0"/>
          <w:kern w:val="2"/>
          <w:sz w:val="28"/>
          <w:szCs w:val="22"/>
          <w:lang w:val="en-US" w:eastAsia="zh-CN" w:bidi="ar-SA"/>
        </w:rPr>
        <w:t>获取税务数据中的企业名称以及电子发票的发票类型和发票金额；</w:t>
      </w:r>
    </w:p>
    <w:p w14:paraId="6818FA5F">
      <w:pPr>
        <w:pStyle w:val="22"/>
        <w:ind w:left="0" w:leftChars="0" w:firstLine="560" w:firstLineChars="200"/>
        <w:rPr>
          <w:rFonts w:hint="eastAsia" w:ascii="宋体" w:hAnsi="宋体" w:eastAsia="宋体" w:cs="宋体"/>
          <w:snapToGrid/>
          <w:spacing w:val="0"/>
          <w:kern w:val="2"/>
          <w:sz w:val="28"/>
          <w:szCs w:val="22"/>
          <w:lang w:val="en-US" w:eastAsia="zh-CN" w:bidi="ar-SA"/>
        </w:rPr>
      </w:pPr>
      <w:r>
        <w:rPr>
          <w:rFonts w:hint="eastAsia" w:ascii="宋体" w:hAnsi="宋体" w:eastAsia="宋体" w:cs="宋体"/>
          <w:snapToGrid/>
          <w:spacing w:val="0"/>
          <w:kern w:val="2"/>
          <w:sz w:val="28"/>
          <w:szCs w:val="22"/>
          <w:lang w:val="en-US" w:eastAsia="zh-CN" w:bidi="ar-SA"/>
        </w:rPr>
        <w:t>将企业名称与预构建的企业名称表进行匹配获取对应的企业经营范围并将其设定为样本范围；</w:t>
      </w:r>
    </w:p>
    <w:p w14:paraId="38F4CDC1">
      <w:pPr>
        <w:pStyle w:val="22"/>
        <w:ind w:left="0" w:leftChars="0" w:firstLine="560" w:firstLineChars="200"/>
        <w:rPr>
          <w:rFonts w:hint="eastAsia" w:ascii="宋体" w:hAnsi="宋体" w:eastAsia="宋体" w:cs="宋体"/>
          <w:snapToGrid/>
          <w:spacing w:val="0"/>
          <w:kern w:val="2"/>
          <w:sz w:val="28"/>
          <w:szCs w:val="22"/>
          <w:lang w:val="en-US" w:eastAsia="zh-CN" w:bidi="ar-SA"/>
        </w:rPr>
      </w:pPr>
      <w:r>
        <w:rPr>
          <w:rFonts w:hint="eastAsia" w:ascii="宋体" w:hAnsi="宋体" w:eastAsia="宋体" w:cs="宋体"/>
          <w:snapToGrid/>
          <w:spacing w:val="0"/>
          <w:kern w:val="2"/>
          <w:sz w:val="28"/>
          <w:szCs w:val="22"/>
          <w:lang w:val="en-US" w:eastAsia="zh-CN" w:bidi="ar-SA"/>
        </w:rPr>
        <w:t>将税务数据中的发票类型与样本范围进行遍历匹配，若样本范围中存在与发票类型相同的经营类型，则生成第一遍历信号；</w:t>
      </w:r>
    </w:p>
    <w:p w14:paraId="166ACFFD">
      <w:pPr>
        <w:pStyle w:val="22"/>
        <w:ind w:left="0" w:leftChars="0" w:firstLine="560" w:firstLineChars="200"/>
        <w:rPr>
          <w:rFonts w:hint="eastAsia" w:ascii="宋体" w:hAnsi="宋体" w:eastAsia="宋体" w:cs="宋体"/>
          <w:snapToGrid/>
          <w:spacing w:val="0"/>
          <w:kern w:val="2"/>
          <w:sz w:val="28"/>
          <w:szCs w:val="22"/>
          <w:lang w:val="en-US" w:eastAsia="zh-CN" w:bidi="ar-SA"/>
        </w:rPr>
      </w:pPr>
      <w:r>
        <w:rPr>
          <w:rFonts w:hint="eastAsia" w:ascii="宋体" w:hAnsi="宋体" w:eastAsia="宋体" w:cs="宋体"/>
          <w:snapToGrid/>
          <w:spacing w:val="0"/>
          <w:kern w:val="2"/>
          <w:sz w:val="28"/>
          <w:szCs w:val="22"/>
          <w:lang w:val="en-US" w:eastAsia="zh-CN" w:bidi="ar-SA"/>
        </w:rPr>
        <w:t>若样本范围中不存在与发票类型相同的经营类型，则生成第二遍历信号；第一遍历信号和第二遍历信号构成第一审核数据；</w:t>
      </w:r>
    </w:p>
    <w:p w14:paraId="18B6FA91">
      <w:pPr>
        <w:pStyle w:val="22"/>
        <w:ind w:left="0" w:leftChars="0" w:firstLine="560" w:firstLineChars="200"/>
        <w:rPr>
          <w:rFonts w:hint="eastAsia" w:ascii="宋体" w:hAnsi="宋体" w:eastAsia="宋体" w:cs="宋体"/>
          <w:snapToGrid/>
          <w:spacing w:val="0"/>
          <w:kern w:val="2"/>
          <w:sz w:val="28"/>
          <w:szCs w:val="22"/>
          <w:lang w:val="en-US" w:eastAsia="zh-CN" w:bidi="ar-SA"/>
        </w:rPr>
      </w:pPr>
      <w:r>
        <w:rPr>
          <w:rFonts w:hint="eastAsia" w:ascii="宋体" w:hAnsi="宋体" w:eastAsia="宋体" w:cs="宋体"/>
          <w:snapToGrid/>
          <w:spacing w:val="0"/>
          <w:kern w:val="2"/>
          <w:sz w:val="28"/>
          <w:szCs w:val="22"/>
          <w:lang w:val="en-US" w:eastAsia="zh-CN" w:bidi="ar-SA"/>
        </w:rPr>
        <w:t>根据企业名称获取发票号码对应的交易的银行流水数据，提取银行流水数据中的交易金额；</w:t>
      </w:r>
    </w:p>
    <w:p w14:paraId="666E6FEF">
      <w:pPr>
        <w:pStyle w:val="22"/>
        <w:ind w:left="0" w:leftChars="0" w:firstLine="560" w:firstLineChars="200"/>
        <w:rPr>
          <w:rFonts w:hint="eastAsia" w:ascii="宋体" w:hAnsi="宋体" w:eastAsia="宋体" w:cs="宋体"/>
          <w:snapToGrid/>
          <w:spacing w:val="0"/>
          <w:kern w:val="2"/>
          <w:sz w:val="28"/>
          <w:szCs w:val="22"/>
          <w:lang w:val="en-US" w:eastAsia="zh-CN" w:bidi="ar-SA"/>
        </w:rPr>
      </w:pPr>
      <w:r>
        <w:rPr>
          <w:rFonts w:hint="eastAsia" w:ascii="宋体" w:hAnsi="宋体" w:eastAsia="宋体" w:cs="宋体"/>
          <w:snapToGrid/>
          <w:spacing w:val="0"/>
          <w:kern w:val="2"/>
          <w:sz w:val="28"/>
          <w:szCs w:val="22"/>
          <w:lang w:val="en-US" w:eastAsia="zh-CN" w:bidi="ar-SA"/>
        </w:rPr>
        <w:t>分别获取发票金额和交易金额的数值，根据获取的数值计算两者之间的比值，若比值为1，则生成第一核验信号；</w:t>
      </w:r>
    </w:p>
    <w:p w14:paraId="27367F9A">
      <w:pPr>
        <w:pStyle w:val="22"/>
        <w:ind w:left="0" w:leftChars="0" w:firstLine="560" w:firstLineChars="200"/>
        <w:rPr>
          <w:rFonts w:hint="eastAsia" w:ascii="宋体" w:hAnsi="宋体" w:eastAsia="宋体" w:cs="宋体"/>
          <w:snapToGrid/>
          <w:spacing w:val="0"/>
          <w:kern w:val="2"/>
          <w:sz w:val="28"/>
          <w:szCs w:val="22"/>
          <w:lang w:val="en-US" w:eastAsia="zh-CN" w:bidi="ar-SA"/>
        </w:rPr>
      </w:pPr>
      <w:r>
        <w:rPr>
          <w:rFonts w:hint="eastAsia" w:ascii="宋体" w:hAnsi="宋体" w:eastAsia="宋体" w:cs="宋体"/>
          <w:snapToGrid/>
          <w:spacing w:val="0"/>
          <w:kern w:val="2"/>
          <w:sz w:val="28"/>
          <w:szCs w:val="22"/>
          <w:lang w:val="en-US" w:eastAsia="zh-CN" w:bidi="ar-SA"/>
        </w:rPr>
        <w:t>若比值不为1，则生成第二核验信号；第一核验信号和第二核验信号构成第二审核数据；</w:t>
      </w:r>
    </w:p>
    <w:p w14:paraId="3353B0E4">
      <w:pPr>
        <w:pStyle w:val="22"/>
        <w:ind w:left="0" w:leftChars="0" w:firstLine="560" w:firstLineChars="200"/>
        <w:rPr>
          <w:rFonts w:hint="eastAsia" w:ascii="宋体" w:hAnsi="宋体" w:eastAsia="宋体" w:cs="宋体"/>
          <w:snapToGrid/>
          <w:spacing w:val="0"/>
          <w:kern w:val="2"/>
          <w:sz w:val="28"/>
          <w:szCs w:val="22"/>
          <w:lang w:val="en-US" w:eastAsia="zh-CN" w:bidi="ar-SA"/>
        </w:rPr>
      </w:pPr>
      <w:r>
        <w:rPr>
          <w:rFonts w:hint="eastAsia" w:ascii="宋体" w:hAnsi="宋体" w:eastAsia="宋体" w:cs="宋体"/>
          <w:snapToGrid/>
          <w:spacing w:val="0"/>
          <w:kern w:val="2"/>
          <w:sz w:val="28"/>
          <w:szCs w:val="22"/>
          <w:lang w:val="en-US" w:eastAsia="zh-CN" w:bidi="ar-SA"/>
        </w:rPr>
        <w:t>当第一审核数据中包含第一遍历信号且第二审核数据中包含第一核验信号时，则生成初审合格；反之，则生成初审异常；</w:t>
      </w:r>
    </w:p>
    <w:p w14:paraId="3AD73FAD">
      <w:pPr>
        <w:pStyle w:val="22"/>
        <w:ind w:left="0" w:leftChars="0" w:firstLine="560" w:firstLineChars="200"/>
        <w:rPr>
          <w:rFonts w:hint="eastAsia" w:ascii="宋体" w:hAnsi="宋体" w:eastAsia="宋体" w:cs="宋体"/>
          <w:snapToGrid/>
          <w:spacing w:val="0"/>
          <w:kern w:val="2"/>
          <w:sz w:val="28"/>
          <w:szCs w:val="22"/>
          <w:lang w:val="en-US" w:eastAsia="zh-CN" w:bidi="ar-SA"/>
        </w:rPr>
      </w:pPr>
      <w:r>
        <w:rPr>
          <w:rFonts w:hint="eastAsia" w:ascii="宋体" w:hAnsi="宋体" w:eastAsia="宋体" w:cs="宋体"/>
          <w:snapToGrid/>
          <w:spacing w:val="0"/>
          <w:kern w:val="2"/>
          <w:sz w:val="28"/>
          <w:szCs w:val="22"/>
          <w:lang w:val="en-US" w:eastAsia="zh-CN" w:bidi="ar-SA"/>
        </w:rPr>
        <w:t>初审合格和初审异常构成税务审核结果。</w:t>
      </w:r>
    </w:p>
    <w:p w14:paraId="38081895">
      <w:pPr>
        <w:pStyle w:val="22"/>
        <w:ind w:left="0" w:leftChars="0" w:firstLine="560" w:firstLineChars="200"/>
        <w:rPr>
          <w:rFonts w:hint="eastAsia" w:ascii="宋体" w:hAnsi="宋体" w:eastAsia="宋体" w:cs="宋体"/>
          <w:snapToGrid/>
          <w:spacing w:val="0"/>
          <w:kern w:val="2"/>
          <w:sz w:val="28"/>
          <w:szCs w:val="22"/>
          <w:lang w:val="en-US" w:eastAsia="zh-CN" w:bidi="ar-SA"/>
        </w:rPr>
      </w:pPr>
      <w:r>
        <w:rPr>
          <w:rFonts w:hint="eastAsia" w:ascii="宋体" w:hAnsi="宋体" w:eastAsia="宋体" w:cs="宋体"/>
          <w:snapToGrid/>
          <w:spacing w:val="0"/>
          <w:kern w:val="2"/>
          <w:sz w:val="28"/>
          <w:szCs w:val="22"/>
          <w:lang w:val="en-US" w:eastAsia="zh-CN" w:bidi="ar-SA"/>
        </w:rPr>
        <w:t>进一步的，企业名称表由若干个企业名称及其对应的企业经营范围构成，企业经营范围包含若干个经营类型及其对应的经营权重。</w:t>
      </w:r>
    </w:p>
    <w:p w14:paraId="57979F05">
      <w:pPr>
        <w:pStyle w:val="22"/>
        <w:ind w:left="0" w:leftChars="0" w:firstLine="560" w:firstLineChars="200"/>
        <w:rPr>
          <w:rFonts w:hint="eastAsia" w:ascii="宋体" w:hAnsi="宋体" w:eastAsia="宋体" w:cs="宋体"/>
          <w:snapToGrid/>
          <w:spacing w:val="0"/>
          <w:kern w:val="2"/>
          <w:sz w:val="28"/>
          <w:szCs w:val="22"/>
          <w:lang w:val="en-US" w:eastAsia="zh-CN" w:bidi="ar-SA"/>
        </w:rPr>
      </w:pPr>
      <w:r>
        <w:rPr>
          <w:rFonts w:hint="eastAsia" w:ascii="宋体" w:hAnsi="宋体" w:eastAsia="宋体" w:cs="宋体"/>
          <w:snapToGrid/>
          <w:spacing w:val="0"/>
          <w:kern w:val="2"/>
          <w:sz w:val="28"/>
          <w:szCs w:val="22"/>
          <w:lang w:val="en-US" w:eastAsia="zh-CN" w:bidi="ar-SA"/>
        </w:rPr>
        <w:t>进一步的，根据税务审核结果中的初审合格来对税务数据进行归类和评估，包括：</w:t>
      </w:r>
    </w:p>
    <w:p w14:paraId="47326911">
      <w:pPr>
        <w:pStyle w:val="22"/>
        <w:ind w:left="0" w:leftChars="0" w:firstLine="560" w:firstLineChars="200"/>
        <w:rPr>
          <w:rFonts w:hint="eastAsia" w:ascii="宋体" w:hAnsi="宋体" w:eastAsia="宋体" w:cs="宋体"/>
          <w:snapToGrid/>
          <w:spacing w:val="0"/>
          <w:kern w:val="2"/>
          <w:sz w:val="28"/>
          <w:szCs w:val="22"/>
          <w:lang w:val="en-US" w:eastAsia="zh-CN" w:bidi="ar-SA"/>
        </w:rPr>
      </w:pPr>
      <w:r>
        <w:rPr>
          <w:rFonts w:hint="eastAsia" w:ascii="宋体" w:hAnsi="宋体" w:eastAsia="宋体" w:cs="宋体"/>
          <w:snapToGrid/>
          <w:spacing w:val="0"/>
          <w:kern w:val="2"/>
          <w:sz w:val="28"/>
          <w:szCs w:val="22"/>
          <w:lang w:val="en-US" w:eastAsia="zh-CN" w:bidi="ar-SA"/>
        </w:rPr>
        <w:t>根据税务审核结果中的初审合格，将税务数据中发票类型对应的经营类型的交易次数加一；</w:t>
      </w:r>
    </w:p>
    <w:p w14:paraId="21E6E9B5">
      <w:pPr>
        <w:pStyle w:val="22"/>
        <w:ind w:left="0" w:leftChars="0" w:firstLine="560" w:firstLineChars="200"/>
        <w:rPr>
          <w:rFonts w:hint="eastAsia" w:ascii="宋体" w:hAnsi="宋体" w:eastAsia="宋体" w:cs="宋体"/>
          <w:snapToGrid/>
          <w:spacing w:val="0"/>
          <w:kern w:val="2"/>
          <w:sz w:val="28"/>
          <w:szCs w:val="22"/>
          <w:lang w:val="en-US" w:eastAsia="zh-CN" w:bidi="ar-SA"/>
        </w:rPr>
      </w:pPr>
      <w:r>
        <w:rPr>
          <w:rFonts w:hint="eastAsia" w:ascii="宋体" w:hAnsi="宋体" w:eastAsia="宋体" w:cs="宋体"/>
          <w:snapToGrid/>
          <w:spacing w:val="0"/>
          <w:kern w:val="2"/>
          <w:sz w:val="28"/>
          <w:szCs w:val="22"/>
          <w:lang w:val="en-US" w:eastAsia="zh-CN" w:bidi="ar-SA"/>
        </w:rPr>
        <w:t>根据企业名称获取其企业经营范围的若干个经营类型对应的经营权重并标记为QZi，i=｛1，2，3，...，n｝，n为正整数，表示为总的数量；</w:t>
      </w:r>
    </w:p>
    <w:p w14:paraId="65C4E26F">
      <w:pPr>
        <w:pStyle w:val="22"/>
        <w:ind w:left="0" w:leftChars="0" w:firstLine="560" w:firstLineChars="200"/>
        <w:rPr>
          <w:rFonts w:hint="eastAsia" w:ascii="宋体" w:hAnsi="宋体" w:eastAsia="宋体" w:cs="宋体"/>
          <w:snapToGrid/>
          <w:spacing w:val="0"/>
          <w:kern w:val="2"/>
          <w:sz w:val="28"/>
          <w:szCs w:val="22"/>
          <w:lang w:val="en-US" w:eastAsia="zh-CN" w:bidi="ar-SA"/>
        </w:rPr>
      </w:pPr>
      <w:r>
        <w:rPr>
          <w:rFonts w:hint="eastAsia" w:ascii="宋体" w:hAnsi="宋体" w:eastAsia="宋体" w:cs="宋体"/>
          <w:snapToGrid/>
          <w:spacing w:val="0"/>
          <w:kern w:val="2"/>
          <w:sz w:val="28"/>
          <w:szCs w:val="22"/>
          <w:lang w:val="en-US" w:eastAsia="zh-CN" w:bidi="ar-SA"/>
        </w:rPr>
        <w:t>根据电子发票税务数据对公司进行分类前，将若干个经营类型对应的经营权重通过公式计算获取公司交易的类估值；该公式为：</w:t>
      </w:r>
    </w:p>
    <w:p w14:paraId="1D4214A9">
      <w:pPr>
        <w:pStyle w:val="22"/>
        <w:ind w:left="0" w:leftChars="0" w:firstLine="560" w:firstLineChars="200"/>
        <w:jc w:val="center"/>
        <w:rPr>
          <w:rFonts w:hint="eastAsia" w:ascii="宋体" w:hAnsi="宋体" w:eastAsia="宋体" w:cs="宋体"/>
          <w:snapToGrid/>
          <w:spacing w:val="0"/>
          <w:kern w:val="2"/>
          <w:sz w:val="28"/>
          <w:szCs w:val="22"/>
          <w:lang w:val="en-US" w:eastAsia="zh-CN" w:bidi="ar-SA"/>
        </w:rPr>
      </w:pPr>
      <w:r>
        <w:rPr>
          <w:rFonts w:hint="eastAsia" w:ascii="宋体" w:hAnsi="宋体" w:eastAsia="宋体" w:cs="宋体"/>
          <w:snapToGrid/>
          <w:spacing w:val="0"/>
          <w:kern w:val="2"/>
          <w:position w:val="-28"/>
          <w:sz w:val="28"/>
          <w:szCs w:val="22"/>
          <w:lang w:val="en-US" w:eastAsia="zh-CN" w:bidi="ar-SA"/>
        </w:rPr>
        <w:object>
          <v:shape id="_x0000_i1150" o:spt="75" type="#_x0000_t75" style="height:43.3pt;width:82.9pt;" o:ole="t" filled="f" o:preferrelative="t" stroked="f" coordsize="21600,21600">
            <v:path/>
            <v:fill on="f" focussize="0,0"/>
            <v:stroke on="f"/>
            <v:imagedata r:id="rId14" o:title=""/>
            <o:lock v:ext="edit" aspectratio="t"/>
            <w10:wrap type="none"/>
            <w10:anchorlock/>
          </v:shape>
          <o:OLEObject Type="Embed" ProgID="Equation.KSEE3" ShapeID="_x0000_i1150" DrawAspect="Content" ObjectID="_1468075727" r:id="rId13">
            <o:LockedField>false</o:LockedField>
          </o:OLEObject>
        </w:object>
      </w:r>
    </w:p>
    <w:p w14:paraId="204E134C">
      <w:pPr>
        <w:pStyle w:val="22"/>
        <w:ind w:left="0" w:leftChars="0" w:firstLine="560" w:firstLineChars="200"/>
        <w:rPr>
          <w:rFonts w:hint="eastAsia" w:ascii="宋体" w:hAnsi="宋体" w:eastAsia="宋体" w:cs="宋体"/>
          <w:snapToGrid/>
          <w:spacing w:val="0"/>
          <w:kern w:val="2"/>
          <w:sz w:val="28"/>
          <w:szCs w:val="22"/>
          <w:lang w:val="en-US" w:eastAsia="zh-CN" w:bidi="ar-SA"/>
        </w:rPr>
      </w:pPr>
      <w:r>
        <w:rPr>
          <w:rFonts w:hint="eastAsia" w:ascii="宋体" w:hAnsi="宋体" w:eastAsia="宋体" w:cs="宋体"/>
          <w:snapToGrid/>
          <w:spacing w:val="0"/>
          <w:kern w:val="2"/>
          <w:sz w:val="28"/>
          <w:szCs w:val="22"/>
          <w:lang w:val="en-US" w:eastAsia="zh-CN" w:bidi="ar-SA"/>
        </w:rPr>
        <w:t>将类估值与预构建的类估范围进行匹配获取对应的公司类别并将其设定为评估标志，根据评估标志对公司交易的发票进行评估；</w:t>
      </w:r>
    </w:p>
    <w:p w14:paraId="5314EB1B">
      <w:pPr>
        <w:pStyle w:val="22"/>
        <w:ind w:left="0" w:leftChars="0" w:firstLine="560" w:firstLineChars="200"/>
        <w:rPr>
          <w:rFonts w:hint="eastAsia" w:ascii="宋体" w:hAnsi="宋体" w:eastAsia="宋体" w:cs="宋体"/>
          <w:snapToGrid/>
          <w:spacing w:val="0"/>
          <w:kern w:val="2"/>
          <w:sz w:val="28"/>
          <w:szCs w:val="22"/>
          <w:lang w:val="en-US" w:eastAsia="zh-CN" w:bidi="ar-SA"/>
        </w:rPr>
      </w:pPr>
      <w:r>
        <w:rPr>
          <w:rFonts w:hint="eastAsia" w:ascii="宋体" w:hAnsi="宋体" w:eastAsia="宋体" w:cs="宋体"/>
          <w:snapToGrid/>
          <w:spacing w:val="0"/>
          <w:kern w:val="2"/>
          <w:sz w:val="28"/>
          <w:szCs w:val="22"/>
          <w:lang w:val="en-US" w:eastAsia="zh-CN" w:bidi="ar-SA"/>
        </w:rPr>
        <w:t>评估前，根据企业名称统计监测时间段内所有的经营类型的交易总次数，以及经营类型的交易总金额；</w:t>
      </w:r>
    </w:p>
    <w:p w14:paraId="592CE5EE">
      <w:pPr>
        <w:pStyle w:val="22"/>
        <w:ind w:left="0" w:leftChars="0" w:firstLine="560" w:firstLineChars="200"/>
        <w:rPr>
          <w:rFonts w:hint="eastAsia" w:ascii="宋体" w:hAnsi="宋体" w:eastAsia="宋体" w:cs="宋体"/>
          <w:snapToGrid/>
          <w:spacing w:val="0"/>
          <w:kern w:val="2"/>
          <w:sz w:val="28"/>
          <w:szCs w:val="22"/>
          <w:lang w:val="en-US" w:eastAsia="zh-CN" w:bidi="ar-SA"/>
        </w:rPr>
      </w:pPr>
      <w:r>
        <w:rPr>
          <w:rFonts w:hint="eastAsia" w:ascii="宋体" w:hAnsi="宋体" w:eastAsia="宋体" w:cs="宋体"/>
          <w:snapToGrid/>
          <w:spacing w:val="0"/>
          <w:kern w:val="2"/>
          <w:sz w:val="28"/>
          <w:szCs w:val="22"/>
          <w:lang w:val="en-US" w:eastAsia="zh-CN" w:bidi="ar-SA"/>
        </w:rPr>
        <w:t>分别提取所有的经营类型的交易总次数和交易总金额的数值并标记为J1和J2，通过公式计算获取公司交易的票估值；该公式为：</w:t>
      </w:r>
    </w:p>
    <w:p w14:paraId="6A853B93">
      <w:pPr>
        <w:pStyle w:val="22"/>
        <w:ind w:left="0" w:leftChars="0" w:firstLine="560" w:firstLineChars="200"/>
        <w:jc w:val="center"/>
        <w:rPr>
          <w:rFonts w:hint="eastAsia" w:ascii="宋体" w:hAnsi="宋体" w:eastAsia="宋体" w:cs="宋体"/>
          <w:snapToGrid/>
          <w:spacing w:val="0"/>
          <w:kern w:val="2"/>
          <w:sz w:val="28"/>
          <w:szCs w:val="22"/>
          <w:lang w:val="en-US" w:eastAsia="zh-CN" w:bidi="ar-SA"/>
        </w:rPr>
      </w:pPr>
      <w:r>
        <w:rPr>
          <w:rFonts w:hint="eastAsia" w:ascii="宋体" w:hAnsi="宋体" w:eastAsia="宋体" w:cs="宋体"/>
          <w:snapToGrid/>
          <w:spacing w:val="0"/>
          <w:kern w:val="2"/>
          <w:position w:val="-28"/>
          <w:sz w:val="28"/>
          <w:szCs w:val="22"/>
          <w:lang w:val="en-US" w:eastAsia="zh-CN" w:bidi="ar-SA"/>
        </w:rPr>
        <w:object>
          <v:shape id="_x0000_i1166" o:spt="75" type="#_x0000_t75" style="height:43.3pt;width:212.95pt;" o:ole="t" filled="f" o:preferrelative="t" stroked="f" coordsize="21600,21600">
            <v:path/>
            <v:fill on="f" focussize="0,0"/>
            <v:stroke on="f"/>
            <v:imagedata r:id="rId16" o:title=""/>
            <o:lock v:ext="edit" aspectratio="t"/>
            <w10:wrap type="none"/>
            <w10:anchorlock/>
          </v:shape>
          <o:OLEObject Type="Embed" ProgID="Equation.KSEE3" ShapeID="_x0000_i1166" DrawAspect="Content" ObjectID="_1468075728" r:id="rId15">
            <o:LockedField>false</o:LockedField>
          </o:OLEObject>
        </w:object>
      </w:r>
    </w:p>
    <w:p w14:paraId="17F6C954">
      <w:pPr>
        <w:pStyle w:val="22"/>
        <w:ind w:left="0" w:leftChars="0" w:firstLine="560" w:firstLineChars="200"/>
        <w:rPr>
          <w:rFonts w:hint="eastAsia" w:ascii="宋体" w:hAnsi="宋体" w:eastAsia="宋体" w:cs="宋体"/>
          <w:snapToGrid/>
          <w:spacing w:val="0"/>
          <w:kern w:val="2"/>
          <w:sz w:val="28"/>
          <w:szCs w:val="22"/>
          <w:lang w:val="en-US" w:eastAsia="zh-CN" w:bidi="ar-SA"/>
        </w:rPr>
      </w:pPr>
      <w:r>
        <w:rPr>
          <w:rFonts w:hint="eastAsia" w:ascii="宋体" w:hAnsi="宋体" w:eastAsia="宋体" w:cs="宋体"/>
          <w:snapToGrid/>
          <w:spacing w:val="0"/>
          <w:kern w:val="2"/>
          <w:sz w:val="28"/>
          <w:szCs w:val="22"/>
          <w:lang w:val="en-US" w:eastAsia="zh-CN" w:bidi="ar-SA"/>
        </w:rPr>
        <w:t>式中，a1、a2为不同的比例系数且均大于零；</w:t>
      </w:r>
    </w:p>
    <w:p w14:paraId="4F5D8F48">
      <w:pPr>
        <w:pStyle w:val="22"/>
        <w:ind w:left="0" w:leftChars="0" w:firstLine="560" w:firstLineChars="200"/>
        <w:rPr>
          <w:rFonts w:hint="eastAsia" w:ascii="宋体" w:hAnsi="宋体" w:eastAsia="宋体" w:cs="宋体"/>
          <w:snapToGrid/>
          <w:spacing w:val="0"/>
          <w:kern w:val="2"/>
          <w:sz w:val="28"/>
          <w:szCs w:val="22"/>
          <w:lang w:val="en-US" w:eastAsia="zh-CN" w:bidi="ar-SA"/>
        </w:rPr>
      </w:pPr>
      <w:r>
        <w:rPr>
          <w:rFonts w:hint="eastAsia" w:ascii="宋体" w:hAnsi="宋体" w:eastAsia="宋体" w:cs="宋体"/>
          <w:snapToGrid/>
          <w:spacing w:val="0"/>
          <w:kern w:val="2"/>
          <w:sz w:val="28"/>
          <w:szCs w:val="22"/>
          <w:lang w:val="en-US" w:eastAsia="zh-CN" w:bidi="ar-SA"/>
        </w:rPr>
        <w:t>将票估值与票估阈值进行匹配，得到包含达标交易和不达标交易的税务分析数据。</w:t>
      </w:r>
    </w:p>
    <w:p w14:paraId="5E6E55F2">
      <w:pPr>
        <w:pStyle w:val="22"/>
        <w:ind w:left="0" w:leftChars="0" w:firstLine="560" w:firstLineChars="200"/>
        <w:rPr>
          <w:rFonts w:hint="eastAsia" w:ascii="宋体" w:hAnsi="宋体" w:eastAsia="宋体" w:cs="宋体"/>
          <w:snapToGrid/>
          <w:spacing w:val="0"/>
          <w:kern w:val="2"/>
          <w:sz w:val="28"/>
          <w:szCs w:val="22"/>
          <w:lang w:val="en-US" w:eastAsia="zh-CN" w:bidi="ar-SA"/>
        </w:rPr>
      </w:pPr>
      <w:r>
        <w:rPr>
          <w:rFonts w:hint="eastAsia" w:ascii="宋体" w:hAnsi="宋体" w:eastAsia="宋体" w:cs="宋体"/>
          <w:snapToGrid/>
          <w:spacing w:val="0"/>
          <w:kern w:val="2"/>
          <w:sz w:val="28"/>
          <w:szCs w:val="22"/>
          <w:lang w:val="en-US" w:eastAsia="zh-CN" w:bidi="ar-SA"/>
        </w:rPr>
        <w:t>进一步的，将类估值与预构建的类估范围进行匹配时，若类估值属于类估范围中的第一子范围(0，p1]、第二子范围(p1，p2]或者第三子范围(p2，+</w:t>
      </w:r>
      <w:r>
        <w:rPr>
          <w:rFonts w:hint="eastAsia" w:ascii="宋体" w:hAnsi="宋体" w:eastAsia="宋体" w:cs="宋体"/>
          <w:snapToGrid/>
          <w:spacing w:val="0"/>
          <w:kern w:val="2"/>
          <w:position w:val="-4"/>
          <w:sz w:val="28"/>
          <w:szCs w:val="22"/>
          <w:lang w:val="en-US" w:eastAsia="zh-CN" w:bidi="ar-SA"/>
        </w:rPr>
        <w:object>
          <v:shape id="_x0000_i1152" o:spt="75" type="#_x0000_t75" style="height:10pt;width:12pt;" o:ole="t" filled="f" o:preferrelative="t" stroked="f" coordsize="21600,21600">
            <v:path/>
            <v:fill on="f" focussize="0,0"/>
            <v:stroke on="f"/>
            <v:imagedata r:id="rId12" o:title=""/>
            <o:lock v:ext="edit" aspectratio="t"/>
            <w10:wrap type="none"/>
            <w10:anchorlock/>
          </v:shape>
          <o:OLEObject Type="Embed" ProgID="Equation.KSEE3" ShapeID="_x0000_i1152" DrawAspect="Content" ObjectID="_1468075729" r:id="rId17">
            <o:LockedField>false</o:LockedField>
          </o:OLEObject>
        </w:object>
      </w:r>
      <w:r>
        <w:rPr>
          <w:rFonts w:hint="eastAsia" w:ascii="宋体" w:hAnsi="宋体" w:eastAsia="宋体" w:cs="宋体"/>
          <w:snapToGrid/>
          <w:spacing w:val="0"/>
          <w:kern w:val="2"/>
          <w:sz w:val="28"/>
          <w:szCs w:val="22"/>
          <w:lang w:val="en-US" w:eastAsia="zh-CN" w:bidi="ar-SA"/>
        </w:rPr>
        <w:t>]时，则判定类估值对应的公司属于第一子范围关联的第一公司类别、第二子范围关联的第二公司类别或者第三子范围关联的第三公司类别；p1和p2均为大于零的实数，且第一公司类别、第二公司类别和第三公司类别的等级依次递增。</w:t>
      </w:r>
    </w:p>
    <w:p w14:paraId="7DDD5F96">
      <w:pPr>
        <w:pStyle w:val="22"/>
        <w:rPr>
          <w:rFonts w:hint="eastAsia" w:ascii="宋体" w:hAnsi="宋体" w:eastAsia="宋体" w:cs="宋体"/>
          <w:snapToGrid/>
          <w:spacing w:val="0"/>
          <w:kern w:val="2"/>
          <w:sz w:val="28"/>
          <w:szCs w:val="22"/>
          <w:lang w:val="en-US" w:eastAsia="zh-CN" w:bidi="ar-SA"/>
        </w:rPr>
      </w:pPr>
      <w:r>
        <w:rPr>
          <w:rFonts w:hint="eastAsia" w:ascii="宋体" w:hAnsi="宋体" w:eastAsia="宋体" w:cs="宋体"/>
          <w:snapToGrid/>
          <w:spacing w:val="0"/>
          <w:kern w:val="2"/>
          <w:sz w:val="28"/>
          <w:szCs w:val="22"/>
          <w:lang w:val="en-US" w:eastAsia="zh-CN" w:bidi="ar-SA"/>
        </w:rPr>
        <w:t>进一步的，将票估值与票估阈值进行匹配时，若票估值不大于票估阈值，则判定监测时间段内该公司的交易属于不达标交易；</w:t>
      </w:r>
    </w:p>
    <w:p w14:paraId="41102C6F">
      <w:pPr>
        <w:pStyle w:val="22"/>
        <w:rPr>
          <w:rFonts w:hint="eastAsia" w:ascii="宋体" w:hAnsi="宋体" w:eastAsia="宋体" w:cs="宋体"/>
          <w:snapToGrid/>
          <w:spacing w:val="0"/>
          <w:kern w:val="2"/>
          <w:sz w:val="28"/>
          <w:szCs w:val="22"/>
          <w:lang w:val="en-US" w:eastAsia="zh-CN" w:bidi="ar-SA"/>
        </w:rPr>
      </w:pPr>
      <w:r>
        <w:rPr>
          <w:rFonts w:hint="eastAsia" w:ascii="宋体" w:hAnsi="宋体" w:eastAsia="宋体" w:cs="宋体"/>
          <w:snapToGrid/>
          <w:spacing w:val="0"/>
          <w:kern w:val="2"/>
          <w:sz w:val="28"/>
          <w:szCs w:val="22"/>
          <w:lang w:val="en-US" w:eastAsia="zh-CN" w:bidi="ar-SA"/>
        </w:rPr>
        <w:t>若票估值大于票估阈值，则判定监测时段段内该公司的交易属于达标交易，并将达标交易的总次数加一。</w:t>
      </w:r>
    </w:p>
    <w:p w14:paraId="16D7FEEA">
      <w:pPr>
        <w:pStyle w:val="22"/>
        <w:rPr>
          <w:rFonts w:hint="eastAsia" w:ascii="宋体" w:hAnsi="宋体" w:eastAsia="宋体" w:cs="宋体"/>
          <w:snapToGrid/>
          <w:spacing w:val="0"/>
          <w:kern w:val="2"/>
          <w:sz w:val="28"/>
          <w:szCs w:val="22"/>
          <w:lang w:val="en-US" w:eastAsia="zh-CN" w:bidi="ar-SA"/>
        </w:rPr>
      </w:pPr>
      <w:r>
        <w:rPr>
          <w:rFonts w:hint="eastAsia" w:ascii="宋体" w:hAnsi="宋体" w:eastAsia="宋体" w:cs="宋体"/>
          <w:snapToGrid/>
          <w:spacing w:val="0"/>
          <w:kern w:val="2"/>
          <w:sz w:val="28"/>
          <w:szCs w:val="22"/>
          <w:lang w:val="en-US" w:eastAsia="zh-CN" w:bidi="ar-SA"/>
        </w:rPr>
        <w:t>进一步的，根据存储指令自适应的将相关联的税务政策进行推送，包括：</w:t>
      </w:r>
    </w:p>
    <w:p w14:paraId="27748C81">
      <w:pPr>
        <w:pStyle w:val="22"/>
        <w:rPr>
          <w:rFonts w:hint="eastAsia" w:ascii="宋体" w:hAnsi="宋体" w:eastAsia="宋体" w:cs="宋体"/>
          <w:snapToGrid/>
          <w:spacing w:val="0"/>
          <w:kern w:val="2"/>
          <w:sz w:val="28"/>
          <w:szCs w:val="22"/>
          <w:lang w:val="en-US" w:eastAsia="zh-CN" w:bidi="ar-SA"/>
        </w:rPr>
      </w:pPr>
      <w:r>
        <w:rPr>
          <w:rFonts w:hint="eastAsia" w:ascii="宋体" w:hAnsi="宋体" w:eastAsia="宋体" w:cs="宋体"/>
          <w:snapToGrid/>
          <w:spacing w:val="0"/>
          <w:kern w:val="2"/>
          <w:sz w:val="28"/>
          <w:szCs w:val="22"/>
          <w:lang w:val="en-US" w:eastAsia="zh-CN" w:bidi="ar-SA"/>
        </w:rPr>
        <w:t>将税务政策进行推送前，首先将所有有效的税务政策进行统计，并提取税务政策中的税务主体类型和税务限制条件；</w:t>
      </w:r>
    </w:p>
    <w:p w14:paraId="4BD495C3">
      <w:pPr>
        <w:pStyle w:val="22"/>
        <w:rPr>
          <w:rFonts w:hint="eastAsia" w:ascii="宋体" w:hAnsi="宋体" w:eastAsia="宋体" w:cs="宋体"/>
          <w:snapToGrid/>
          <w:spacing w:val="0"/>
          <w:kern w:val="2"/>
          <w:sz w:val="28"/>
          <w:szCs w:val="22"/>
          <w:lang w:val="en-US" w:eastAsia="zh-CN" w:bidi="ar-SA"/>
        </w:rPr>
      </w:pPr>
      <w:r>
        <w:rPr>
          <w:rFonts w:hint="eastAsia" w:ascii="宋体" w:hAnsi="宋体" w:eastAsia="宋体" w:cs="宋体"/>
          <w:snapToGrid/>
          <w:spacing w:val="0"/>
          <w:kern w:val="2"/>
          <w:sz w:val="28"/>
          <w:szCs w:val="22"/>
          <w:lang w:val="en-US" w:eastAsia="zh-CN" w:bidi="ar-SA"/>
        </w:rPr>
        <w:t>根据税务主体类型将所有有效的税务政策进行归类，得到政策归类集；</w:t>
      </w:r>
    </w:p>
    <w:p w14:paraId="12DA69A7">
      <w:pPr>
        <w:pStyle w:val="22"/>
        <w:rPr>
          <w:rFonts w:hint="eastAsia" w:ascii="宋体" w:hAnsi="宋体" w:eastAsia="宋体" w:cs="宋体"/>
          <w:snapToGrid/>
          <w:spacing w:val="0"/>
          <w:kern w:val="2"/>
          <w:sz w:val="28"/>
          <w:szCs w:val="22"/>
          <w:lang w:val="en-US" w:eastAsia="zh-CN" w:bidi="ar-SA"/>
        </w:rPr>
      </w:pPr>
      <w:r>
        <w:rPr>
          <w:rFonts w:hint="eastAsia" w:ascii="宋体" w:hAnsi="宋体" w:eastAsia="宋体" w:cs="宋体"/>
          <w:snapToGrid/>
          <w:spacing w:val="0"/>
          <w:kern w:val="2"/>
          <w:sz w:val="28"/>
          <w:szCs w:val="22"/>
          <w:lang w:val="en-US" w:eastAsia="zh-CN" w:bidi="ar-SA"/>
        </w:rPr>
        <w:t>将政策归类集中所有有效的税务政策根据税务限制条件中的税务限制金额进行降序排列，得到政策排序集；</w:t>
      </w:r>
    </w:p>
    <w:p w14:paraId="2BB40637">
      <w:pPr>
        <w:pStyle w:val="22"/>
        <w:rPr>
          <w:rFonts w:hint="eastAsia" w:ascii="宋体" w:hAnsi="宋体" w:eastAsia="宋体" w:cs="宋体"/>
          <w:snapToGrid/>
          <w:spacing w:val="0"/>
          <w:kern w:val="2"/>
          <w:sz w:val="28"/>
          <w:szCs w:val="22"/>
          <w:lang w:val="en-US" w:eastAsia="zh-CN" w:bidi="ar-SA"/>
        </w:rPr>
      </w:pPr>
      <w:r>
        <w:rPr>
          <w:rFonts w:hint="eastAsia" w:ascii="宋体" w:hAnsi="宋体" w:eastAsia="宋体" w:cs="宋体"/>
          <w:snapToGrid/>
          <w:spacing w:val="0"/>
          <w:kern w:val="2"/>
          <w:sz w:val="28"/>
          <w:szCs w:val="22"/>
          <w:lang w:val="en-US" w:eastAsia="zh-CN" w:bidi="ar-SA"/>
        </w:rPr>
        <w:t>根据预设的监测时间间隔对所有公司的</w:t>
      </w:r>
      <w:r>
        <w:rPr>
          <w:rFonts w:hint="eastAsia" w:ascii="宋体" w:hAnsi="宋体" w:eastAsia="宋体" w:cs="宋体"/>
          <w:snapToGrid w:val="0"/>
          <w:spacing w:val="6"/>
          <w:kern w:val="0"/>
          <w:sz w:val="28"/>
          <w:szCs w:val="22"/>
          <w:lang w:val="en-US" w:eastAsia="zh-CN" w:bidi="ar-SA"/>
        </w:rPr>
        <w:t>电子发票税务数据</w:t>
      </w:r>
      <w:r>
        <w:rPr>
          <w:rFonts w:hint="eastAsia" w:ascii="宋体" w:hAnsi="宋体" w:eastAsia="宋体" w:cs="宋体"/>
          <w:snapToGrid/>
          <w:spacing w:val="0"/>
          <w:kern w:val="2"/>
          <w:sz w:val="28"/>
          <w:szCs w:val="22"/>
          <w:lang w:val="en-US" w:eastAsia="zh-CN" w:bidi="ar-SA"/>
        </w:rPr>
        <w:t>进行评估，采集统计所有公司的电子发票税务数据中初审合格的发票总金额并取值标记为P1；</w:t>
      </w:r>
    </w:p>
    <w:p w14:paraId="70FFA4D3">
      <w:pPr>
        <w:pStyle w:val="22"/>
        <w:rPr>
          <w:rFonts w:hint="eastAsia" w:ascii="宋体" w:hAnsi="宋体" w:eastAsia="宋体" w:cs="宋体"/>
          <w:snapToGrid/>
          <w:spacing w:val="0"/>
          <w:kern w:val="2"/>
          <w:sz w:val="28"/>
          <w:szCs w:val="22"/>
          <w:lang w:val="en-US" w:eastAsia="zh-CN" w:bidi="ar-SA"/>
        </w:rPr>
      </w:pPr>
      <w:r>
        <w:rPr>
          <w:rFonts w:hint="eastAsia" w:ascii="宋体" w:hAnsi="宋体" w:eastAsia="宋体" w:cs="宋体"/>
          <w:snapToGrid/>
          <w:spacing w:val="0"/>
          <w:kern w:val="2"/>
          <w:sz w:val="28"/>
          <w:szCs w:val="22"/>
          <w:lang w:val="en-US" w:eastAsia="zh-CN" w:bidi="ar-SA"/>
        </w:rPr>
        <w:t>采集统计所有公司的电子发票税务数据中初审异常的发票总金额并取值标记为P2；</w:t>
      </w:r>
    </w:p>
    <w:p w14:paraId="5AB5F414">
      <w:pPr>
        <w:pStyle w:val="22"/>
        <w:rPr>
          <w:rFonts w:hint="eastAsia" w:ascii="宋体" w:hAnsi="宋体" w:eastAsia="宋体" w:cs="宋体"/>
          <w:snapToGrid/>
          <w:spacing w:val="0"/>
          <w:kern w:val="2"/>
          <w:sz w:val="28"/>
          <w:szCs w:val="22"/>
          <w:lang w:val="en-US" w:eastAsia="zh-CN" w:bidi="ar-SA"/>
        </w:rPr>
      </w:pPr>
      <w:r>
        <w:rPr>
          <w:rFonts w:hint="eastAsia" w:ascii="宋体" w:hAnsi="宋体" w:eastAsia="宋体" w:cs="宋体"/>
          <w:snapToGrid/>
          <w:spacing w:val="0"/>
          <w:kern w:val="2"/>
          <w:sz w:val="28"/>
          <w:szCs w:val="22"/>
          <w:lang w:val="en-US" w:eastAsia="zh-CN" w:bidi="ar-SA"/>
        </w:rPr>
        <w:t>采集统计所有公司的达标交易的总次数并取值标记为P3；通过公式将所有公司的初审合格的发票总金额、初审异常的发票总金额和达标交易的总次数进行联立计算得到资料推估值；该公式为：</w:t>
      </w:r>
    </w:p>
    <w:p w14:paraId="61076978">
      <w:pPr>
        <w:pStyle w:val="22"/>
        <w:jc w:val="center"/>
        <w:rPr>
          <w:rFonts w:hint="eastAsia" w:ascii="宋体" w:hAnsi="宋体" w:eastAsia="宋体" w:cs="宋体"/>
          <w:snapToGrid/>
          <w:spacing w:val="0"/>
          <w:kern w:val="2"/>
          <w:sz w:val="28"/>
          <w:szCs w:val="22"/>
          <w:lang w:val="en-US" w:eastAsia="zh-CN" w:bidi="ar-SA"/>
        </w:rPr>
      </w:pPr>
      <w:r>
        <w:rPr>
          <w:rFonts w:hint="eastAsia" w:ascii="宋体" w:hAnsi="宋体" w:eastAsia="宋体" w:cs="宋体"/>
          <w:snapToGrid/>
          <w:spacing w:val="0"/>
          <w:kern w:val="2"/>
          <w:sz w:val="28"/>
          <w:szCs w:val="22"/>
          <w:lang w:val="en-US" w:eastAsia="zh-CN" w:bidi="ar-SA"/>
        </w:rPr>
        <w:t>TG=LG×(b1×P1-b2×P2+b3×P3)</w:t>
      </w:r>
    </w:p>
    <w:p w14:paraId="35917DE4">
      <w:pPr>
        <w:pStyle w:val="22"/>
        <w:rPr>
          <w:rFonts w:hint="eastAsia" w:ascii="宋体" w:hAnsi="宋体" w:eastAsia="宋体" w:cs="宋体"/>
          <w:snapToGrid/>
          <w:spacing w:val="0"/>
          <w:kern w:val="2"/>
          <w:sz w:val="28"/>
          <w:szCs w:val="22"/>
          <w:lang w:val="en-US" w:eastAsia="zh-CN" w:bidi="ar-SA"/>
        </w:rPr>
      </w:pPr>
      <w:r>
        <w:rPr>
          <w:rFonts w:hint="eastAsia" w:ascii="宋体" w:hAnsi="宋体" w:eastAsia="宋体" w:cs="宋体"/>
          <w:snapToGrid/>
          <w:spacing w:val="0"/>
          <w:kern w:val="2"/>
          <w:sz w:val="28"/>
          <w:szCs w:val="22"/>
          <w:lang w:val="en-US" w:eastAsia="zh-CN" w:bidi="ar-SA"/>
        </w:rPr>
        <w:t>式中，b1、b2、b3为不同的比例系数，0＜b3＜b2＜b1；</w:t>
      </w:r>
    </w:p>
    <w:p w14:paraId="3A7E9B06">
      <w:pPr>
        <w:pStyle w:val="22"/>
        <w:rPr>
          <w:rFonts w:hint="eastAsia" w:ascii="宋体" w:hAnsi="宋体" w:eastAsia="宋体" w:cs="宋体"/>
          <w:snapToGrid/>
          <w:spacing w:val="0"/>
          <w:kern w:val="2"/>
          <w:sz w:val="28"/>
          <w:szCs w:val="22"/>
          <w:lang w:val="en-US" w:eastAsia="zh-CN" w:bidi="ar-SA"/>
        </w:rPr>
      </w:pPr>
      <w:r>
        <w:rPr>
          <w:rFonts w:hint="eastAsia" w:ascii="宋体" w:hAnsi="宋体" w:eastAsia="宋体" w:cs="宋体"/>
          <w:snapToGrid/>
          <w:spacing w:val="0"/>
          <w:kern w:val="2"/>
          <w:sz w:val="28"/>
          <w:szCs w:val="22"/>
          <w:lang w:val="en-US" w:eastAsia="zh-CN" w:bidi="ar-SA"/>
        </w:rPr>
        <w:t>将相同公司类别的资料推估值进行降序排列，得到若干个资料推估排序集，并将若干个资料推估排序集中排前k位的资料推估值设定为目标推估值，k为正整数，将目标推估值对应的公司设定为目标公司；</w:t>
      </w:r>
    </w:p>
    <w:p w14:paraId="027488F1">
      <w:pPr>
        <w:pStyle w:val="22"/>
        <w:rPr>
          <w:rFonts w:hint="eastAsia" w:ascii="宋体" w:hAnsi="宋体" w:eastAsia="宋体" w:cs="宋体"/>
          <w:snapToGrid/>
          <w:spacing w:val="0"/>
          <w:kern w:val="2"/>
          <w:sz w:val="28"/>
          <w:szCs w:val="22"/>
          <w:lang w:val="en-US" w:eastAsia="zh-CN" w:bidi="ar-SA"/>
        </w:rPr>
      </w:pPr>
      <w:r>
        <w:rPr>
          <w:rFonts w:hint="eastAsia" w:ascii="宋体" w:hAnsi="宋体" w:eastAsia="宋体" w:cs="宋体"/>
          <w:snapToGrid/>
          <w:spacing w:val="0"/>
          <w:kern w:val="2"/>
          <w:sz w:val="28"/>
          <w:szCs w:val="22"/>
          <w:lang w:val="en-US" w:eastAsia="zh-CN" w:bidi="ar-SA"/>
        </w:rPr>
        <w:t>将政策排序集中排序的若干个税务政策自适应的推送给相关联的若干个目标公司。</w:t>
      </w:r>
    </w:p>
    <w:p w14:paraId="4153C7BC">
      <w:pPr>
        <w:pStyle w:val="22"/>
        <w:ind w:left="0" w:leftChars="0" w:firstLine="560" w:firstLineChars="200"/>
        <w:rPr>
          <w:rFonts w:hint="eastAsia" w:ascii="宋体" w:hAnsi="宋体" w:eastAsia="宋体" w:cs="宋体"/>
          <w:snapToGrid/>
          <w:spacing w:val="0"/>
          <w:kern w:val="2"/>
          <w:sz w:val="28"/>
          <w:szCs w:val="22"/>
          <w:lang w:val="en-US" w:eastAsia="zh-CN" w:bidi="ar-SA"/>
        </w:rPr>
      </w:pPr>
      <w:r>
        <w:rPr>
          <w:rFonts w:hint="eastAsia" w:ascii="宋体" w:hAnsi="宋体" w:eastAsia="宋体" w:cs="宋体"/>
          <w:snapToGrid/>
          <w:spacing w:val="0"/>
          <w:kern w:val="2"/>
          <w:sz w:val="28"/>
          <w:szCs w:val="22"/>
          <w:lang w:val="en-US" w:eastAsia="zh-CN" w:bidi="ar-SA"/>
        </w:rPr>
        <w:t>与现有方案相比，本发明的有益效果：</w:t>
      </w:r>
    </w:p>
    <w:p w14:paraId="2AD48FC2">
      <w:pPr>
        <w:pStyle w:val="22"/>
        <w:numPr>
          <w:ilvl w:val="0"/>
          <w:numId w:val="0"/>
        </w:numPr>
        <w:ind w:firstLine="560" w:firstLineChars="200"/>
        <w:rPr>
          <w:rFonts w:hint="eastAsia" w:ascii="宋体" w:hAnsi="宋体" w:eastAsia="宋体" w:cs="宋体"/>
          <w:snapToGrid/>
          <w:spacing w:val="0"/>
          <w:kern w:val="2"/>
          <w:sz w:val="28"/>
          <w:szCs w:val="22"/>
          <w:lang w:val="en-US" w:eastAsia="zh-CN" w:bidi="ar-SA"/>
        </w:rPr>
      </w:pPr>
      <w:r>
        <w:rPr>
          <w:rFonts w:hint="eastAsia" w:ascii="宋体" w:hAnsi="宋体" w:eastAsia="宋体" w:cs="宋体"/>
          <w:snapToGrid/>
          <w:spacing w:val="0"/>
          <w:kern w:val="2"/>
          <w:sz w:val="28"/>
          <w:szCs w:val="22"/>
          <w:lang w:val="en-US" w:eastAsia="zh-CN" w:bidi="ar-SA"/>
        </w:rPr>
        <w:t>1、本发明通过互联网网签平台获取交易过程中的企业名称及其开具的电子发票，通过对获取的电子发票进行有效性审核，分析判断对应公司开的电子发票是否真实有效，可以高效快速的发现不合规的税务行为，提高了电子发票的真实性和有效性；通过对审核后的电子发票进行归类和评估，可以有效提高电子发票的预处理结果，同时还可以为后续的税务政策的自适应推送提供了有效的数据支撑。</w:t>
      </w:r>
    </w:p>
    <w:p w14:paraId="3B9662AE">
      <w:pPr>
        <w:pStyle w:val="22"/>
        <w:numPr>
          <w:ilvl w:val="0"/>
          <w:numId w:val="0"/>
        </w:numPr>
        <w:ind w:firstLine="560" w:firstLineChars="200"/>
        <w:rPr>
          <w:rFonts w:hint="eastAsia" w:ascii="宋体" w:hAnsi="宋体" w:eastAsia="宋体" w:cs="宋体"/>
          <w:snapToGrid/>
          <w:spacing w:val="0"/>
          <w:kern w:val="2"/>
          <w:sz w:val="28"/>
          <w:szCs w:val="22"/>
          <w:lang w:val="en-US" w:eastAsia="zh-CN" w:bidi="ar-SA"/>
        </w:rPr>
      </w:pPr>
      <w:r>
        <w:rPr>
          <w:rFonts w:hint="eastAsia" w:ascii="宋体" w:hAnsi="宋体" w:eastAsia="宋体" w:cs="宋体"/>
          <w:snapToGrid/>
          <w:spacing w:val="0"/>
          <w:kern w:val="2"/>
          <w:sz w:val="28"/>
          <w:szCs w:val="22"/>
          <w:lang w:val="en-US" w:eastAsia="zh-CN" w:bidi="ar-SA"/>
        </w:rPr>
        <w:t>2、本发明通过将分类评估后的公司整体交易情况与相关联的税务政策进行联立匹配，将相同类型的税务政策自适应的动态推送给符合要求的对应领域的公司，拓展了</w:t>
      </w:r>
      <w:r>
        <w:rPr>
          <w:rFonts w:hint="eastAsia" w:ascii="宋体" w:hAnsi="宋体" w:eastAsia="宋体" w:cs="宋体"/>
          <w:snapToGrid w:val="0"/>
          <w:spacing w:val="6"/>
          <w:kern w:val="0"/>
          <w:sz w:val="28"/>
          <w:szCs w:val="22"/>
          <w:lang w:val="en-US" w:eastAsia="zh-CN" w:bidi="ar-SA"/>
        </w:rPr>
        <w:t>电子发票税务数据智能分析的应用效果，相比于现有方案中单一的数据分析，本发明可以实现更宽广的税务数据分析效果</w:t>
      </w:r>
      <w:r>
        <w:rPr>
          <w:rFonts w:hint="eastAsia" w:ascii="宋体" w:hAnsi="宋体" w:eastAsia="宋体" w:cs="宋体"/>
          <w:snapToGrid/>
          <w:spacing w:val="0"/>
          <w:kern w:val="2"/>
          <w:sz w:val="28"/>
          <w:szCs w:val="22"/>
          <w:lang w:val="en-US" w:eastAsia="zh-CN" w:bidi="ar-SA"/>
        </w:rPr>
        <w:t>。</w:t>
      </w:r>
    </w:p>
    <w:p w14:paraId="05D26A9C">
      <w:pPr>
        <w:spacing w:line="520" w:lineRule="exact"/>
        <w:ind w:firstLine="570"/>
        <w:rPr>
          <w:rFonts w:hint="eastAsia" w:ascii="宋体" w:hAnsi="宋体" w:eastAsia="宋体" w:cs="宋体"/>
          <w:sz w:val="28"/>
        </w:rPr>
      </w:pPr>
      <w:r>
        <w:rPr>
          <w:rFonts w:hint="eastAsia" w:ascii="宋体" w:hAnsi="宋体" w:eastAsia="宋体" w:cs="宋体"/>
          <w:b/>
          <w:bCs/>
          <w:sz w:val="30"/>
          <w:szCs w:val="30"/>
        </w:rPr>
        <w:t>附图说明</w:t>
      </w:r>
    </w:p>
    <w:p w14:paraId="7CED8305">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宋体" w:hAnsi="宋体" w:eastAsia="宋体" w:cs="宋体"/>
          <w:snapToGrid w:val="0"/>
          <w:spacing w:val="6"/>
          <w:kern w:val="0"/>
          <w:sz w:val="28"/>
          <w:szCs w:val="22"/>
          <w:lang w:val="en-US" w:eastAsia="zh-CN" w:bidi="ar-SA"/>
        </w:rPr>
      </w:pPr>
      <w:r>
        <w:rPr>
          <w:rFonts w:hint="eastAsia" w:ascii="宋体" w:hAnsi="宋体" w:eastAsia="宋体" w:cs="宋体"/>
          <w:snapToGrid/>
          <w:spacing w:val="0"/>
          <w:kern w:val="2"/>
          <w:sz w:val="28"/>
          <w:szCs w:val="22"/>
          <w:lang w:val="en-US" w:eastAsia="zh-CN" w:bidi="ar-SA"/>
        </w:rPr>
        <w:t>图1为本</w:t>
      </w:r>
      <w:r>
        <w:rPr>
          <w:rFonts w:hint="eastAsia" w:ascii="宋体" w:hAnsi="宋体" w:eastAsia="宋体" w:cs="宋体"/>
          <w:snapToGrid w:val="0"/>
          <w:spacing w:val="6"/>
          <w:kern w:val="0"/>
          <w:sz w:val="28"/>
          <w:szCs w:val="22"/>
          <w:lang w:val="en-US" w:eastAsia="zh-CN" w:bidi="ar-SA"/>
        </w:rPr>
        <w:t>发明一种基于互联网的电子发票税务数据智能分析方法的流程示意图。</w:t>
      </w:r>
    </w:p>
    <w:p w14:paraId="5E4059FB">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宋体" w:hAnsi="宋体" w:eastAsia="宋体" w:cs="宋体"/>
          <w:snapToGrid/>
          <w:spacing w:val="0"/>
          <w:kern w:val="2"/>
          <w:sz w:val="28"/>
          <w:szCs w:val="22"/>
          <w:lang w:val="en-US" w:eastAsia="zh-CN" w:bidi="ar-SA"/>
        </w:rPr>
      </w:pPr>
      <w:r>
        <w:rPr>
          <w:rFonts w:hint="eastAsia" w:ascii="宋体" w:hAnsi="宋体" w:eastAsia="宋体" w:cs="宋体"/>
          <w:snapToGrid/>
          <w:spacing w:val="0"/>
          <w:kern w:val="2"/>
          <w:sz w:val="28"/>
          <w:szCs w:val="22"/>
          <w:lang w:val="en-US" w:eastAsia="zh-CN" w:bidi="ar-SA"/>
        </w:rPr>
        <w:t>图2为本</w:t>
      </w:r>
      <w:r>
        <w:rPr>
          <w:rFonts w:hint="eastAsia" w:ascii="宋体" w:hAnsi="宋体" w:eastAsia="宋体" w:cs="宋体"/>
          <w:snapToGrid w:val="0"/>
          <w:spacing w:val="6"/>
          <w:kern w:val="0"/>
          <w:sz w:val="28"/>
          <w:szCs w:val="22"/>
          <w:lang w:val="en-US" w:eastAsia="zh-CN" w:bidi="ar-SA"/>
        </w:rPr>
        <w:t>发明一种基于互联网的电子发票税务数据智能分析方法的电子设备的结构示意图</w:t>
      </w:r>
      <w:r>
        <w:rPr>
          <w:rFonts w:hint="eastAsia" w:ascii="宋体" w:hAnsi="宋体" w:eastAsia="宋体" w:cs="宋体"/>
          <w:snapToGrid/>
          <w:spacing w:val="0"/>
          <w:kern w:val="2"/>
          <w:sz w:val="28"/>
          <w:szCs w:val="22"/>
          <w:lang w:val="en-US" w:eastAsia="zh-CN" w:bidi="ar-SA"/>
        </w:rPr>
        <w:t>。</w:t>
      </w:r>
    </w:p>
    <w:p w14:paraId="5BD44379">
      <w:pPr>
        <w:spacing w:line="520" w:lineRule="exact"/>
        <w:ind w:firstLine="570"/>
        <w:rPr>
          <w:rFonts w:hint="eastAsia" w:ascii="宋体" w:hAnsi="宋体" w:eastAsia="宋体" w:cs="宋体"/>
          <w:b/>
          <w:bCs/>
          <w:sz w:val="30"/>
          <w:szCs w:val="30"/>
        </w:rPr>
      </w:pPr>
      <w:r>
        <w:rPr>
          <w:rFonts w:hint="eastAsia" w:ascii="宋体" w:hAnsi="宋体" w:eastAsia="宋体" w:cs="宋体"/>
          <w:b/>
          <w:bCs/>
          <w:sz w:val="30"/>
          <w:szCs w:val="30"/>
        </w:rPr>
        <w:t>具体实施方式</w:t>
      </w:r>
    </w:p>
    <w:p w14:paraId="6B1778FC">
      <w:pPr>
        <w:pStyle w:val="22"/>
        <w:numPr>
          <w:ilvl w:val="0"/>
          <w:numId w:val="0"/>
        </w:numPr>
        <w:ind w:firstLine="560" w:firstLineChars="200"/>
        <w:rPr>
          <w:rFonts w:hint="eastAsia" w:ascii="宋体" w:hAnsi="宋体" w:eastAsia="宋体" w:cs="宋体"/>
          <w:snapToGrid/>
          <w:spacing w:val="0"/>
          <w:kern w:val="2"/>
          <w:sz w:val="28"/>
          <w:szCs w:val="22"/>
          <w:lang w:val="en-US" w:eastAsia="zh-CN" w:bidi="ar-SA"/>
        </w:rPr>
      </w:pPr>
      <w:r>
        <w:rPr>
          <w:rFonts w:hint="eastAsia" w:ascii="宋体" w:hAnsi="宋体" w:eastAsia="宋体" w:cs="宋体"/>
          <w:snapToGrid/>
          <w:spacing w:val="0"/>
          <w:kern w:val="2"/>
          <w:sz w:val="28"/>
          <w:szCs w:val="22"/>
          <w:lang w:val="en-US" w:eastAsia="zh-CN" w:bidi="ar-SA"/>
        </w:rPr>
        <w:t>下面将结合实施例对本发明的技术方案进行清楚、完整地描述，显然，所描述的实施例仅仅是本发明一部分实施例，而不是全部的实施例。基于本发明中的实施例，本领域普通技术人员在没有做出创造性劳动前提下所获得的所有其它实施例，都属于本发明保护的范围。</w:t>
      </w:r>
    </w:p>
    <w:p w14:paraId="56F2967D">
      <w:pPr>
        <w:pStyle w:val="22"/>
        <w:numPr>
          <w:ilvl w:val="0"/>
          <w:numId w:val="0"/>
        </w:numPr>
        <w:ind w:firstLine="560" w:firstLineChars="200"/>
        <w:rPr>
          <w:rFonts w:hint="eastAsia" w:ascii="宋体" w:hAnsi="宋体" w:eastAsia="宋体" w:cs="宋体"/>
          <w:snapToGrid/>
          <w:spacing w:val="0"/>
          <w:kern w:val="2"/>
          <w:sz w:val="28"/>
          <w:szCs w:val="22"/>
          <w:lang w:val="en-US" w:eastAsia="zh-CN" w:bidi="ar-SA"/>
        </w:rPr>
      </w:pPr>
      <w:r>
        <w:rPr>
          <w:rFonts w:hint="eastAsia" w:ascii="宋体" w:hAnsi="宋体" w:eastAsia="宋体" w:cs="宋体"/>
          <w:snapToGrid/>
          <w:spacing w:val="0"/>
          <w:kern w:val="2"/>
          <w:sz w:val="28"/>
          <w:szCs w:val="22"/>
          <w:lang w:val="en-US" w:eastAsia="zh-CN" w:bidi="ar-SA"/>
        </w:rPr>
        <w:t>这里使用的术语用于描述实施例，并不意图限制和/或限制本公开；应该注意的是，除非上下文另有明确指示，否则单数形式的“一”、“一个”和“该”也包括复数形式；而且，尽管属于“第一”、“第二”等可以在本文中用于描述各种元件，但是元件不受这些术语的限制，这些术语仅用于区分一个元素和另一个元素。</w:t>
      </w:r>
    </w:p>
    <w:p w14:paraId="4B40605A">
      <w:pPr>
        <w:pStyle w:val="22"/>
        <w:ind w:left="0" w:leftChars="0" w:firstLine="584" w:firstLineChars="200"/>
        <w:rPr>
          <w:rFonts w:hint="default" w:ascii="宋体" w:hAnsi="宋体" w:eastAsia="宋体" w:cs="宋体"/>
          <w:sz w:val="28"/>
          <w:szCs w:val="22"/>
          <w:lang w:val="en-US" w:eastAsia="zh-CN"/>
        </w:rPr>
      </w:pPr>
      <w:r>
        <w:rPr>
          <w:rFonts w:hint="eastAsia" w:ascii="宋体" w:hAnsi="宋体" w:eastAsia="宋体" w:cs="宋体"/>
          <w:sz w:val="28"/>
          <w:szCs w:val="22"/>
          <w:lang w:val="en-US" w:eastAsia="zh-CN"/>
        </w:rPr>
        <w:t>参照图1所示，为本发明一实施例提供的</w:t>
      </w:r>
      <w:r>
        <w:rPr>
          <w:rFonts w:hint="eastAsia" w:ascii="宋体" w:hAnsi="宋体" w:eastAsia="宋体" w:cs="宋体"/>
          <w:snapToGrid/>
          <w:spacing w:val="0"/>
          <w:kern w:val="2"/>
          <w:sz w:val="28"/>
          <w:szCs w:val="22"/>
          <w:lang w:val="en-US" w:eastAsia="zh-CN" w:bidi="ar-SA"/>
        </w:rPr>
        <w:t>一种基于互联网的电子发票税务数据智能分析方法</w:t>
      </w:r>
      <w:r>
        <w:rPr>
          <w:rFonts w:hint="eastAsia" w:ascii="宋体" w:hAnsi="宋体" w:eastAsia="宋体" w:cs="宋体"/>
          <w:sz w:val="28"/>
          <w:szCs w:val="22"/>
          <w:lang w:val="en-US" w:eastAsia="zh-CN"/>
        </w:rPr>
        <w:t>的流程示意图。在本发明实施例中，区别于现有方案中对电子发票进行单一的数据分析，本发明实施例通过对不同类型公司的电子发票进行有效性验证，并将验证合格的电子发票与公司的企业经营范围进行联立，对公司整体的达标交易情况进行分析评估，同时将不同类型的税收政策进行预处理，实现不同类型的税务政策自适应的向相关联的公司进行推送</w:t>
      </w:r>
      <w:r>
        <w:rPr>
          <w:rFonts w:hint="eastAsia" w:ascii="宋体" w:hAnsi="宋体" w:eastAsia="宋体" w:cs="宋体"/>
          <w:snapToGrid/>
          <w:spacing w:val="0"/>
          <w:kern w:val="2"/>
          <w:sz w:val="28"/>
          <w:szCs w:val="22"/>
          <w:lang w:val="en-US" w:eastAsia="zh-CN" w:bidi="ar-SA"/>
        </w:rPr>
        <w:t>，实现了对电子发票税务数据分析的拓展，有效提高了电子发票税务数据分析的整体效果</w:t>
      </w:r>
      <w:r>
        <w:rPr>
          <w:rFonts w:hint="eastAsia" w:ascii="宋体" w:hAnsi="宋体" w:eastAsia="宋体" w:cs="宋体"/>
          <w:sz w:val="28"/>
          <w:szCs w:val="22"/>
          <w:lang w:val="en-US" w:eastAsia="zh-CN"/>
        </w:rPr>
        <w:t>。</w:t>
      </w:r>
    </w:p>
    <w:p w14:paraId="6541A5EB">
      <w:pPr>
        <w:pStyle w:val="22"/>
        <w:ind w:left="0" w:leftChars="0" w:firstLine="560" w:firstLineChars="200"/>
        <w:rPr>
          <w:rFonts w:hint="eastAsia" w:ascii="宋体" w:hAnsi="宋体" w:eastAsia="宋体" w:cs="宋体"/>
          <w:snapToGrid/>
          <w:spacing w:val="0"/>
          <w:kern w:val="2"/>
          <w:sz w:val="28"/>
          <w:szCs w:val="22"/>
          <w:lang w:val="en-US" w:eastAsia="zh-CN" w:bidi="ar-SA"/>
        </w:rPr>
      </w:pPr>
      <w:r>
        <w:rPr>
          <w:rFonts w:hint="eastAsia" w:ascii="宋体" w:hAnsi="宋体" w:eastAsia="宋体" w:cs="宋体"/>
          <w:snapToGrid/>
          <w:spacing w:val="0"/>
          <w:kern w:val="2"/>
          <w:sz w:val="28"/>
          <w:szCs w:val="22"/>
          <w:lang w:val="en-US" w:eastAsia="zh-CN" w:bidi="ar-SA"/>
        </w:rPr>
        <w:t>一种基于互联网的电子发票税务数据智能分析方法，具体的步骤包括：</w:t>
      </w:r>
    </w:p>
    <w:p w14:paraId="666E0F12">
      <w:pPr>
        <w:pStyle w:val="22"/>
        <w:ind w:left="0" w:leftChars="0" w:firstLine="560" w:firstLineChars="200"/>
        <w:rPr>
          <w:rFonts w:hint="eastAsia" w:ascii="宋体" w:hAnsi="宋体" w:eastAsia="宋体" w:cs="宋体"/>
          <w:snapToGrid/>
          <w:spacing w:val="0"/>
          <w:kern w:val="2"/>
          <w:sz w:val="28"/>
          <w:szCs w:val="22"/>
          <w:lang w:val="en-US" w:eastAsia="zh-CN" w:bidi="ar-SA"/>
        </w:rPr>
      </w:pPr>
      <w:r>
        <w:rPr>
          <w:rFonts w:hint="eastAsia" w:ascii="宋体" w:hAnsi="宋体" w:eastAsia="宋体" w:cs="宋体"/>
          <w:snapToGrid/>
          <w:spacing w:val="0"/>
          <w:kern w:val="2"/>
          <w:sz w:val="28"/>
          <w:szCs w:val="22"/>
          <w:lang w:val="en-US" w:eastAsia="zh-CN" w:bidi="ar-SA"/>
        </w:rPr>
        <w:t>S1：通过互联网网签平台获取交易过程中的企业名称及其开具的电子发票，获取电子发票的发票类型、发票金额和发票号码，企业名称及其开具的电子发票构成税务数据，并将税务数据发送至数据库中；</w:t>
      </w:r>
    </w:p>
    <w:p w14:paraId="4C04357D">
      <w:pPr>
        <w:pStyle w:val="22"/>
        <w:ind w:left="0" w:leftChars="0" w:firstLine="560" w:firstLineChars="200"/>
        <w:rPr>
          <w:rFonts w:hint="eastAsia" w:ascii="宋体" w:hAnsi="宋体" w:eastAsia="宋体" w:cs="宋体"/>
          <w:snapToGrid/>
          <w:spacing w:val="0"/>
          <w:kern w:val="2"/>
          <w:sz w:val="28"/>
          <w:szCs w:val="22"/>
          <w:lang w:val="en-US" w:eastAsia="zh-CN" w:bidi="ar-SA"/>
        </w:rPr>
      </w:pPr>
      <w:r>
        <w:rPr>
          <w:rFonts w:hint="eastAsia" w:ascii="宋体" w:hAnsi="宋体" w:eastAsia="宋体" w:cs="宋体"/>
          <w:snapToGrid/>
          <w:spacing w:val="0"/>
          <w:kern w:val="2"/>
          <w:sz w:val="28"/>
          <w:szCs w:val="22"/>
          <w:lang w:val="en-US" w:eastAsia="zh-CN" w:bidi="ar-SA"/>
        </w:rPr>
        <w:t>本发明实施例中，通过对不同企业开具的电子发票进行采集，并将电子发票中的发票类型、发票金额和发票号码进行统计，可以从不同方面来对电子发票进行审核分析，有效提高了电子发票应用的安全性。</w:t>
      </w:r>
    </w:p>
    <w:p w14:paraId="5C2A7E1F">
      <w:pPr>
        <w:pStyle w:val="22"/>
        <w:ind w:left="0" w:leftChars="0" w:firstLine="560" w:firstLineChars="200"/>
        <w:rPr>
          <w:rFonts w:hint="eastAsia" w:ascii="宋体" w:hAnsi="宋体" w:eastAsia="宋体" w:cs="宋体"/>
          <w:snapToGrid/>
          <w:spacing w:val="0"/>
          <w:kern w:val="2"/>
          <w:sz w:val="28"/>
          <w:szCs w:val="22"/>
          <w:lang w:val="en-US" w:eastAsia="zh-CN" w:bidi="ar-SA"/>
        </w:rPr>
      </w:pPr>
      <w:r>
        <w:rPr>
          <w:rFonts w:hint="eastAsia" w:ascii="宋体" w:hAnsi="宋体" w:eastAsia="宋体" w:cs="宋体"/>
          <w:snapToGrid/>
          <w:spacing w:val="0"/>
          <w:kern w:val="2"/>
          <w:sz w:val="28"/>
          <w:szCs w:val="22"/>
          <w:lang w:val="en-US" w:eastAsia="zh-CN" w:bidi="ar-SA"/>
        </w:rPr>
        <w:t>S2：数据库接收到税务数据后生成审核指令，并根据审核指令对税务数据进行有效性审核，得到初审合格或者初审异常的税务审核结果；具体的步骤包括：</w:t>
      </w:r>
    </w:p>
    <w:p w14:paraId="36AF8E2D">
      <w:pPr>
        <w:pStyle w:val="22"/>
        <w:ind w:left="0" w:leftChars="0" w:firstLine="560" w:firstLineChars="200"/>
        <w:rPr>
          <w:rFonts w:hint="eastAsia" w:ascii="宋体" w:hAnsi="宋体" w:eastAsia="宋体" w:cs="宋体"/>
          <w:snapToGrid/>
          <w:spacing w:val="0"/>
          <w:kern w:val="2"/>
          <w:sz w:val="28"/>
          <w:szCs w:val="22"/>
          <w:lang w:val="en-US" w:eastAsia="zh-CN" w:bidi="ar-SA"/>
        </w:rPr>
      </w:pPr>
      <w:r>
        <w:rPr>
          <w:rFonts w:hint="eastAsia" w:ascii="宋体" w:hAnsi="宋体" w:eastAsia="宋体" w:cs="宋体"/>
          <w:snapToGrid/>
          <w:spacing w:val="0"/>
          <w:kern w:val="2"/>
          <w:sz w:val="28"/>
          <w:szCs w:val="22"/>
          <w:lang w:val="en-US" w:eastAsia="zh-CN" w:bidi="ar-SA"/>
        </w:rPr>
        <w:t>获取税务数据中的企业名称以及电子发票的发票类型和发票金额；</w:t>
      </w:r>
    </w:p>
    <w:p w14:paraId="573962A8">
      <w:pPr>
        <w:pStyle w:val="22"/>
        <w:ind w:left="0" w:leftChars="0" w:firstLine="560" w:firstLineChars="200"/>
        <w:rPr>
          <w:rFonts w:hint="eastAsia" w:ascii="宋体" w:hAnsi="宋体" w:eastAsia="宋体" w:cs="宋体"/>
          <w:snapToGrid/>
          <w:spacing w:val="0"/>
          <w:kern w:val="2"/>
          <w:sz w:val="28"/>
          <w:szCs w:val="22"/>
          <w:lang w:val="en-US" w:eastAsia="zh-CN" w:bidi="ar-SA"/>
        </w:rPr>
      </w:pPr>
      <w:r>
        <w:rPr>
          <w:rFonts w:hint="eastAsia" w:ascii="宋体" w:hAnsi="宋体" w:eastAsia="宋体" w:cs="宋体"/>
          <w:snapToGrid/>
          <w:spacing w:val="0"/>
          <w:kern w:val="2"/>
          <w:sz w:val="28"/>
          <w:szCs w:val="22"/>
          <w:lang w:val="en-US" w:eastAsia="zh-CN" w:bidi="ar-SA"/>
        </w:rPr>
        <w:t>将企业名称与预构建的企业名称表进行匹配获取对应的企业经营范围并将其设定为样本范围；</w:t>
      </w:r>
    </w:p>
    <w:p w14:paraId="78F14D07">
      <w:pPr>
        <w:pStyle w:val="22"/>
        <w:ind w:left="0" w:leftChars="0" w:firstLine="560" w:firstLineChars="200"/>
        <w:rPr>
          <w:rFonts w:hint="eastAsia" w:ascii="宋体" w:hAnsi="宋体" w:eastAsia="宋体" w:cs="宋体"/>
          <w:snapToGrid/>
          <w:spacing w:val="0"/>
          <w:kern w:val="2"/>
          <w:sz w:val="28"/>
          <w:szCs w:val="22"/>
          <w:lang w:val="en-US" w:eastAsia="zh-CN" w:bidi="ar-SA"/>
        </w:rPr>
      </w:pPr>
      <w:r>
        <w:rPr>
          <w:rFonts w:hint="eastAsia" w:ascii="宋体" w:hAnsi="宋体" w:eastAsia="宋体" w:cs="宋体"/>
          <w:snapToGrid/>
          <w:spacing w:val="0"/>
          <w:kern w:val="2"/>
          <w:sz w:val="28"/>
          <w:szCs w:val="22"/>
          <w:lang w:val="en-US" w:eastAsia="zh-CN" w:bidi="ar-SA"/>
        </w:rPr>
        <w:t>其中，企业名称表由若干个企业名称及其对应的企业经营范围构成，企业经营范围包含若干个经营类型及其对应的经营权重；企业经营范围可以为企业营业执照上的经营范围，获取企业经营范围的目的是既可以获取企业的电子发票的各个类型以及经营情况，同时还可以根据企业经营范围对企业进行分类，以便针对性的将相关的税务政策进行推送，有效提高了电子发票数据分析的效果；</w:t>
      </w:r>
    </w:p>
    <w:p w14:paraId="23096A58">
      <w:pPr>
        <w:pStyle w:val="22"/>
        <w:ind w:left="0" w:leftChars="0" w:firstLine="560" w:firstLineChars="200"/>
        <w:rPr>
          <w:rFonts w:hint="eastAsia" w:ascii="宋体" w:hAnsi="宋体" w:eastAsia="宋体" w:cs="宋体"/>
          <w:snapToGrid/>
          <w:spacing w:val="0"/>
          <w:kern w:val="2"/>
          <w:sz w:val="28"/>
          <w:szCs w:val="22"/>
          <w:lang w:val="en-US" w:eastAsia="zh-CN" w:bidi="ar-SA"/>
        </w:rPr>
      </w:pPr>
      <w:r>
        <w:rPr>
          <w:rFonts w:hint="eastAsia" w:ascii="宋体" w:hAnsi="宋体" w:eastAsia="宋体" w:cs="宋体"/>
          <w:snapToGrid/>
          <w:spacing w:val="0"/>
          <w:kern w:val="2"/>
          <w:sz w:val="28"/>
          <w:szCs w:val="22"/>
          <w:lang w:val="en-US" w:eastAsia="zh-CN" w:bidi="ar-SA"/>
        </w:rPr>
        <w:t>将税务数据中的发票类型与样本范围进行遍历匹配，若样本范围中存在与发票类型相同的经营类型，则生成第一遍历信号；</w:t>
      </w:r>
    </w:p>
    <w:p w14:paraId="0BB99E10">
      <w:pPr>
        <w:pStyle w:val="22"/>
        <w:ind w:left="0" w:leftChars="0" w:firstLine="560" w:firstLineChars="200"/>
        <w:rPr>
          <w:rFonts w:hint="eastAsia" w:ascii="宋体" w:hAnsi="宋体" w:eastAsia="宋体" w:cs="宋体"/>
          <w:snapToGrid/>
          <w:spacing w:val="0"/>
          <w:kern w:val="2"/>
          <w:sz w:val="28"/>
          <w:szCs w:val="22"/>
          <w:lang w:val="en-US" w:eastAsia="zh-CN" w:bidi="ar-SA"/>
        </w:rPr>
      </w:pPr>
      <w:r>
        <w:rPr>
          <w:rFonts w:hint="eastAsia" w:ascii="宋体" w:hAnsi="宋体" w:eastAsia="宋体" w:cs="宋体"/>
          <w:snapToGrid/>
          <w:spacing w:val="0"/>
          <w:kern w:val="2"/>
          <w:sz w:val="28"/>
          <w:szCs w:val="22"/>
          <w:lang w:val="en-US" w:eastAsia="zh-CN" w:bidi="ar-SA"/>
        </w:rPr>
        <w:t>若样本范围中不存在与发票类型相同的经营类型，则生成第二遍历信号；第一遍历信号和第二遍历信号构成第一审核数据；</w:t>
      </w:r>
    </w:p>
    <w:p w14:paraId="79B9F09F">
      <w:pPr>
        <w:pStyle w:val="22"/>
        <w:ind w:left="0" w:leftChars="0" w:firstLine="560" w:firstLineChars="200"/>
        <w:rPr>
          <w:rFonts w:hint="eastAsia" w:ascii="宋体" w:hAnsi="宋体" w:eastAsia="宋体" w:cs="宋体"/>
          <w:snapToGrid/>
          <w:spacing w:val="0"/>
          <w:kern w:val="2"/>
          <w:sz w:val="28"/>
          <w:szCs w:val="22"/>
          <w:lang w:val="en-US" w:eastAsia="zh-CN" w:bidi="ar-SA"/>
        </w:rPr>
      </w:pPr>
      <w:r>
        <w:rPr>
          <w:rFonts w:hint="eastAsia" w:ascii="宋体" w:hAnsi="宋体" w:eastAsia="宋体" w:cs="宋体"/>
          <w:snapToGrid/>
          <w:spacing w:val="0"/>
          <w:kern w:val="2"/>
          <w:sz w:val="28"/>
          <w:szCs w:val="22"/>
          <w:lang w:val="en-US" w:eastAsia="zh-CN" w:bidi="ar-SA"/>
        </w:rPr>
        <w:t>根据企业名称获取发票号码对应的交易的银行流水数据，提取银行流水数据中的交易金额；</w:t>
      </w:r>
    </w:p>
    <w:p w14:paraId="09CAC07B">
      <w:pPr>
        <w:pStyle w:val="22"/>
        <w:ind w:left="0" w:leftChars="0" w:firstLine="560" w:firstLineChars="200"/>
        <w:rPr>
          <w:rFonts w:hint="eastAsia" w:ascii="宋体" w:hAnsi="宋体" w:eastAsia="宋体" w:cs="宋体"/>
          <w:snapToGrid/>
          <w:spacing w:val="0"/>
          <w:kern w:val="2"/>
          <w:sz w:val="28"/>
          <w:szCs w:val="22"/>
          <w:lang w:val="en-US" w:eastAsia="zh-CN" w:bidi="ar-SA"/>
        </w:rPr>
      </w:pPr>
      <w:r>
        <w:rPr>
          <w:rFonts w:hint="eastAsia" w:ascii="宋体" w:hAnsi="宋体" w:eastAsia="宋体" w:cs="宋体"/>
          <w:snapToGrid/>
          <w:spacing w:val="0"/>
          <w:kern w:val="2"/>
          <w:sz w:val="28"/>
          <w:szCs w:val="22"/>
          <w:lang w:val="en-US" w:eastAsia="zh-CN" w:bidi="ar-SA"/>
        </w:rPr>
        <w:t>分别获取发票金额和交易金额的数值，根据获取的数值计算两者之间的比值，若比值为1，则生成第一核验信号；</w:t>
      </w:r>
    </w:p>
    <w:p w14:paraId="6D6D7083">
      <w:pPr>
        <w:pStyle w:val="22"/>
        <w:ind w:left="0" w:leftChars="0" w:firstLine="560" w:firstLineChars="200"/>
        <w:rPr>
          <w:rFonts w:hint="eastAsia" w:ascii="宋体" w:hAnsi="宋体" w:eastAsia="宋体" w:cs="宋体"/>
          <w:snapToGrid/>
          <w:spacing w:val="0"/>
          <w:kern w:val="2"/>
          <w:sz w:val="28"/>
          <w:szCs w:val="22"/>
          <w:lang w:val="en-US" w:eastAsia="zh-CN" w:bidi="ar-SA"/>
        </w:rPr>
      </w:pPr>
      <w:r>
        <w:rPr>
          <w:rFonts w:hint="eastAsia" w:ascii="宋体" w:hAnsi="宋体" w:eastAsia="宋体" w:cs="宋体"/>
          <w:snapToGrid/>
          <w:spacing w:val="0"/>
          <w:kern w:val="2"/>
          <w:sz w:val="28"/>
          <w:szCs w:val="22"/>
          <w:lang w:val="en-US" w:eastAsia="zh-CN" w:bidi="ar-SA"/>
        </w:rPr>
        <w:t>若比值不为1，则生成第二核验信号；第一核验信号和第二核验信号构成第二审核数据；</w:t>
      </w:r>
    </w:p>
    <w:p w14:paraId="6474601F">
      <w:pPr>
        <w:pStyle w:val="22"/>
        <w:ind w:left="0" w:leftChars="0" w:firstLine="560" w:firstLineChars="200"/>
        <w:rPr>
          <w:rFonts w:hint="eastAsia" w:ascii="宋体" w:hAnsi="宋体" w:eastAsia="宋体" w:cs="宋体"/>
          <w:snapToGrid/>
          <w:spacing w:val="0"/>
          <w:kern w:val="2"/>
          <w:sz w:val="28"/>
          <w:szCs w:val="22"/>
          <w:lang w:val="en-US" w:eastAsia="zh-CN" w:bidi="ar-SA"/>
        </w:rPr>
      </w:pPr>
      <w:r>
        <w:rPr>
          <w:rFonts w:hint="eastAsia" w:ascii="宋体" w:hAnsi="宋体" w:eastAsia="宋体" w:cs="宋体"/>
          <w:snapToGrid/>
          <w:spacing w:val="0"/>
          <w:kern w:val="2"/>
          <w:sz w:val="28"/>
          <w:szCs w:val="22"/>
          <w:lang w:val="en-US" w:eastAsia="zh-CN" w:bidi="ar-SA"/>
        </w:rPr>
        <w:t>当第一审核数据中包含第一遍历信号且第二审核数据中包含第一核验信号时，则生成初审合格；反之，则生成初审异常；</w:t>
      </w:r>
    </w:p>
    <w:p w14:paraId="379C03AE">
      <w:pPr>
        <w:pStyle w:val="22"/>
        <w:ind w:left="0" w:leftChars="0" w:firstLine="560" w:firstLineChars="200"/>
        <w:rPr>
          <w:rFonts w:hint="eastAsia" w:ascii="宋体" w:hAnsi="宋体" w:eastAsia="宋体" w:cs="宋体"/>
          <w:snapToGrid/>
          <w:spacing w:val="0"/>
          <w:kern w:val="2"/>
          <w:sz w:val="28"/>
          <w:szCs w:val="22"/>
          <w:lang w:val="en-US" w:eastAsia="zh-CN" w:bidi="ar-SA"/>
        </w:rPr>
      </w:pPr>
      <w:r>
        <w:rPr>
          <w:rFonts w:hint="eastAsia" w:ascii="宋体" w:hAnsi="宋体" w:eastAsia="宋体" w:cs="宋体"/>
          <w:snapToGrid/>
          <w:spacing w:val="0"/>
          <w:kern w:val="2"/>
          <w:sz w:val="28"/>
          <w:szCs w:val="22"/>
          <w:lang w:val="en-US" w:eastAsia="zh-CN" w:bidi="ar-SA"/>
        </w:rPr>
        <w:t>初审合格和初审异常构成税务审核结果。</w:t>
      </w:r>
    </w:p>
    <w:p w14:paraId="17E9DB9D">
      <w:pPr>
        <w:pStyle w:val="22"/>
        <w:ind w:left="0" w:leftChars="0" w:firstLine="560" w:firstLineChars="200"/>
        <w:rPr>
          <w:rFonts w:hint="eastAsia" w:ascii="宋体" w:hAnsi="宋体" w:eastAsia="宋体" w:cs="宋体"/>
          <w:snapToGrid/>
          <w:spacing w:val="0"/>
          <w:kern w:val="2"/>
          <w:sz w:val="28"/>
          <w:szCs w:val="22"/>
          <w:lang w:val="en-US" w:eastAsia="zh-CN" w:bidi="ar-SA"/>
        </w:rPr>
      </w:pPr>
      <w:r>
        <w:rPr>
          <w:rFonts w:hint="eastAsia" w:ascii="宋体" w:hAnsi="宋体" w:eastAsia="宋体" w:cs="宋体"/>
          <w:snapToGrid/>
          <w:spacing w:val="0"/>
          <w:kern w:val="2"/>
          <w:sz w:val="28"/>
          <w:szCs w:val="22"/>
          <w:lang w:val="en-US" w:eastAsia="zh-CN" w:bidi="ar-SA"/>
        </w:rPr>
        <w:t>本发明实施例中，首先从发票类型方面来对电子发票的真实性进行审核，判断是否存在违规行为，同时还从发票金额方面来对电子发票的有效性进行审核，通过将不同方面的审核结果进行联立，分析判断电子发票是否有效，提高了电子发票数据分析的准确性。</w:t>
      </w:r>
    </w:p>
    <w:p w14:paraId="5E9F39F2">
      <w:pPr>
        <w:pStyle w:val="22"/>
        <w:ind w:left="0" w:leftChars="0" w:firstLine="560" w:firstLineChars="200"/>
        <w:rPr>
          <w:rFonts w:hint="eastAsia" w:ascii="宋体" w:hAnsi="宋体" w:eastAsia="宋体" w:cs="宋体"/>
          <w:snapToGrid/>
          <w:spacing w:val="0"/>
          <w:kern w:val="2"/>
          <w:sz w:val="28"/>
          <w:szCs w:val="22"/>
          <w:lang w:val="en-US" w:eastAsia="zh-CN" w:bidi="ar-SA"/>
        </w:rPr>
      </w:pPr>
      <w:r>
        <w:rPr>
          <w:rFonts w:hint="eastAsia" w:ascii="宋体" w:hAnsi="宋体" w:eastAsia="宋体" w:cs="宋体"/>
          <w:snapToGrid/>
          <w:spacing w:val="0"/>
          <w:kern w:val="2"/>
          <w:sz w:val="28"/>
          <w:szCs w:val="22"/>
          <w:lang w:val="en-US" w:eastAsia="zh-CN" w:bidi="ar-SA"/>
        </w:rPr>
        <w:t>S3：根据税务审核结果中的初审合格来对税务数据进行归类和评估，得到税务分析数据；具体的步骤包括：</w:t>
      </w:r>
    </w:p>
    <w:p w14:paraId="00821696">
      <w:pPr>
        <w:pStyle w:val="22"/>
        <w:ind w:left="0" w:leftChars="0" w:firstLine="560" w:firstLineChars="200"/>
        <w:rPr>
          <w:rFonts w:hint="eastAsia" w:ascii="宋体" w:hAnsi="宋体" w:eastAsia="宋体" w:cs="宋体"/>
          <w:snapToGrid/>
          <w:spacing w:val="0"/>
          <w:kern w:val="2"/>
          <w:sz w:val="28"/>
          <w:szCs w:val="22"/>
          <w:lang w:val="en-US" w:eastAsia="zh-CN" w:bidi="ar-SA"/>
        </w:rPr>
      </w:pPr>
      <w:r>
        <w:rPr>
          <w:rFonts w:hint="eastAsia" w:ascii="宋体" w:hAnsi="宋体" w:eastAsia="宋体" w:cs="宋体"/>
          <w:snapToGrid/>
          <w:spacing w:val="0"/>
          <w:kern w:val="2"/>
          <w:sz w:val="28"/>
          <w:szCs w:val="22"/>
          <w:lang w:val="en-US" w:eastAsia="zh-CN" w:bidi="ar-SA"/>
        </w:rPr>
        <w:t>根据税务审核结果中的初审合格，将税务数据中发票类型对应的经营类型的交易次数加一；</w:t>
      </w:r>
    </w:p>
    <w:p w14:paraId="214E6EF4">
      <w:pPr>
        <w:pStyle w:val="22"/>
        <w:ind w:left="0" w:leftChars="0" w:firstLine="560" w:firstLineChars="200"/>
        <w:rPr>
          <w:rFonts w:hint="eastAsia" w:ascii="宋体" w:hAnsi="宋体" w:eastAsia="宋体" w:cs="宋体"/>
          <w:snapToGrid/>
          <w:spacing w:val="0"/>
          <w:kern w:val="2"/>
          <w:sz w:val="28"/>
          <w:szCs w:val="22"/>
          <w:lang w:val="en-US" w:eastAsia="zh-CN" w:bidi="ar-SA"/>
        </w:rPr>
      </w:pPr>
      <w:r>
        <w:rPr>
          <w:rFonts w:hint="eastAsia" w:ascii="宋体" w:hAnsi="宋体" w:eastAsia="宋体" w:cs="宋体"/>
          <w:snapToGrid/>
          <w:spacing w:val="0"/>
          <w:kern w:val="2"/>
          <w:sz w:val="28"/>
          <w:szCs w:val="22"/>
          <w:lang w:val="en-US" w:eastAsia="zh-CN" w:bidi="ar-SA"/>
        </w:rPr>
        <w:t>根据企业名称获取其企业经营范围的若干个经营类型对应的经营权重并标记为QZi，i=｛1，2，3，...，n｝，n为正整数，表示为总的数量；</w:t>
      </w:r>
    </w:p>
    <w:p w14:paraId="34B29118">
      <w:pPr>
        <w:pStyle w:val="22"/>
        <w:ind w:left="0" w:leftChars="0" w:firstLine="560" w:firstLineChars="200"/>
        <w:rPr>
          <w:rFonts w:hint="eastAsia" w:ascii="宋体" w:hAnsi="宋体" w:eastAsia="宋体" w:cs="宋体"/>
          <w:snapToGrid/>
          <w:spacing w:val="0"/>
          <w:kern w:val="2"/>
          <w:sz w:val="28"/>
          <w:szCs w:val="22"/>
          <w:lang w:val="en-US" w:eastAsia="zh-CN" w:bidi="ar-SA"/>
        </w:rPr>
      </w:pPr>
      <w:r>
        <w:rPr>
          <w:rFonts w:hint="eastAsia" w:ascii="宋体" w:hAnsi="宋体" w:eastAsia="宋体" w:cs="宋体"/>
          <w:snapToGrid/>
          <w:spacing w:val="0"/>
          <w:kern w:val="2"/>
          <w:sz w:val="28"/>
          <w:szCs w:val="22"/>
          <w:lang w:val="en-US" w:eastAsia="zh-CN" w:bidi="ar-SA"/>
        </w:rPr>
        <w:t>根据电子发票税务数据对公司进行分类前，将若干个经营类型对应的经营权重通过公式计算获取公司交易的类估值；该公式为：</w:t>
      </w:r>
    </w:p>
    <w:p w14:paraId="7CFEA96C">
      <w:pPr>
        <w:pStyle w:val="22"/>
        <w:ind w:left="0" w:leftChars="0" w:firstLine="560" w:firstLineChars="200"/>
        <w:jc w:val="center"/>
        <w:rPr>
          <w:rFonts w:hint="eastAsia" w:ascii="宋体" w:hAnsi="宋体" w:eastAsia="宋体" w:cs="宋体"/>
          <w:snapToGrid/>
          <w:spacing w:val="0"/>
          <w:kern w:val="2"/>
          <w:sz w:val="28"/>
          <w:szCs w:val="22"/>
          <w:lang w:val="en-US" w:eastAsia="zh-CN" w:bidi="ar-SA"/>
        </w:rPr>
      </w:pPr>
      <w:r>
        <w:rPr>
          <w:rFonts w:hint="eastAsia" w:ascii="宋体" w:hAnsi="宋体" w:eastAsia="宋体" w:cs="宋体"/>
          <w:snapToGrid/>
          <w:spacing w:val="0"/>
          <w:kern w:val="2"/>
          <w:position w:val="-28"/>
          <w:sz w:val="28"/>
          <w:szCs w:val="22"/>
          <w:lang w:val="en-US" w:eastAsia="zh-CN" w:bidi="ar-SA"/>
        </w:rPr>
        <w:object>
          <v:shape id="_x0000_i1158" o:spt="75" type="#_x0000_t75" style="height:43.3pt;width:82.9pt;" o:ole="t" filled="f" o:preferrelative="t" stroked="f" coordsize="21600,21600">
            <v:path/>
            <v:fill on="f" focussize="0,0"/>
            <v:stroke on="f"/>
            <v:imagedata r:id="rId14" o:title=""/>
            <o:lock v:ext="edit" aspectratio="t"/>
            <w10:wrap type="none"/>
            <w10:anchorlock/>
          </v:shape>
          <o:OLEObject Type="Embed" ProgID="Equation.KSEE3" ShapeID="_x0000_i1158" DrawAspect="Content" ObjectID="_1468075730" r:id="rId18">
            <o:LockedField>false</o:LockedField>
          </o:OLEObject>
        </w:object>
      </w:r>
    </w:p>
    <w:p w14:paraId="3BCD3F8B">
      <w:pPr>
        <w:pStyle w:val="22"/>
        <w:ind w:left="0" w:leftChars="0" w:firstLine="560" w:firstLineChars="200"/>
        <w:rPr>
          <w:rFonts w:hint="eastAsia" w:ascii="宋体" w:hAnsi="宋体" w:eastAsia="宋体" w:cs="宋体"/>
          <w:snapToGrid/>
          <w:spacing w:val="0"/>
          <w:kern w:val="2"/>
          <w:sz w:val="28"/>
          <w:szCs w:val="22"/>
          <w:lang w:val="en-US" w:eastAsia="zh-CN" w:bidi="ar-SA"/>
        </w:rPr>
      </w:pPr>
      <w:r>
        <w:rPr>
          <w:rFonts w:hint="eastAsia" w:ascii="宋体" w:hAnsi="宋体" w:eastAsia="宋体" w:cs="宋体"/>
          <w:snapToGrid/>
          <w:spacing w:val="0"/>
          <w:kern w:val="2"/>
          <w:sz w:val="28"/>
          <w:szCs w:val="22"/>
          <w:lang w:val="en-US" w:eastAsia="zh-CN" w:bidi="ar-SA"/>
        </w:rPr>
        <w:t>将类估值与预构建的类估范围进行匹配获取对应的公司类别并将其设定为评估标志，根据评估标志对公司交易的发票进行评估；</w:t>
      </w:r>
    </w:p>
    <w:p w14:paraId="1CDC7D00">
      <w:pPr>
        <w:pStyle w:val="22"/>
        <w:ind w:left="0" w:leftChars="0" w:firstLine="560" w:firstLineChars="200"/>
        <w:rPr>
          <w:rFonts w:hint="eastAsia" w:ascii="宋体" w:hAnsi="宋体" w:eastAsia="宋体" w:cs="宋体"/>
          <w:snapToGrid/>
          <w:spacing w:val="0"/>
          <w:kern w:val="2"/>
          <w:sz w:val="28"/>
          <w:szCs w:val="22"/>
          <w:lang w:val="en-US" w:eastAsia="zh-CN" w:bidi="ar-SA"/>
        </w:rPr>
      </w:pPr>
      <w:r>
        <w:rPr>
          <w:rFonts w:hint="eastAsia" w:ascii="宋体" w:hAnsi="宋体" w:eastAsia="宋体" w:cs="宋体"/>
          <w:snapToGrid/>
          <w:spacing w:val="0"/>
          <w:kern w:val="2"/>
          <w:sz w:val="28"/>
          <w:szCs w:val="22"/>
          <w:lang w:val="en-US" w:eastAsia="zh-CN" w:bidi="ar-SA"/>
        </w:rPr>
        <w:t>其中，将类估值与预构建的类估范围进行匹配时，若类估值属于类估范围中的第一子范围(0，p1]、第二子范围(p1，p2]或者第三子范围(p2，+</w:t>
      </w:r>
      <w:r>
        <w:rPr>
          <w:rFonts w:hint="eastAsia" w:ascii="宋体" w:hAnsi="宋体" w:eastAsia="宋体" w:cs="宋体"/>
          <w:snapToGrid/>
          <w:spacing w:val="0"/>
          <w:kern w:val="2"/>
          <w:position w:val="-4"/>
          <w:sz w:val="28"/>
          <w:szCs w:val="22"/>
          <w:lang w:val="en-US" w:eastAsia="zh-CN" w:bidi="ar-SA"/>
        </w:rPr>
        <w:object>
          <v:shape id="_x0000_i1160" o:spt="75" type="#_x0000_t75" style="height:10pt;width:12pt;" o:ole="t" filled="f" o:preferrelative="t" stroked="f" coordsize="21600,21600">
            <v:path/>
            <v:fill on="f" focussize="0,0"/>
            <v:stroke on="f"/>
            <v:imagedata r:id="rId12" o:title=""/>
            <o:lock v:ext="edit" aspectratio="t"/>
            <w10:wrap type="none"/>
            <w10:anchorlock/>
          </v:shape>
          <o:OLEObject Type="Embed" ProgID="Equation.KSEE3" ShapeID="_x0000_i1160" DrawAspect="Content" ObjectID="_1468075731" r:id="rId19">
            <o:LockedField>false</o:LockedField>
          </o:OLEObject>
        </w:object>
      </w:r>
      <w:r>
        <w:rPr>
          <w:rFonts w:hint="eastAsia" w:ascii="宋体" w:hAnsi="宋体" w:eastAsia="宋体" w:cs="宋体"/>
          <w:snapToGrid/>
          <w:spacing w:val="0"/>
          <w:kern w:val="2"/>
          <w:sz w:val="28"/>
          <w:szCs w:val="22"/>
          <w:lang w:val="en-US" w:eastAsia="zh-CN" w:bidi="ar-SA"/>
        </w:rPr>
        <w:t>]时，则判定类估值对应的公司属于第一子范围关联的第一公司类别、第二子范围关联的第二公司类别或者第三子范围关联的第三公司类别；</w:t>
      </w:r>
    </w:p>
    <w:p w14:paraId="319967B8">
      <w:pPr>
        <w:pStyle w:val="22"/>
        <w:ind w:left="0" w:leftChars="0" w:firstLine="560" w:firstLineChars="200"/>
        <w:rPr>
          <w:rFonts w:hint="eastAsia" w:ascii="宋体" w:hAnsi="宋体" w:eastAsia="宋体" w:cs="宋体"/>
          <w:snapToGrid/>
          <w:spacing w:val="0"/>
          <w:kern w:val="2"/>
          <w:sz w:val="28"/>
          <w:szCs w:val="22"/>
          <w:lang w:val="en-US" w:eastAsia="zh-CN" w:bidi="ar-SA"/>
        </w:rPr>
      </w:pPr>
      <w:r>
        <w:rPr>
          <w:rFonts w:hint="eastAsia" w:ascii="宋体" w:hAnsi="宋体" w:eastAsia="宋体" w:cs="宋体"/>
          <w:snapToGrid/>
          <w:spacing w:val="0"/>
          <w:kern w:val="2"/>
          <w:sz w:val="28"/>
          <w:szCs w:val="22"/>
          <w:lang w:val="en-US" w:eastAsia="zh-CN" w:bidi="ar-SA"/>
        </w:rPr>
        <w:t>p1和p2均为大于零的实数，且第一公司类别、第二公司类别和第三公司类别的等级依次递增；</w:t>
      </w:r>
    </w:p>
    <w:p w14:paraId="44954B1A">
      <w:pPr>
        <w:pStyle w:val="22"/>
        <w:ind w:left="0" w:leftChars="0" w:firstLine="560" w:firstLineChars="200"/>
        <w:rPr>
          <w:rFonts w:hint="eastAsia" w:ascii="宋体" w:hAnsi="宋体" w:eastAsia="宋体" w:cs="宋体"/>
          <w:snapToGrid/>
          <w:spacing w:val="0"/>
          <w:kern w:val="2"/>
          <w:sz w:val="28"/>
          <w:szCs w:val="22"/>
          <w:lang w:val="en-US" w:eastAsia="zh-CN" w:bidi="ar-SA"/>
        </w:rPr>
      </w:pPr>
      <w:r>
        <w:rPr>
          <w:rFonts w:hint="eastAsia" w:ascii="宋体" w:hAnsi="宋体" w:eastAsia="宋体" w:cs="宋体"/>
          <w:snapToGrid/>
          <w:spacing w:val="0"/>
          <w:kern w:val="2"/>
          <w:sz w:val="28"/>
          <w:szCs w:val="22"/>
          <w:lang w:val="en-US" w:eastAsia="zh-CN" w:bidi="ar-SA"/>
        </w:rPr>
        <w:t>本发明实施例中，通过将企业经营范围中的若干个经营类型进行联立，通过对若干个经营类型对应的经营权重进行求和获取类估值，经营类型预先设定一个对应的经营权重，既可以实现经营类型的数字化表示，同时还可以实现不同经营类型的差异化表示，基于类估值来分析该公司属于哪一类别，公司类别包括但不限于小微公司、服务公司和科技公司，分别对应第一公司类别、第二公司类别和第三公司类别，不同公司对应的类估值不同，比如科技公司的类估值远远大于小微公司的类估值；</w:t>
      </w:r>
    </w:p>
    <w:p w14:paraId="61FE95A7">
      <w:pPr>
        <w:pStyle w:val="22"/>
        <w:ind w:left="0" w:leftChars="0" w:firstLine="560" w:firstLineChars="200"/>
        <w:rPr>
          <w:rFonts w:hint="eastAsia" w:ascii="宋体" w:hAnsi="宋体" w:eastAsia="宋体" w:cs="宋体"/>
          <w:snapToGrid/>
          <w:spacing w:val="0"/>
          <w:kern w:val="2"/>
          <w:sz w:val="28"/>
          <w:szCs w:val="22"/>
          <w:lang w:val="en-US" w:eastAsia="zh-CN" w:bidi="ar-SA"/>
        </w:rPr>
      </w:pPr>
      <w:r>
        <w:rPr>
          <w:rFonts w:hint="eastAsia" w:ascii="宋体" w:hAnsi="宋体" w:eastAsia="宋体" w:cs="宋体"/>
          <w:snapToGrid/>
          <w:spacing w:val="0"/>
          <w:kern w:val="2"/>
          <w:sz w:val="28"/>
          <w:szCs w:val="22"/>
          <w:lang w:val="en-US" w:eastAsia="zh-CN" w:bidi="ar-SA"/>
        </w:rPr>
        <w:t>需要说明的是，本发明实施例中只是划分了三个不同的公司类别，可以根据需要自适应的设置多个公司类别，来满足不同场景下的税务数据分析。</w:t>
      </w:r>
    </w:p>
    <w:p w14:paraId="26CB97A4">
      <w:pPr>
        <w:pStyle w:val="22"/>
        <w:ind w:left="0" w:leftChars="0" w:firstLine="560" w:firstLineChars="200"/>
        <w:rPr>
          <w:rFonts w:hint="eastAsia" w:ascii="宋体" w:hAnsi="宋体" w:eastAsia="宋体" w:cs="宋体"/>
          <w:snapToGrid/>
          <w:spacing w:val="0"/>
          <w:kern w:val="2"/>
          <w:sz w:val="28"/>
          <w:szCs w:val="22"/>
          <w:lang w:val="en-US" w:eastAsia="zh-CN" w:bidi="ar-SA"/>
        </w:rPr>
      </w:pPr>
      <w:r>
        <w:rPr>
          <w:rFonts w:hint="eastAsia" w:ascii="宋体" w:hAnsi="宋体" w:eastAsia="宋体" w:cs="宋体"/>
          <w:snapToGrid/>
          <w:spacing w:val="0"/>
          <w:kern w:val="2"/>
          <w:sz w:val="28"/>
          <w:szCs w:val="22"/>
          <w:lang w:val="en-US" w:eastAsia="zh-CN" w:bidi="ar-SA"/>
        </w:rPr>
        <w:t>评估前，根据企业名称统计监测时间段内所有的经营类型的交易总次数，以及经营类型的交易总金额；监测时间段可以为一个月；</w:t>
      </w:r>
    </w:p>
    <w:p w14:paraId="067AAA8F">
      <w:pPr>
        <w:pStyle w:val="22"/>
        <w:ind w:left="0" w:leftChars="0" w:firstLine="560" w:firstLineChars="200"/>
        <w:rPr>
          <w:rFonts w:hint="eastAsia" w:ascii="宋体" w:hAnsi="宋体" w:eastAsia="宋体" w:cs="宋体"/>
          <w:snapToGrid/>
          <w:spacing w:val="0"/>
          <w:kern w:val="2"/>
          <w:sz w:val="28"/>
          <w:szCs w:val="22"/>
          <w:lang w:val="en-US" w:eastAsia="zh-CN" w:bidi="ar-SA"/>
        </w:rPr>
      </w:pPr>
      <w:r>
        <w:rPr>
          <w:rFonts w:hint="eastAsia" w:ascii="宋体" w:hAnsi="宋体" w:eastAsia="宋体" w:cs="宋体"/>
          <w:snapToGrid/>
          <w:spacing w:val="0"/>
          <w:kern w:val="2"/>
          <w:sz w:val="28"/>
          <w:szCs w:val="22"/>
          <w:lang w:val="en-US" w:eastAsia="zh-CN" w:bidi="ar-SA"/>
        </w:rPr>
        <w:t>分别提取所有的经营类型的交易总次数和交易总金额的数值并标记为J1和J2，通过公式计算获取公司交易的票估值；该公式为：</w:t>
      </w:r>
    </w:p>
    <w:p w14:paraId="143EC25A">
      <w:pPr>
        <w:pStyle w:val="22"/>
        <w:ind w:left="0" w:leftChars="0" w:firstLine="560" w:firstLineChars="200"/>
        <w:jc w:val="center"/>
        <w:rPr>
          <w:rFonts w:hint="eastAsia" w:ascii="宋体" w:hAnsi="宋体" w:eastAsia="宋体" w:cs="宋体"/>
          <w:snapToGrid/>
          <w:spacing w:val="0"/>
          <w:kern w:val="2"/>
          <w:sz w:val="28"/>
          <w:szCs w:val="22"/>
          <w:lang w:val="en-US" w:eastAsia="zh-CN" w:bidi="ar-SA"/>
        </w:rPr>
      </w:pPr>
      <w:r>
        <w:rPr>
          <w:rFonts w:hint="eastAsia" w:ascii="宋体" w:hAnsi="宋体" w:eastAsia="宋体" w:cs="宋体"/>
          <w:snapToGrid/>
          <w:spacing w:val="0"/>
          <w:kern w:val="2"/>
          <w:position w:val="-28"/>
          <w:sz w:val="28"/>
          <w:szCs w:val="22"/>
          <w:lang w:val="en-US" w:eastAsia="zh-CN" w:bidi="ar-SA"/>
        </w:rPr>
        <w:object>
          <v:shape id="_x0000_i1159" o:spt="75" type="#_x0000_t75" style="height:43.3pt;width:212.95pt;" o:ole="t" filled="f" o:preferrelative="t" stroked="f" coordsize="21600,21600">
            <v:path/>
            <v:fill on="f" focussize="0,0"/>
            <v:stroke on="f"/>
            <v:imagedata r:id="rId16" o:title=""/>
            <o:lock v:ext="edit" aspectratio="t"/>
            <w10:wrap type="none"/>
            <w10:anchorlock/>
          </v:shape>
          <o:OLEObject Type="Embed" ProgID="Equation.KSEE3" ShapeID="_x0000_i1159" DrawAspect="Content" ObjectID="_1468075732" r:id="rId20">
            <o:LockedField>false</o:LockedField>
          </o:OLEObject>
        </w:object>
      </w:r>
    </w:p>
    <w:p w14:paraId="7FDCC909">
      <w:pPr>
        <w:pStyle w:val="22"/>
        <w:ind w:left="0" w:leftChars="0" w:firstLine="560" w:firstLineChars="200"/>
        <w:rPr>
          <w:rFonts w:hint="eastAsia" w:ascii="宋体" w:hAnsi="宋体" w:eastAsia="宋体" w:cs="宋体"/>
          <w:snapToGrid/>
          <w:spacing w:val="0"/>
          <w:kern w:val="2"/>
          <w:sz w:val="28"/>
          <w:szCs w:val="22"/>
          <w:lang w:val="en-US" w:eastAsia="zh-CN" w:bidi="ar-SA"/>
        </w:rPr>
      </w:pPr>
      <w:r>
        <w:rPr>
          <w:rFonts w:hint="eastAsia" w:ascii="宋体" w:hAnsi="宋体" w:eastAsia="宋体" w:cs="宋体"/>
          <w:snapToGrid/>
          <w:spacing w:val="0"/>
          <w:kern w:val="2"/>
          <w:sz w:val="28"/>
          <w:szCs w:val="22"/>
          <w:lang w:val="en-US" w:eastAsia="zh-CN" w:bidi="ar-SA"/>
        </w:rPr>
        <w:t>式中，a1、a2为不同的比例系数且均大于零；公式中的预设比例系数由本领域的技术人员根据实际情况设定或者通过大量数据模拟获取，比如a1可以取值为1.426，a2可以取值为3.733；a2的取值大于a1的取值，表示a2对应的数据项的优先级大于a1对应的数据项的优先级；</w:t>
      </w:r>
    </w:p>
    <w:p w14:paraId="22DFCC25">
      <w:pPr>
        <w:pStyle w:val="22"/>
        <w:ind w:left="0" w:leftChars="0" w:firstLine="560" w:firstLineChars="200"/>
        <w:rPr>
          <w:rFonts w:hint="eastAsia" w:ascii="宋体" w:hAnsi="宋体" w:eastAsia="宋体" w:cs="宋体"/>
          <w:snapToGrid/>
          <w:spacing w:val="0"/>
          <w:kern w:val="2"/>
          <w:sz w:val="28"/>
          <w:szCs w:val="22"/>
          <w:lang w:val="en-US" w:eastAsia="zh-CN" w:bidi="ar-SA"/>
        </w:rPr>
      </w:pPr>
      <w:r>
        <w:rPr>
          <w:rFonts w:hint="eastAsia" w:ascii="宋体" w:hAnsi="宋体" w:eastAsia="宋体" w:cs="宋体"/>
          <w:snapToGrid/>
          <w:spacing w:val="0"/>
          <w:kern w:val="2"/>
          <w:sz w:val="28"/>
          <w:szCs w:val="22"/>
          <w:lang w:val="en-US" w:eastAsia="zh-CN" w:bidi="ar-SA"/>
        </w:rPr>
        <w:t>票估值是用于通过电子发票的各项数据来对公司的税务情况进行整体评估的数值；将所有的经营类型的交易总次数和交易总金额与对应的经营权重进行联立，可以获取到对应公司整体的电子发票的税务情况，基于票估值来对该公司整体的交易情况进行分析；</w:t>
      </w:r>
    </w:p>
    <w:p w14:paraId="73EA1345">
      <w:pPr>
        <w:pStyle w:val="22"/>
        <w:rPr>
          <w:rFonts w:hint="eastAsia" w:ascii="宋体" w:hAnsi="宋体" w:eastAsia="宋体" w:cs="宋体"/>
          <w:snapToGrid/>
          <w:spacing w:val="0"/>
          <w:kern w:val="2"/>
          <w:sz w:val="28"/>
          <w:szCs w:val="22"/>
          <w:lang w:val="en-US" w:eastAsia="zh-CN" w:bidi="ar-SA"/>
        </w:rPr>
      </w:pPr>
      <w:r>
        <w:rPr>
          <w:rFonts w:hint="eastAsia" w:ascii="宋体" w:hAnsi="宋体" w:eastAsia="宋体" w:cs="宋体"/>
          <w:snapToGrid/>
          <w:spacing w:val="0"/>
          <w:kern w:val="2"/>
          <w:sz w:val="28"/>
          <w:szCs w:val="22"/>
          <w:lang w:val="en-US" w:eastAsia="zh-CN" w:bidi="ar-SA"/>
        </w:rPr>
        <w:t>将票估值与票估阈值进行匹配，得到包含达标交易和不达标交易的税务分析数据；包括：</w:t>
      </w:r>
    </w:p>
    <w:p w14:paraId="3979264F">
      <w:pPr>
        <w:pStyle w:val="22"/>
        <w:rPr>
          <w:rFonts w:hint="eastAsia" w:ascii="宋体" w:hAnsi="宋体" w:eastAsia="宋体" w:cs="宋体"/>
          <w:snapToGrid/>
          <w:spacing w:val="0"/>
          <w:kern w:val="2"/>
          <w:sz w:val="28"/>
          <w:szCs w:val="22"/>
          <w:lang w:val="en-US" w:eastAsia="zh-CN" w:bidi="ar-SA"/>
        </w:rPr>
      </w:pPr>
      <w:r>
        <w:rPr>
          <w:rFonts w:hint="eastAsia" w:ascii="宋体" w:hAnsi="宋体" w:eastAsia="宋体" w:cs="宋体"/>
          <w:snapToGrid/>
          <w:spacing w:val="0"/>
          <w:kern w:val="2"/>
          <w:sz w:val="28"/>
          <w:szCs w:val="22"/>
          <w:lang w:val="en-US" w:eastAsia="zh-CN" w:bidi="ar-SA"/>
        </w:rPr>
        <w:t>将票估值与票估阈值进行匹配时，若票估值不大于票估阈值，则判定监测时间段内该公司的交易属于不达标交易；</w:t>
      </w:r>
    </w:p>
    <w:p w14:paraId="64475673">
      <w:pPr>
        <w:pStyle w:val="22"/>
        <w:ind w:left="0" w:leftChars="0" w:firstLine="560" w:firstLineChars="200"/>
        <w:rPr>
          <w:rFonts w:hint="eastAsia" w:ascii="宋体" w:hAnsi="宋体" w:eastAsia="宋体" w:cs="宋体"/>
          <w:snapToGrid/>
          <w:spacing w:val="0"/>
          <w:kern w:val="2"/>
          <w:sz w:val="28"/>
          <w:szCs w:val="22"/>
          <w:lang w:val="en-US" w:eastAsia="zh-CN" w:bidi="ar-SA"/>
        </w:rPr>
      </w:pPr>
      <w:r>
        <w:rPr>
          <w:rFonts w:hint="eastAsia" w:ascii="宋体" w:hAnsi="宋体" w:eastAsia="宋体" w:cs="宋体"/>
          <w:snapToGrid/>
          <w:spacing w:val="0"/>
          <w:kern w:val="2"/>
          <w:sz w:val="28"/>
          <w:szCs w:val="22"/>
          <w:lang w:val="en-US" w:eastAsia="zh-CN" w:bidi="ar-SA"/>
        </w:rPr>
        <w:t>若票估值大于票估阈值，则判定监测时段段内该公司的交易属于达标交易，并将达标交易的总次数加一。</w:t>
      </w:r>
    </w:p>
    <w:p w14:paraId="5A2EA982">
      <w:pPr>
        <w:pStyle w:val="22"/>
        <w:ind w:left="0" w:leftChars="0" w:firstLine="560" w:firstLineChars="200"/>
        <w:rPr>
          <w:rFonts w:hint="eastAsia" w:ascii="宋体" w:hAnsi="宋体" w:eastAsia="宋体" w:cs="宋体"/>
          <w:snapToGrid/>
          <w:spacing w:val="0"/>
          <w:kern w:val="2"/>
          <w:sz w:val="28"/>
          <w:szCs w:val="22"/>
          <w:lang w:val="en-US" w:eastAsia="zh-CN" w:bidi="ar-SA"/>
        </w:rPr>
      </w:pPr>
      <w:r>
        <w:rPr>
          <w:rFonts w:hint="eastAsia" w:ascii="宋体" w:hAnsi="宋体" w:eastAsia="宋体" w:cs="宋体"/>
          <w:snapToGrid/>
          <w:spacing w:val="0"/>
          <w:kern w:val="2"/>
          <w:sz w:val="28"/>
          <w:szCs w:val="22"/>
          <w:lang w:val="en-US" w:eastAsia="zh-CN" w:bidi="ar-SA"/>
        </w:rPr>
        <w:t>本发明实施例中，通过对初审合格的各个电子发票来对公司交易的整体情况进行分析评估，同时还基于企业经营范围来对不同的公司进行分类，以便可以针对性的对不同公司的税务情况进行监测和分析，基于不同类型的公司整体交易情况，可以为后续不同类型的税务政策的自适应推送提供了有效的数据支撑。</w:t>
      </w:r>
    </w:p>
    <w:p w14:paraId="703BCBA1">
      <w:pPr>
        <w:pStyle w:val="22"/>
        <w:rPr>
          <w:rFonts w:hint="eastAsia" w:ascii="宋体" w:hAnsi="宋体" w:eastAsia="宋体" w:cs="宋体"/>
          <w:snapToGrid/>
          <w:spacing w:val="0"/>
          <w:kern w:val="2"/>
          <w:sz w:val="28"/>
          <w:szCs w:val="22"/>
          <w:lang w:val="en-US" w:eastAsia="zh-CN" w:bidi="ar-SA"/>
        </w:rPr>
      </w:pPr>
      <w:r>
        <w:rPr>
          <w:rFonts w:hint="eastAsia" w:ascii="宋体" w:hAnsi="宋体" w:eastAsia="宋体" w:cs="宋体"/>
          <w:snapToGrid/>
          <w:spacing w:val="0"/>
          <w:kern w:val="2"/>
          <w:sz w:val="28"/>
          <w:szCs w:val="22"/>
          <w:lang w:val="en-US" w:eastAsia="zh-CN" w:bidi="ar-SA"/>
        </w:rPr>
        <w:t>S4：将税务分析数据进行存储并生成存储指令，根据存储指令自适应的将相关联的税务政策进行推送，具体的步骤包括：</w:t>
      </w:r>
    </w:p>
    <w:p w14:paraId="4DF47E8E">
      <w:pPr>
        <w:pStyle w:val="22"/>
        <w:rPr>
          <w:rFonts w:hint="eastAsia" w:ascii="宋体" w:hAnsi="宋体" w:eastAsia="宋体" w:cs="宋体"/>
          <w:snapToGrid/>
          <w:spacing w:val="0"/>
          <w:kern w:val="2"/>
          <w:sz w:val="28"/>
          <w:szCs w:val="22"/>
          <w:lang w:val="en-US" w:eastAsia="zh-CN" w:bidi="ar-SA"/>
        </w:rPr>
      </w:pPr>
      <w:r>
        <w:rPr>
          <w:rFonts w:hint="eastAsia" w:ascii="宋体" w:hAnsi="宋体" w:eastAsia="宋体" w:cs="宋体"/>
          <w:snapToGrid/>
          <w:spacing w:val="0"/>
          <w:kern w:val="2"/>
          <w:sz w:val="28"/>
          <w:szCs w:val="22"/>
          <w:lang w:val="en-US" w:eastAsia="zh-CN" w:bidi="ar-SA"/>
        </w:rPr>
        <w:t>将税务政策进行推送前，首先将所有有效的税务政策进行统计，并提取税务政策中的税务主体类型和税务限制条件；税务限制条件包括但不限于税务限制金额，需要满足一定的税务总金额，可以基于现有的不同类型公司对应的税务政策大数据来进行设定；</w:t>
      </w:r>
    </w:p>
    <w:p w14:paraId="59850B55">
      <w:pPr>
        <w:pStyle w:val="22"/>
        <w:rPr>
          <w:rFonts w:hint="eastAsia" w:ascii="宋体" w:hAnsi="宋体" w:eastAsia="宋体" w:cs="宋体"/>
          <w:snapToGrid/>
          <w:spacing w:val="0"/>
          <w:kern w:val="2"/>
          <w:sz w:val="28"/>
          <w:szCs w:val="22"/>
          <w:lang w:val="en-US" w:eastAsia="zh-CN" w:bidi="ar-SA"/>
        </w:rPr>
      </w:pPr>
      <w:r>
        <w:rPr>
          <w:rFonts w:hint="eastAsia" w:ascii="宋体" w:hAnsi="宋体" w:eastAsia="宋体" w:cs="宋体"/>
          <w:snapToGrid/>
          <w:spacing w:val="0"/>
          <w:kern w:val="2"/>
          <w:sz w:val="28"/>
          <w:szCs w:val="22"/>
          <w:lang w:val="en-US" w:eastAsia="zh-CN" w:bidi="ar-SA"/>
        </w:rPr>
        <w:t>需要说明的是，不同类型的税务政策的实施对象不同，同时实施的条件不同，当税务政策自适应的进行动态推送时，前提是对应的公司满足税务政策实施的类型且满足税务实施条件；</w:t>
      </w:r>
    </w:p>
    <w:p w14:paraId="361BE50C">
      <w:pPr>
        <w:pStyle w:val="22"/>
        <w:rPr>
          <w:rFonts w:hint="eastAsia" w:ascii="宋体" w:hAnsi="宋体" w:eastAsia="宋体" w:cs="宋体"/>
          <w:snapToGrid/>
          <w:spacing w:val="0"/>
          <w:kern w:val="2"/>
          <w:sz w:val="28"/>
          <w:szCs w:val="22"/>
          <w:lang w:val="en-US" w:eastAsia="zh-CN" w:bidi="ar-SA"/>
        </w:rPr>
      </w:pPr>
      <w:r>
        <w:rPr>
          <w:rFonts w:hint="eastAsia" w:ascii="宋体" w:hAnsi="宋体" w:eastAsia="宋体" w:cs="宋体"/>
          <w:snapToGrid/>
          <w:spacing w:val="0"/>
          <w:kern w:val="2"/>
          <w:sz w:val="28"/>
          <w:szCs w:val="22"/>
          <w:lang w:val="en-US" w:eastAsia="zh-CN" w:bidi="ar-SA"/>
        </w:rPr>
        <w:t>根据税务主体类型将所有有效的税务政策进行归类，得到政策归类集；</w:t>
      </w:r>
    </w:p>
    <w:p w14:paraId="5AC13CD8">
      <w:pPr>
        <w:pStyle w:val="22"/>
        <w:rPr>
          <w:rFonts w:hint="eastAsia" w:ascii="宋体" w:hAnsi="宋体" w:eastAsia="宋体" w:cs="宋体"/>
          <w:snapToGrid/>
          <w:spacing w:val="0"/>
          <w:kern w:val="2"/>
          <w:sz w:val="28"/>
          <w:szCs w:val="22"/>
          <w:lang w:val="en-US" w:eastAsia="zh-CN" w:bidi="ar-SA"/>
        </w:rPr>
      </w:pPr>
      <w:r>
        <w:rPr>
          <w:rFonts w:hint="eastAsia" w:ascii="宋体" w:hAnsi="宋体" w:eastAsia="宋体" w:cs="宋体"/>
          <w:snapToGrid/>
          <w:spacing w:val="0"/>
          <w:kern w:val="2"/>
          <w:sz w:val="28"/>
          <w:szCs w:val="22"/>
          <w:lang w:val="en-US" w:eastAsia="zh-CN" w:bidi="ar-SA"/>
        </w:rPr>
        <w:t>其中，这里的税务政策的有效是指税务政策的实施在有效时间内；</w:t>
      </w:r>
    </w:p>
    <w:p w14:paraId="31C6E4B6">
      <w:pPr>
        <w:pStyle w:val="22"/>
        <w:rPr>
          <w:rFonts w:hint="eastAsia" w:ascii="宋体" w:hAnsi="宋体" w:eastAsia="宋体" w:cs="宋体"/>
          <w:snapToGrid/>
          <w:spacing w:val="0"/>
          <w:kern w:val="2"/>
          <w:sz w:val="28"/>
          <w:szCs w:val="22"/>
          <w:lang w:val="en-US" w:eastAsia="zh-CN" w:bidi="ar-SA"/>
        </w:rPr>
      </w:pPr>
      <w:r>
        <w:rPr>
          <w:rFonts w:hint="eastAsia" w:ascii="宋体" w:hAnsi="宋体" w:eastAsia="宋体" w:cs="宋体"/>
          <w:snapToGrid/>
          <w:spacing w:val="0"/>
          <w:kern w:val="2"/>
          <w:sz w:val="28"/>
          <w:szCs w:val="22"/>
          <w:lang w:val="en-US" w:eastAsia="zh-CN" w:bidi="ar-SA"/>
        </w:rPr>
        <w:t>将政策归类集中所有有效的税务政策根据税务限制条件中的税务限制金额进行降序排列，得到政策排序集；</w:t>
      </w:r>
    </w:p>
    <w:p w14:paraId="33B5EA8F">
      <w:pPr>
        <w:pStyle w:val="22"/>
        <w:rPr>
          <w:rFonts w:hint="eastAsia" w:ascii="宋体" w:hAnsi="宋体" w:eastAsia="宋体" w:cs="宋体"/>
          <w:snapToGrid/>
          <w:spacing w:val="0"/>
          <w:kern w:val="2"/>
          <w:sz w:val="28"/>
          <w:szCs w:val="22"/>
          <w:lang w:val="en-US" w:eastAsia="zh-CN" w:bidi="ar-SA"/>
        </w:rPr>
      </w:pPr>
      <w:r>
        <w:rPr>
          <w:rFonts w:hint="eastAsia" w:ascii="宋体" w:hAnsi="宋体" w:eastAsia="宋体" w:cs="宋体"/>
          <w:snapToGrid/>
          <w:spacing w:val="0"/>
          <w:kern w:val="2"/>
          <w:sz w:val="28"/>
          <w:szCs w:val="22"/>
          <w:lang w:val="en-US" w:eastAsia="zh-CN" w:bidi="ar-SA"/>
        </w:rPr>
        <w:t>根据预设的监测时间间隔对所有公司的</w:t>
      </w:r>
      <w:r>
        <w:rPr>
          <w:rFonts w:hint="eastAsia" w:ascii="宋体" w:hAnsi="宋体" w:eastAsia="宋体" w:cs="宋体"/>
          <w:snapToGrid w:val="0"/>
          <w:spacing w:val="6"/>
          <w:kern w:val="0"/>
          <w:sz w:val="28"/>
          <w:szCs w:val="22"/>
          <w:lang w:val="en-US" w:eastAsia="zh-CN" w:bidi="ar-SA"/>
        </w:rPr>
        <w:t>电子发票税务数据</w:t>
      </w:r>
      <w:r>
        <w:rPr>
          <w:rFonts w:hint="eastAsia" w:ascii="宋体" w:hAnsi="宋体" w:eastAsia="宋体" w:cs="宋体"/>
          <w:snapToGrid/>
          <w:spacing w:val="0"/>
          <w:kern w:val="2"/>
          <w:sz w:val="28"/>
          <w:szCs w:val="22"/>
          <w:lang w:val="en-US" w:eastAsia="zh-CN" w:bidi="ar-SA"/>
        </w:rPr>
        <w:t>进行评估，监测时间间隔可以为90天，采集统计所有公司的电子发票税务数据中初审合格的发票总金额并取值标记为P1；</w:t>
      </w:r>
    </w:p>
    <w:p w14:paraId="57D6212A">
      <w:pPr>
        <w:pStyle w:val="22"/>
        <w:rPr>
          <w:rFonts w:hint="eastAsia" w:ascii="宋体" w:hAnsi="宋体" w:eastAsia="宋体" w:cs="宋体"/>
          <w:snapToGrid/>
          <w:spacing w:val="0"/>
          <w:kern w:val="2"/>
          <w:sz w:val="28"/>
          <w:szCs w:val="22"/>
          <w:lang w:val="en-US" w:eastAsia="zh-CN" w:bidi="ar-SA"/>
        </w:rPr>
      </w:pPr>
      <w:r>
        <w:rPr>
          <w:rFonts w:hint="eastAsia" w:ascii="宋体" w:hAnsi="宋体" w:eastAsia="宋体" w:cs="宋体"/>
          <w:snapToGrid/>
          <w:spacing w:val="0"/>
          <w:kern w:val="2"/>
          <w:sz w:val="28"/>
          <w:szCs w:val="22"/>
          <w:lang w:val="en-US" w:eastAsia="zh-CN" w:bidi="ar-SA"/>
        </w:rPr>
        <w:t>采集统计所有公司的电子发票税务数据中初审异常的发票总金额并取值标记为P2；</w:t>
      </w:r>
    </w:p>
    <w:p w14:paraId="65837549">
      <w:pPr>
        <w:pStyle w:val="22"/>
        <w:rPr>
          <w:rFonts w:hint="eastAsia" w:ascii="宋体" w:hAnsi="宋体" w:eastAsia="宋体" w:cs="宋体"/>
          <w:snapToGrid/>
          <w:spacing w:val="0"/>
          <w:kern w:val="2"/>
          <w:sz w:val="28"/>
          <w:szCs w:val="22"/>
          <w:lang w:val="en-US" w:eastAsia="zh-CN" w:bidi="ar-SA"/>
        </w:rPr>
      </w:pPr>
      <w:r>
        <w:rPr>
          <w:rFonts w:hint="eastAsia" w:ascii="宋体" w:hAnsi="宋体" w:eastAsia="宋体" w:cs="宋体"/>
          <w:snapToGrid/>
          <w:spacing w:val="0"/>
          <w:kern w:val="2"/>
          <w:sz w:val="28"/>
          <w:szCs w:val="22"/>
          <w:lang w:val="en-US" w:eastAsia="zh-CN" w:bidi="ar-SA"/>
        </w:rPr>
        <w:t>采集统计所有公司的达标交易的总次数并取值标记为P3；通过公式将所有公司的初审合格的发票总金额、初审异常的发票总金额和达标交易的总次数进行联立计算得到资料推估值；该公式为：</w:t>
      </w:r>
    </w:p>
    <w:p w14:paraId="13F864C9">
      <w:pPr>
        <w:pStyle w:val="22"/>
        <w:jc w:val="center"/>
        <w:rPr>
          <w:rFonts w:hint="eastAsia" w:ascii="宋体" w:hAnsi="宋体" w:eastAsia="宋体" w:cs="宋体"/>
          <w:snapToGrid/>
          <w:spacing w:val="0"/>
          <w:kern w:val="2"/>
          <w:sz w:val="28"/>
          <w:szCs w:val="22"/>
          <w:lang w:val="en-US" w:eastAsia="zh-CN" w:bidi="ar-SA"/>
        </w:rPr>
      </w:pPr>
      <w:r>
        <w:rPr>
          <w:rFonts w:hint="eastAsia" w:ascii="宋体" w:hAnsi="宋体" w:eastAsia="宋体" w:cs="宋体"/>
          <w:snapToGrid/>
          <w:spacing w:val="0"/>
          <w:kern w:val="2"/>
          <w:sz w:val="28"/>
          <w:szCs w:val="22"/>
          <w:lang w:val="en-US" w:eastAsia="zh-CN" w:bidi="ar-SA"/>
        </w:rPr>
        <w:t>TG=LG×(b1×P1-b2×P2+b3×P3)</w:t>
      </w:r>
    </w:p>
    <w:p w14:paraId="3BE9F5A0">
      <w:pPr>
        <w:pStyle w:val="22"/>
        <w:rPr>
          <w:rFonts w:hint="eastAsia" w:ascii="宋体" w:hAnsi="宋体" w:eastAsia="宋体" w:cs="宋体"/>
          <w:snapToGrid/>
          <w:spacing w:val="0"/>
          <w:kern w:val="2"/>
          <w:sz w:val="28"/>
          <w:szCs w:val="22"/>
          <w:lang w:val="en-US" w:eastAsia="zh-CN" w:bidi="ar-SA"/>
        </w:rPr>
      </w:pPr>
      <w:r>
        <w:rPr>
          <w:rFonts w:hint="eastAsia" w:ascii="宋体" w:hAnsi="宋体" w:eastAsia="宋体" w:cs="宋体"/>
          <w:snapToGrid/>
          <w:spacing w:val="0"/>
          <w:kern w:val="2"/>
          <w:sz w:val="28"/>
          <w:szCs w:val="22"/>
          <w:lang w:val="en-US" w:eastAsia="zh-CN" w:bidi="ar-SA"/>
        </w:rPr>
        <w:t>式中，b1、b2、b3为不同的比例系数，0＜b3＜b2＜b1，b1可以取值为4.625，b2可以取值为2.681，b3可以取值为1.214；</w:t>
      </w:r>
    </w:p>
    <w:p w14:paraId="2184E2A3">
      <w:pPr>
        <w:pStyle w:val="22"/>
        <w:rPr>
          <w:rFonts w:hint="eastAsia" w:ascii="宋体" w:hAnsi="宋体" w:eastAsia="宋体" w:cs="宋体"/>
          <w:snapToGrid/>
          <w:spacing w:val="0"/>
          <w:kern w:val="2"/>
          <w:sz w:val="28"/>
          <w:szCs w:val="22"/>
          <w:lang w:val="en-US" w:eastAsia="zh-CN" w:bidi="ar-SA"/>
        </w:rPr>
      </w:pPr>
      <w:r>
        <w:rPr>
          <w:rFonts w:hint="eastAsia" w:ascii="宋体" w:hAnsi="宋体" w:eastAsia="宋体" w:cs="宋体"/>
          <w:snapToGrid/>
          <w:spacing w:val="0"/>
          <w:kern w:val="2"/>
          <w:sz w:val="28"/>
          <w:szCs w:val="22"/>
          <w:lang w:val="en-US" w:eastAsia="zh-CN" w:bidi="ar-SA"/>
        </w:rPr>
        <w:t>需要注意的是，资料推估值是用于将公司的税务数据和达标交易数据中的各个数据项进行联立来对其性质进行整体评估的数值；基于资料推估值来评估不同类型的公司是否满足相对应的税务政策的推送条件；</w:t>
      </w:r>
    </w:p>
    <w:p w14:paraId="422DC4A0">
      <w:pPr>
        <w:pStyle w:val="22"/>
        <w:rPr>
          <w:rFonts w:hint="eastAsia" w:ascii="宋体" w:hAnsi="宋体" w:eastAsia="宋体" w:cs="宋体"/>
          <w:snapToGrid/>
          <w:spacing w:val="0"/>
          <w:kern w:val="2"/>
          <w:sz w:val="28"/>
          <w:szCs w:val="22"/>
          <w:lang w:val="en-US" w:eastAsia="zh-CN" w:bidi="ar-SA"/>
        </w:rPr>
      </w:pPr>
      <w:r>
        <w:rPr>
          <w:rFonts w:hint="eastAsia" w:ascii="宋体" w:hAnsi="宋体" w:eastAsia="宋体" w:cs="宋体"/>
          <w:snapToGrid/>
          <w:spacing w:val="0"/>
          <w:kern w:val="2"/>
          <w:sz w:val="28"/>
          <w:szCs w:val="22"/>
          <w:lang w:val="en-US" w:eastAsia="zh-CN" w:bidi="ar-SA"/>
        </w:rPr>
        <w:t>上述公式是去除量纲取其数值计算，通过采集大量数据进行软件模拟得到最接近真实情况的一个公式；</w:t>
      </w:r>
    </w:p>
    <w:p w14:paraId="03E716A8">
      <w:pPr>
        <w:pStyle w:val="22"/>
        <w:rPr>
          <w:rFonts w:hint="eastAsia" w:ascii="宋体" w:hAnsi="宋体" w:eastAsia="宋体" w:cs="宋体"/>
          <w:snapToGrid/>
          <w:spacing w:val="0"/>
          <w:kern w:val="2"/>
          <w:sz w:val="28"/>
          <w:szCs w:val="22"/>
          <w:lang w:val="en-US" w:eastAsia="zh-CN" w:bidi="ar-SA"/>
        </w:rPr>
      </w:pPr>
      <w:r>
        <w:rPr>
          <w:rFonts w:hint="eastAsia" w:ascii="宋体" w:hAnsi="宋体" w:eastAsia="宋体" w:cs="宋体"/>
          <w:snapToGrid/>
          <w:spacing w:val="0"/>
          <w:kern w:val="2"/>
          <w:sz w:val="28"/>
          <w:szCs w:val="22"/>
          <w:lang w:val="en-US" w:eastAsia="zh-CN" w:bidi="ar-SA"/>
        </w:rPr>
        <w:t>将相同公司类别的资料推估值进行降序排列，得到若干个资料推估排序集，并将若干个资料推估排序集中排前k位的资料推估值设定为目标推估值，k为正整数，将目标推估值对应的公司设定为目标公司；</w:t>
      </w:r>
    </w:p>
    <w:p w14:paraId="0EA82E01">
      <w:pPr>
        <w:pStyle w:val="22"/>
        <w:rPr>
          <w:rFonts w:hint="eastAsia" w:ascii="宋体" w:hAnsi="宋体" w:eastAsia="宋体" w:cs="宋体"/>
          <w:snapToGrid/>
          <w:spacing w:val="0"/>
          <w:kern w:val="2"/>
          <w:sz w:val="28"/>
          <w:szCs w:val="22"/>
          <w:lang w:val="en-US" w:eastAsia="zh-CN" w:bidi="ar-SA"/>
        </w:rPr>
      </w:pPr>
      <w:r>
        <w:rPr>
          <w:rFonts w:hint="eastAsia" w:ascii="宋体" w:hAnsi="宋体" w:eastAsia="宋体" w:cs="宋体"/>
          <w:snapToGrid/>
          <w:spacing w:val="0"/>
          <w:kern w:val="2"/>
          <w:sz w:val="28"/>
          <w:szCs w:val="22"/>
          <w:lang w:val="en-US" w:eastAsia="zh-CN" w:bidi="ar-SA"/>
        </w:rPr>
        <w:t>将政策排序集中排序的若干个税务政策自适应的推送给相关联的若干个目标公司。</w:t>
      </w:r>
    </w:p>
    <w:p w14:paraId="6A199077">
      <w:pPr>
        <w:pStyle w:val="22"/>
        <w:ind w:left="0" w:leftChars="0" w:firstLine="560" w:firstLineChars="200"/>
        <w:rPr>
          <w:rFonts w:hint="default" w:ascii="宋体" w:hAnsi="宋体" w:eastAsia="宋体" w:cs="宋体"/>
          <w:snapToGrid/>
          <w:spacing w:val="0"/>
          <w:kern w:val="2"/>
          <w:sz w:val="28"/>
          <w:szCs w:val="22"/>
          <w:lang w:val="en-US" w:eastAsia="zh-CN" w:bidi="ar-SA"/>
        </w:rPr>
      </w:pPr>
      <w:r>
        <w:rPr>
          <w:rFonts w:hint="eastAsia" w:ascii="宋体" w:hAnsi="宋体" w:eastAsia="宋体" w:cs="宋体"/>
          <w:snapToGrid/>
          <w:spacing w:val="0"/>
          <w:kern w:val="2"/>
          <w:sz w:val="28"/>
          <w:szCs w:val="22"/>
          <w:lang w:val="en-US" w:eastAsia="zh-CN" w:bidi="ar-SA"/>
        </w:rPr>
        <w:t>本发明实施例中，通过对不同类型的税务政策进行预处理，并与不同类型公司的税务数据和达标交易数据进行联立和匹配，可以自适应的将不同类型的税务政策推送给对应的公司，实现了对电子发票税务数据分析的拓展，有效提高了电子发票税务数据分析的整体效果。</w:t>
      </w:r>
    </w:p>
    <w:p w14:paraId="04CA31E0">
      <w:pPr>
        <w:pStyle w:val="22"/>
        <w:rPr>
          <w:rFonts w:hint="eastAsia" w:ascii="宋体" w:hAnsi="宋体" w:eastAsia="宋体" w:cs="宋体"/>
          <w:snapToGrid/>
          <w:spacing w:val="0"/>
          <w:kern w:val="2"/>
          <w:sz w:val="28"/>
          <w:szCs w:val="22"/>
          <w:lang w:val="en-US" w:eastAsia="zh-CN" w:bidi="ar-SA"/>
        </w:rPr>
      </w:pPr>
    </w:p>
    <w:p w14:paraId="28C6E1EA">
      <w:pPr>
        <w:pStyle w:val="22"/>
        <w:ind w:left="0" w:leftChars="0" w:firstLine="560" w:firstLineChars="200"/>
        <w:rPr>
          <w:rFonts w:hint="eastAsia" w:ascii="宋体" w:hAnsi="宋体" w:eastAsia="宋体" w:cs="宋体"/>
          <w:snapToGrid/>
          <w:spacing w:val="0"/>
          <w:kern w:val="2"/>
          <w:sz w:val="28"/>
          <w:szCs w:val="22"/>
          <w:lang w:val="en-US" w:eastAsia="zh-CN" w:bidi="ar-SA"/>
        </w:rPr>
      </w:pPr>
      <w:r>
        <w:rPr>
          <w:rFonts w:hint="eastAsia" w:ascii="宋体" w:hAnsi="宋体" w:eastAsia="宋体" w:cs="宋体"/>
          <w:snapToGrid/>
          <w:spacing w:val="0"/>
          <w:kern w:val="2"/>
          <w:sz w:val="28"/>
          <w:szCs w:val="22"/>
          <w:lang w:val="en-US" w:eastAsia="zh-CN" w:bidi="ar-SA"/>
        </w:rPr>
        <w:t>参照图2所示，为本发明一实施例提供的一种基于互联网的电子发票税务数据智能分析方法的电子设备的结构示意图。在本实施例中，基于互联网的电子发票税务数据智能分析方法的电子设备，可以包括处理器、存储器、通信总线以及通信接口，还可以包括存储在存储器中并可在处理器上运行的计算机程序。</w:t>
      </w:r>
    </w:p>
    <w:p w14:paraId="0ADCB20F">
      <w:pPr>
        <w:pStyle w:val="22"/>
        <w:ind w:left="0" w:leftChars="0" w:firstLine="560" w:firstLineChars="200"/>
        <w:rPr>
          <w:rFonts w:hint="eastAsia" w:ascii="宋体" w:hAnsi="宋体" w:eastAsia="宋体" w:cs="宋体"/>
          <w:snapToGrid/>
          <w:spacing w:val="0"/>
          <w:kern w:val="2"/>
          <w:sz w:val="28"/>
          <w:szCs w:val="22"/>
          <w:lang w:val="en-US" w:eastAsia="zh-CN" w:bidi="ar-SA"/>
        </w:rPr>
      </w:pPr>
      <w:r>
        <w:rPr>
          <w:rFonts w:hint="eastAsia" w:ascii="宋体" w:hAnsi="宋体" w:eastAsia="宋体" w:cs="宋体"/>
          <w:snapToGrid/>
          <w:spacing w:val="0"/>
          <w:kern w:val="2"/>
          <w:sz w:val="28"/>
          <w:szCs w:val="22"/>
          <w:lang w:val="en-US" w:eastAsia="zh-CN" w:bidi="ar-SA"/>
        </w:rPr>
        <w:t>其中，处理器在一些实施例中可以由集成电路组成，例如可以由单个封装的集成电路所组成，也可以是由多个相同功能或不同功能封装的集成电路所组成，包括一个或者多个中央处理器(Central Processing unit，CPU)、微处理器、数字处理芯片、图形处理器及各种控制芯片的组合等。处理器是电子设备的控制核心(ControlUnit)，利用各种接口和线路连接整个电子设备的各个部件，通过运行或执行存储在存储器内的程序或者模块(例如一种基于互联网的电子发票税务数据智能分析程序等)，以及调用存储在存储器内的数据，以执行电子设备的各种功能和处理数据。</w:t>
      </w:r>
    </w:p>
    <w:p w14:paraId="6AA21F3F">
      <w:pPr>
        <w:pStyle w:val="22"/>
        <w:ind w:left="0" w:leftChars="0" w:firstLine="560" w:firstLineChars="200"/>
        <w:rPr>
          <w:rFonts w:hint="eastAsia" w:ascii="宋体" w:hAnsi="宋体" w:eastAsia="宋体" w:cs="宋体"/>
          <w:snapToGrid/>
          <w:spacing w:val="0"/>
          <w:kern w:val="2"/>
          <w:sz w:val="28"/>
          <w:szCs w:val="22"/>
          <w:lang w:val="en-US" w:eastAsia="zh-CN" w:bidi="ar-SA"/>
        </w:rPr>
      </w:pPr>
      <w:r>
        <w:rPr>
          <w:rFonts w:hint="eastAsia" w:ascii="宋体" w:hAnsi="宋体" w:eastAsia="宋体" w:cs="宋体"/>
          <w:snapToGrid/>
          <w:spacing w:val="0"/>
          <w:kern w:val="2"/>
          <w:sz w:val="28"/>
          <w:szCs w:val="22"/>
          <w:lang w:val="en-US" w:eastAsia="zh-CN" w:bidi="ar-SA"/>
        </w:rPr>
        <w:t>存储器至少包括一种类型的可读存储介质，可读存储介质包括闪存、移动硬盘、多媒体卡、卡型存储器(例如：SD或DX存储器等)、磁性存储器、磁盘、光盘等。存储器在一些实施例中可以是电子设备的内部存储单元，例如该电子设备的移动硬盘。存储器在另一些实施例中也可以是电子设备的外部存储设备，例如电子设备上配备的插接式移动硬盘、智能存储卡(Smart Media Card，SMC)、安全数字(Secure Digital，SD)卡、闪存卡(Flash Card)等。存储器还可以既包括电子设备的内部存储单元也包括外部存储设备。存储器不仅可以用于存储安装于电子设备的应用软件及各类数据，例如一种基于互联网的电子发票税务数据智能分析程序的代码等，还可以用于暂时地存储已经输出或者将要输出的数据。</w:t>
      </w:r>
    </w:p>
    <w:p w14:paraId="2A9F70EC">
      <w:pPr>
        <w:pStyle w:val="22"/>
        <w:ind w:left="0" w:leftChars="0" w:firstLine="560" w:firstLineChars="200"/>
        <w:rPr>
          <w:rFonts w:hint="eastAsia" w:ascii="宋体" w:hAnsi="宋体" w:eastAsia="宋体" w:cs="宋体"/>
          <w:snapToGrid/>
          <w:spacing w:val="0"/>
          <w:kern w:val="2"/>
          <w:sz w:val="28"/>
          <w:szCs w:val="22"/>
          <w:lang w:val="en-US" w:eastAsia="zh-CN" w:bidi="ar-SA"/>
        </w:rPr>
      </w:pPr>
      <w:r>
        <w:rPr>
          <w:rFonts w:hint="eastAsia" w:ascii="宋体" w:hAnsi="宋体" w:eastAsia="宋体" w:cs="宋体"/>
          <w:snapToGrid/>
          <w:spacing w:val="0"/>
          <w:kern w:val="2"/>
          <w:sz w:val="28"/>
          <w:szCs w:val="22"/>
          <w:lang w:val="en-US" w:eastAsia="zh-CN" w:bidi="ar-SA"/>
        </w:rPr>
        <w:t>通信总线可以是外设部件互连标准(peripheral componentinterconnect，简称PCI)总线或扩展工业标准结构(extended industry standardarchitecture，简称EISA)总线等。该总线可以分为地址总线、数据总线、控制总线等。总线被设置为实现所述存储器以及至少一个处理器等之间的连接通信。</w:t>
      </w:r>
    </w:p>
    <w:p w14:paraId="29F5BFE3">
      <w:pPr>
        <w:pStyle w:val="22"/>
        <w:ind w:left="0" w:leftChars="0" w:firstLine="560" w:firstLineChars="200"/>
        <w:rPr>
          <w:rFonts w:hint="eastAsia" w:ascii="宋体" w:hAnsi="宋体" w:eastAsia="宋体" w:cs="宋体"/>
          <w:snapToGrid/>
          <w:spacing w:val="0"/>
          <w:kern w:val="2"/>
          <w:sz w:val="28"/>
          <w:szCs w:val="22"/>
          <w:lang w:val="en-US" w:eastAsia="zh-CN" w:bidi="ar-SA"/>
        </w:rPr>
      </w:pPr>
      <w:r>
        <w:rPr>
          <w:rFonts w:hint="eastAsia" w:ascii="宋体" w:hAnsi="宋体" w:eastAsia="宋体" w:cs="宋体"/>
          <w:snapToGrid/>
          <w:spacing w:val="0"/>
          <w:kern w:val="2"/>
          <w:sz w:val="28"/>
          <w:szCs w:val="22"/>
          <w:lang w:val="en-US" w:eastAsia="zh-CN" w:bidi="ar-SA"/>
        </w:rPr>
        <w:t>通信接口用于上述电子设备与其他设备之间的通信，包括网络接口和用户接口。可选地，网络接口可以包括有线接口和/或无线接口(如WI-FI接口、蓝牙接口等)，通常用于在该电子设备与其他电子设备之间建立通信连接。用户接口可以是显示器(Display)、输入单元(比如键盘(Keyboard))，可选地，用户接口还可以是标准的有线接口、无线接口。可选地，在一些实施例中，显示器可以是LED显示器、液晶显示器、触控式液晶显示器以及OLED(Organic Light-Emitting Diode，有机发光二极管)触摸器等。其中，显示器也可以适当的称为显示屏或显示单元，用于显示在电子设备中处理的信息以及用于显示可视化的用户界面。</w:t>
      </w:r>
    </w:p>
    <w:p w14:paraId="1C6C1A77">
      <w:pPr>
        <w:pStyle w:val="22"/>
        <w:ind w:left="0" w:leftChars="0" w:firstLine="560" w:firstLineChars="200"/>
        <w:rPr>
          <w:rFonts w:hint="eastAsia" w:ascii="宋体" w:hAnsi="宋体" w:eastAsia="宋体" w:cs="宋体"/>
          <w:snapToGrid/>
          <w:spacing w:val="0"/>
          <w:kern w:val="2"/>
          <w:sz w:val="28"/>
          <w:szCs w:val="22"/>
          <w:lang w:val="en-US" w:eastAsia="zh-CN" w:bidi="ar-SA"/>
        </w:rPr>
      </w:pPr>
      <w:r>
        <w:rPr>
          <w:rFonts w:hint="eastAsia" w:ascii="宋体" w:hAnsi="宋体" w:eastAsia="宋体" w:cs="宋体"/>
          <w:snapToGrid/>
          <w:spacing w:val="0"/>
          <w:kern w:val="2"/>
          <w:sz w:val="28"/>
          <w:szCs w:val="22"/>
          <w:lang w:val="en-US" w:eastAsia="zh-CN" w:bidi="ar-SA"/>
        </w:rPr>
        <w:t>图2仅示出了具有部件的电子设备，本领域技术人员可以理解的是，图2示出的结构并不构成对电子设备的限定，可以包括比图示更少或者更多的部件，或者组合某些部件，或者不同的部件布置。</w:t>
      </w:r>
    </w:p>
    <w:p w14:paraId="58E6BB18">
      <w:pPr>
        <w:pStyle w:val="22"/>
        <w:ind w:left="0" w:leftChars="0" w:firstLine="560" w:firstLineChars="200"/>
        <w:rPr>
          <w:rFonts w:hint="eastAsia" w:ascii="宋体" w:hAnsi="宋体" w:eastAsia="宋体" w:cs="宋体"/>
          <w:snapToGrid/>
          <w:spacing w:val="0"/>
          <w:kern w:val="2"/>
          <w:sz w:val="28"/>
          <w:szCs w:val="22"/>
          <w:lang w:val="en-US" w:eastAsia="zh-CN" w:bidi="ar-SA"/>
        </w:rPr>
      </w:pPr>
      <w:r>
        <w:rPr>
          <w:rFonts w:hint="eastAsia" w:ascii="宋体" w:hAnsi="宋体" w:eastAsia="宋体" w:cs="宋体"/>
          <w:snapToGrid/>
          <w:spacing w:val="0"/>
          <w:kern w:val="2"/>
          <w:sz w:val="28"/>
          <w:szCs w:val="22"/>
          <w:lang w:val="en-US" w:eastAsia="zh-CN" w:bidi="ar-SA"/>
        </w:rPr>
        <w:t>例如，尽管未示出，电子设备还可以包括给各个部件供电的电源(比如电池)，优选地，电源可以通过电源管理装置与至少一个处理器逻辑相连，从而通过电源管理装置实现充电管理、放电管理、以及功耗管理等功能。电源还可以包括一个或一个以上的直流或交流电源、再充电装置、电源故障检测电路、电源转换器或者逆变器、电源状态指示器等任意组件。电子设备还可以包括多种传感器、蓝牙模块、Wi-Fi模块等，在此不再赘述。</w:t>
      </w:r>
    </w:p>
    <w:p w14:paraId="0BC221B9">
      <w:pPr>
        <w:pStyle w:val="22"/>
        <w:ind w:left="0" w:leftChars="0" w:firstLine="560" w:firstLineChars="200"/>
        <w:rPr>
          <w:rFonts w:hint="eastAsia" w:ascii="宋体" w:hAnsi="宋体" w:eastAsia="宋体" w:cs="宋体"/>
          <w:snapToGrid/>
          <w:spacing w:val="0"/>
          <w:kern w:val="2"/>
          <w:sz w:val="28"/>
          <w:szCs w:val="22"/>
          <w:lang w:val="en-US" w:eastAsia="zh-CN" w:bidi="ar-SA"/>
        </w:rPr>
      </w:pPr>
      <w:r>
        <w:rPr>
          <w:rFonts w:hint="eastAsia" w:ascii="宋体" w:hAnsi="宋体" w:eastAsia="宋体" w:cs="宋体"/>
          <w:snapToGrid/>
          <w:spacing w:val="0"/>
          <w:kern w:val="2"/>
          <w:sz w:val="28"/>
          <w:szCs w:val="22"/>
          <w:lang w:val="en-US" w:eastAsia="zh-CN" w:bidi="ar-SA"/>
        </w:rPr>
        <w:t>应该了解，所述实施例仅为说明之用，在专利申请范围上并不受此结构的限制。电子设备中的存储器存储的程序是多个指令的组合，在处理器中运行时，可以实现一种基于互联网的电子发票税务数据智能分析方法各个步骤的实施和运行。</w:t>
      </w:r>
    </w:p>
    <w:p w14:paraId="133951E7">
      <w:pPr>
        <w:pStyle w:val="22"/>
        <w:ind w:left="0" w:leftChars="0" w:firstLine="560" w:firstLineChars="200"/>
        <w:rPr>
          <w:rFonts w:hint="eastAsia" w:ascii="宋体" w:hAnsi="宋体" w:eastAsia="宋体" w:cs="宋体"/>
          <w:snapToGrid/>
          <w:spacing w:val="0"/>
          <w:kern w:val="2"/>
          <w:sz w:val="28"/>
          <w:szCs w:val="22"/>
          <w:lang w:val="en-US" w:eastAsia="zh-CN" w:bidi="ar-SA"/>
        </w:rPr>
      </w:pPr>
      <w:r>
        <w:rPr>
          <w:rFonts w:hint="eastAsia" w:ascii="宋体" w:hAnsi="宋体" w:eastAsia="宋体" w:cs="宋体"/>
          <w:snapToGrid/>
          <w:spacing w:val="0"/>
          <w:kern w:val="2"/>
          <w:sz w:val="28"/>
          <w:szCs w:val="22"/>
          <w:lang w:val="en-US" w:eastAsia="zh-CN" w:bidi="ar-SA"/>
        </w:rPr>
        <w:t>具体地，处理器对上述指令的具体实现方法可参考附图对应实施例中相关步骤的描述，在此不赘述。</w:t>
      </w:r>
    </w:p>
    <w:p w14:paraId="4DAB5F0C">
      <w:pPr>
        <w:pStyle w:val="22"/>
        <w:ind w:left="0" w:leftChars="0" w:firstLine="560" w:firstLineChars="200"/>
        <w:rPr>
          <w:rFonts w:hint="eastAsia" w:ascii="宋体" w:hAnsi="宋体" w:eastAsia="宋体" w:cs="宋体"/>
          <w:snapToGrid/>
          <w:spacing w:val="0"/>
          <w:kern w:val="2"/>
          <w:sz w:val="28"/>
          <w:szCs w:val="22"/>
          <w:lang w:val="en-US" w:eastAsia="zh-CN" w:bidi="ar-SA"/>
        </w:rPr>
      </w:pPr>
      <w:r>
        <w:rPr>
          <w:rFonts w:hint="eastAsia" w:ascii="宋体" w:hAnsi="宋体" w:eastAsia="宋体" w:cs="宋体"/>
          <w:snapToGrid/>
          <w:spacing w:val="0"/>
          <w:kern w:val="2"/>
          <w:sz w:val="28"/>
          <w:szCs w:val="22"/>
          <w:lang w:val="en-US" w:eastAsia="zh-CN" w:bidi="ar-SA"/>
        </w:rPr>
        <w:t>电子设备集成的模块/单元如果以软件功能单元的形式实现并作为独立的产品销售或使用时，可以存储在一个计算机可读存储介质中。计算机可读存储介质可以是易失性的，也可以是非易失性的。例如，计算机可读介质可以包括：能够携带所述计算机程序代码的任何实体或装置、记录介质、U盘、移动硬盘、磁碟、光盘、计算机存储器、只读存储器(ROM，Read-Only Memory)。</w:t>
      </w:r>
    </w:p>
    <w:p w14:paraId="795F56CF">
      <w:pPr>
        <w:pStyle w:val="22"/>
        <w:ind w:left="0" w:leftChars="0" w:firstLine="560" w:firstLineChars="200"/>
        <w:rPr>
          <w:rFonts w:hint="eastAsia" w:ascii="宋体" w:hAnsi="宋体" w:eastAsia="宋体" w:cs="宋体"/>
          <w:snapToGrid/>
          <w:spacing w:val="0"/>
          <w:kern w:val="2"/>
          <w:sz w:val="28"/>
          <w:szCs w:val="22"/>
          <w:lang w:val="en-US" w:eastAsia="zh-CN" w:bidi="ar-SA"/>
        </w:rPr>
      </w:pPr>
      <w:r>
        <w:rPr>
          <w:rFonts w:hint="eastAsia" w:ascii="宋体" w:hAnsi="宋体" w:eastAsia="宋体" w:cs="宋体"/>
          <w:snapToGrid/>
          <w:spacing w:val="0"/>
          <w:kern w:val="2"/>
          <w:sz w:val="28"/>
          <w:szCs w:val="22"/>
          <w:lang w:val="en-US" w:eastAsia="zh-CN" w:bidi="ar-SA"/>
        </w:rPr>
        <w:t>在本发明所提供的几个实施例中，应该理解到，所揭露的设备，装置和方法，可以通过其它的方式实现。例如，以上所描述的装置实施例仅仅是示意性的，例如，上述模块的划分，仅仅为一种逻辑功能划分，实际实现时可以有另外的划分方式。</w:t>
      </w:r>
    </w:p>
    <w:p w14:paraId="113BED1D">
      <w:pPr>
        <w:pStyle w:val="22"/>
        <w:ind w:left="0" w:leftChars="0" w:firstLine="560" w:firstLineChars="200"/>
        <w:rPr>
          <w:rFonts w:hint="eastAsia" w:ascii="宋体" w:hAnsi="宋体" w:eastAsia="宋体" w:cs="宋体"/>
          <w:snapToGrid/>
          <w:spacing w:val="0"/>
          <w:kern w:val="2"/>
          <w:sz w:val="28"/>
          <w:szCs w:val="22"/>
          <w:lang w:val="en-US" w:eastAsia="zh-CN" w:bidi="ar-SA"/>
        </w:rPr>
      </w:pPr>
      <w:r>
        <w:rPr>
          <w:rFonts w:hint="eastAsia" w:ascii="宋体" w:hAnsi="宋体" w:eastAsia="宋体" w:cs="宋体"/>
          <w:snapToGrid/>
          <w:spacing w:val="0"/>
          <w:kern w:val="2"/>
          <w:sz w:val="28"/>
          <w:szCs w:val="22"/>
          <w:lang w:val="en-US" w:eastAsia="zh-CN" w:bidi="ar-SA"/>
        </w:rPr>
        <w:t>作为分离部件说明的模块可以是或者也可以不是物理上分开的，作为模块显示的部件可以是或者也可以不是物理单元，即可以位于一个地方，或者也可以分布到多个网络单元上。可以根据实际的需要选择其中的部分或者全部模块来实现本实施例方案的目的。</w:t>
      </w:r>
    </w:p>
    <w:p w14:paraId="216C8B57">
      <w:pPr>
        <w:pStyle w:val="22"/>
        <w:ind w:left="0" w:leftChars="0" w:firstLine="560" w:firstLineChars="200"/>
        <w:rPr>
          <w:rFonts w:hint="eastAsia" w:ascii="宋体" w:hAnsi="宋体" w:eastAsia="宋体" w:cs="宋体"/>
          <w:snapToGrid/>
          <w:spacing w:val="0"/>
          <w:kern w:val="2"/>
          <w:sz w:val="28"/>
          <w:szCs w:val="22"/>
          <w:lang w:val="en-US" w:eastAsia="zh-CN" w:bidi="ar-SA"/>
        </w:rPr>
      </w:pPr>
      <w:r>
        <w:rPr>
          <w:rFonts w:hint="eastAsia" w:ascii="宋体" w:hAnsi="宋体" w:eastAsia="宋体" w:cs="宋体"/>
          <w:snapToGrid/>
          <w:spacing w:val="0"/>
          <w:kern w:val="2"/>
          <w:sz w:val="28"/>
          <w:szCs w:val="22"/>
          <w:lang w:val="en-US" w:eastAsia="zh-CN" w:bidi="ar-SA"/>
        </w:rPr>
        <w:t>另外，在本发明各个实施例中的各功能模块可以集成在一个处理单元中，也可以是各个单元单独物理存在，也可以两个或两个以上单元集成在一个单元中。上述集成的单元既可以采用硬件的形式实现，也可以采用硬件加软件功能模块的形式实现。</w:t>
      </w:r>
    </w:p>
    <w:p w14:paraId="199294CE">
      <w:pPr>
        <w:pStyle w:val="22"/>
        <w:ind w:left="0" w:leftChars="0" w:firstLine="560" w:firstLineChars="200"/>
        <w:rPr>
          <w:rFonts w:hint="eastAsia" w:ascii="宋体" w:hAnsi="宋体" w:eastAsia="宋体" w:cs="宋体"/>
          <w:snapToGrid/>
          <w:spacing w:val="0"/>
          <w:kern w:val="2"/>
          <w:sz w:val="28"/>
          <w:szCs w:val="22"/>
          <w:lang w:val="en-US" w:eastAsia="zh-CN" w:bidi="ar-SA"/>
        </w:rPr>
      </w:pPr>
      <w:r>
        <w:rPr>
          <w:rFonts w:hint="eastAsia" w:ascii="宋体" w:hAnsi="宋体" w:eastAsia="宋体" w:cs="宋体"/>
          <w:snapToGrid/>
          <w:spacing w:val="0"/>
          <w:kern w:val="2"/>
          <w:sz w:val="28"/>
          <w:szCs w:val="22"/>
          <w:lang w:val="en-US" w:eastAsia="zh-CN" w:bidi="ar-SA"/>
        </w:rPr>
        <w:t>对于本领域技术人员而言，显然本发明不限于上述示范性实施例的细节，而且在不背离本发明的精神或基本特征的情况下，能够以其他的具体形式实现本发明。</w:t>
      </w:r>
    </w:p>
    <w:p w14:paraId="090A897F">
      <w:pPr>
        <w:pStyle w:val="22"/>
        <w:ind w:left="0" w:leftChars="0" w:firstLine="560" w:firstLineChars="200"/>
        <w:rPr>
          <w:rFonts w:hint="eastAsia" w:cs="Times New Roman"/>
          <w:snapToGrid/>
          <w:spacing w:val="0"/>
          <w:kern w:val="2"/>
          <w:sz w:val="28"/>
          <w:lang w:val="en-US" w:eastAsia="zh-CN" w:bidi="ar-SA"/>
        </w:rPr>
        <w:sectPr>
          <w:footerReference r:id="rId6" w:type="default"/>
          <w:type w:val="oddPage"/>
          <w:pgSz w:w="11907" w:h="16840"/>
          <w:pgMar w:top="1418" w:right="947" w:bottom="851" w:left="1418" w:header="0" w:footer="851" w:gutter="0"/>
          <w:lnNumType w:countBy="0"/>
          <w:pgNumType w:start="1"/>
          <w:cols w:space="720" w:num="1"/>
          <w:docGrid w:linePitch="432" w:charSpace="0"/>
        </w:sectPr>
      </w:pPr>
      <w:r>
        <w:rPr>
          <w:rFonts w:hint="eastAsia" w:ascii="宋体" w:hAnsi="宋体" w:eastAsia="宋体" w:cs="宋体"/>
          <w:snapToGrid/>
          <w:spacing w:val="0"/>
          <w:kern w:val="2"/>
          <w:sz w:val="28"/>
          <w:szCs w:val="22"/>
          <w:lang w:val="en-US" w:eastAsia="zh-CN" w:bidi="ar-SA"/>
        </w:rPr>
        <w:t>因此，无论从哪一点来看，均应将实施例看作是示范性的，而且是非限制性的，本发明的范围由所附权利要求而不是上述说明限定，因此旨在将落在权利要求的等同要件的含义和范围内的所有变化涵括在本发明内。不应将权利要求中的任何附关联图标记视为限制所涉及的权利要求</w:t>
      </w:r>
      <w:r>
        <w:rPr>
          <w:rFonts w:hint="eastAsia" w:cs="Times New Roman"/>
          <w:snapToGrid/>
          <w:spacing w:val="0"/>
          <w:kern w:val="2"/>
          <w:sz w:val="28"/>
          <w:lang w:val="en-US" w:eastAsia="zh-CN" w:bidi="ar-SA"/>
        </w:rPr>
        <w:t>。</w:t>
      </w:r>
    </w:p>
    <w:p w14:paraId="1996DE8A">
      <w:pPr>
        <w:pageBreakBefore/>
        <w:pBdr>
          <w:bottom w:val="single" w:color="auto" w:sz="12" w:space="1"/>
        </w:pBdr>
        <w:spacing w:line="360" w:lineRule="auto"/>
        <w:jc w:val="center"/>
        <w:rPr>
          <w:rFonts w:hint="eastAsia" w:ascii="宋体" w:hAnsi="宋体" w:eastAsia="宋体" w:cs="宋体"/>
          <w:b/>
          <w:bCs/>
          <w:kern w:val="0"/>
          <w:sz w:val="30"/>
          <w:szCs w:val="28"/>
        </w:rPr>
      </w:pPr>
      <w:r>
        <w:rPr>
          <w:rFonts w:hint="eastAsia" w:ascii="宋体" w:hAnsi="宋体" w:eastAsia="宋体" w:cs="宋体"/>
          <w:b/>
          <w:bCs/>
          <w:kern w:val="0"/>
          <w:sz w:val="30"/>
          <w:szCs w:val="28"/>
        </w:rPr>
        <w:t>说    明    书    附    图</w:t>
      </w:r>
    </w:p>
    <w:p w14:paraId="17252798">
      <w:pPr>
        <w:spacing w:line="360" w:lineRule="auto"/>
        <w:jc w:val="center"/>
        <w:rPr>
          <w:rFonts w:hint="eastAsia" w:ascii="宋体" w:hAnsi="宋体" w:eastAsia="宋体" w:cs="宋体"/>
          <w:color w:val="000000"/>
          <w:sz w:val="32"/>
          <w:szCs w:val="32"/>
          <w:lang w:eastAsia="zh-CN"/>
        </w:rPr>
      </w:pPr>
    </w:p>
    <w:p w14:paraId="5E659709">
      <w:pPr>
        <w:spacing w:line="360" w:lineRule="auto"/>
        <w:jc w:val="center"/>
        <w:rPr>
          <w:rFonts w:hint="eastAsia" w:eastAsia="宋体"/>
          <w:lang w:eastAsia="zh-CN"/>
        </w:rPr>
      </w:pPr>
      <w:r>
        <w:rPr>
          <w:rFonts w:hint="eastAsia" w:eastAsia="楷体_GB2312"/>
          <w:kern w:val="0"/>
          <w:sz w:val="28"/>
          <w:szCs w:val="28"/>
          <w:lang w:eastAsia="zh-CN"/>
        </w:rPr>
        <w:object>
          <v:shape id="_x0000_i1156" o:spt="75" type="#_x0000_t75" style="height:375.95pt;width:457.95pt;" o:ole="t" filled="f" o:preferrelative="t" stroked="f" coordsize="21600,21600">
            <v:path/>
            <v:fill on="f" focussize="0,0"/>
            <v:stroke on="f"/>
            <v:imagedata r:id="rId10" o:title=""/>
            <o:lock v:ext="edit" aspectratio="t"/>
            <w10:wrap type="none"/>
            <w10:anchorlock/>
          </v:shape>
          <o:OLEObject Type="Embed" ProgID="Visio.Drawing.11" ShapeID="_x0000_i1156" DrawAspect="Content" ObjectID="_1468075733" r:id="rId21">
            <o:LockedField>false</o:LockedField>
          </o:OLEObject>
        </w:object>
      </w:r>
    </w:p>
    <w:p w14:paraId="17872A89">
      <w:pPr>
        <w:spacing w:line="360" w:lineRule="auto"/>
        <w:jc w:val="center"/>
        <w:rPr>
          <w:rFonts w:hint="eastAsia" w:eastAsia="楷体_GB2312"/>
          <w:kern w:val="0"/>
          <w:sz w:val="28"/>
          <w:szCs w:val="28"/>
          <w:lang w:eastAsia="zh-CN"/>
        </w:rPr>
      </w:pPr>
      <w:r>
        <w:rPr>
          <w:rFonts w:hint="eastAsia" w:ascii="宋体" w:hAnsi="宋体" w:eastAsia="宋体" w:cs="宋体"/>
          <w:kern w:val="0"/>
          <w:sz w:val="28"/>
          <w:szCs w:val="28"/>
        </w:rPr>
        <w:t>图</w:t>
      </w:r>
      <w:r>
        <w:rPr>
          <w:rFonts w:hint="eastAsia" w:ascii="宋体" w:hAnsi="宋体" w:eastAsia="宋体" w:cs="宋体"/>
          <w:kern w:val="0"/>
          <w:sz w:val="28"/>
          <w:szCs w:val="28"/>
          <w:lang w:eastAsia="zh-CN"/>
        </w:rPr>
        <w:t>1</w:t>
      </w:r>
    </w:p>
    <w:p w14:paraId="51E0F27B">
      <w:pPr>
        <w:spacing w:line="360" w:lineRule="auto"/>
        <w:jc w:val="center"/>
        <w:rPr>
          <w:rFonts w:hint="eastAsia" w:eastAsia="楷体_GB2312"/>
          <w:kern w:val="0"/>
          <w:sz w:val="28"/>
          <w:szCs w:val="28"/>
          <w:lang w:eastAsia="zh-CN"/>
        </w:rPr>
      </w:pPr>
    </w:p>
    <w:p w14:paraId="0CE02CA3">
      <w:pPr>
        <w:spacing w:line="360" w:lineRule="auto"/>
        <w:jc w:val="center"/>
        <w:rPr>
          <w:rFonts w:hint="eastAsia" w:eastAsia="楷体_GB2312"/>
          <w:kern w:val="0"/>
          <w:sz w:val="28"/>
          <w:szCs w:val="28"/>
          <w:lang w:eastAsia="zh-CN"/>
        </w:rPr>
      </w:pPr>
    </w:p>
    <w:p w14:paraId="045B3C5C">
      <w:pPr>
        <w:spacing w:line="360" w:lineRule="auto"/>
        <w:jc w:val="center"/>
        <w:rPr>
          <w:rFonts w:hint="eastAsia" w:eastAsia="楷体_GB2312"/>
          <w:kern w:val="0"/>
          <w:sz w:val="28"/>
          <w:szCs w:val="28"/>
          <w:lang w:eastAsia="zh-CN"/>
        </w:rPr>
      </w:pPr>
    </w:p>
    <w:p w14:paraId="3F522914">
      <w:pPr>
        <w:spacing w:line="360" w:lineRule="auto"/>
        <w:jc w:val="center"/>
        <w:rPr>
          <w:rFonts w:hint="eastAsia" w:eastAsia="楷体_GB2312"/>
          <w:kern w:val="0"/>
          <w:sz w:val="28"/>
          <w:szCs w:val="28"/>
          <w:lang w:eastAsia="zh-CN"/>
        </w:rPr>
      </w:pPr>
    </w:p>
    <w:p w14:paraId="79D0A43D">
      <w:pPr>
        <w:spacing w:line="360" w:lineRule="auto"/>
        <w:jc w:val="center"/>
        <w:rPr>
          <w:rFonts w:hint="eastAsia" w:eastAsia="楷体_GB2312"/>
          <w:kern w:val="0"/>
          <w:sz w:val="28"/>
          <w:szCs w:val="28"/>
          <w:lang w:eastAsia="zh-CN"/>
        </w:rPr>
      </w:pPr>
    </w:p>
    <w:p w14:paraId="033AF91B">
      <w:pPr>
        <w:spacing w:line="360" w:lineRule="auto"/>
        <w:jc w:val="center"/>
        <w:rPr>
          <w:rFonts w:hint="eastAsia" w:eastAsia="楷体_GB2312"/>
          <w:kern w:val="0"/>
          <w:sz w:val="28"/>
          <w:szCs w:val="28"/>
          <w:lang w:eastAsia="zh-CN"/>
        </w:rPr>
      </w:pPr>
    </w:p>
    <w:p w14:paraId="2C13943D">
      <w:pPr>
        <w:spacing w:line="360" w:lineRule="auto"/>
        <w:jc w:val="center"/>
        <w:rPr>
          <w:rFonts w:hint="eastAsia" w:ascii="宋体" w:hAnsi="宋体" w:eastAsia="宋体" w:cs="宋体"/>
          <w:kern w:val="0"/>
          <w:sz w:val="28"/>
          <w:szCs w:val="28"/>
          <w:lang w:val="en-US" w:eastAsia="zh-CN"/>
        </w:rPr>
      </w:pPr>
    </w:p>
    <w:p w14:paraId="4E6EE15D">
      <w:pPr>
        <w:spacing w:line="360" w:lineRule="auto"/>
        <w:jc w:val="both"/>
        <w:rPr>
          <w:rFonts w:hint="eastAsia" w:ascii="宋体" w:hAnsi="宋体" w:eastAsia="宋体" w:cs="宋体"/>
          <w:kern w:val="0"/>
          <w:sz w:val="28"/>
          <w:szCs w:val="28"/>
          <w:lang w:val="en-US" w:eastAsia="zh-CN"/>
        </w:rPr>
      </w:pPr>
    </w:p>
    <w:p w14:paraId="741AA700">
      <w:pPr>
        <w:spacing w:line="360" w:lineRule="auto"/>
        <w:jc w:val="both"/>
        <w:rPr>
          <w:rFonts w:hint="eastAsia" w:ascii="宋体" w:hAnsi="宋体" w:eastAsia="宋体" w:cs="宋体"/>
          <w:kern w:val="0"/>
          <w:sz w:val="28"/>
          <w:szCs w:val="28"/>
          <w:lang w:val="en-US" w:eastAsia="zh-CN"/>
        </w:rPr>
      </w:pPr>
    </w:p>
    <w:p w14:paraId="0DB11C9C">
      <w:pPr>
        <w:spacing w:line="360" w:lineRule="auto"/>
        <w:jc w:val="center"/>
        <w:rPr>
          <w:rFonts w:hint="eastAsia" w:ascii="宋体" w:hAnsi="宋体" w:eastAsia="宋体" w:cs="宋体"/>
          <w:kern w:val="0"/>
          <w:sz w:val="28"/>
          <w:szCs w:val="28"/>
          <w:lang w:val="en-US" w:eastAsia="zh-CN"/>
        </w:rPr>
      </w:pPr>
    </w:p>
    <w:p w14:paraId="5459E0E7">
      <w:pPr>
        <w:spacing w:line="360" w:lineRule="auto"/>
        <w:jc w:val="center"/>
        <w:rPr>
          <w:rFonts w:hint="eastAsia" w:ascii="宋体" w:hAnsi="宋体" w:eastAsia="宋体" w:cs="宋体"/>
          <w:kern w:val="0"/>
          <w:sz w:val="28"/>
          <w:szCs w:val="28"/>
          <w:lang w:val="en-US" w:eastAsia="zh-CN"/>
        </w:rPr>
      </w:pPr>
      <w:r>
        <w:rPr>
          <w:rFonts w:hint="eastAsia" w:ascii="宋体" w:hAnsi="宋体" w:eastAsia="宋体" w:cs="宋体"/>
          <w:kern w:val="0"/>
          <w:sz w:val="28"/>
          <w:szCs w:val="28"/>
          <w:lang w:val="en-US" w:eastAsia="zh-CN"/>
        </w:rPr>
        <w:object>
          <v:shape id="_x0000_i1143" o:spt="75" type="#_x0000_t75" style="height:122pt;width:434.9pt;" o:ole="t" filled="f" o:preferrelative="t" stroked="f" coordsize="21600,21600">
            <v:path/>
            <v:fill on="f" focussize="0,0"/>
            <v:stroke on="f"/>
            <v:imagedata r:id="rId23" o:title=""/>
            <o:lock v:ext="edit" aspectratio="t"/>
            <w10:wrap type="none"/>
            <w10:anchorlock/>
          </v:shape>
          <o:OLEObject Type="Embed" ProgID="Visio.Drawing.11" ShapeID="_x0000_i1143" DrawAspect="Content" ObjectID="_1468075734" r:id="rId22">
            <o:LockedField>false</o:LockedField>
          </o:OLEObject>
        </w:object>
      </w:r>
    </w:p>
    <w:p w14:paraId="7A88000E">
      <w:pPr>
        <w:spacing w:line="360" w:lineRule="auto"/>
        <w:jc w:val="center"/>
        <w:rPr>
          <w:rFonts w:hint="eastAsia" w:eastAsia="楷体_GB2312"/>
          <w:kern w:val="0"/>
          <w:sz w:val="28"/>
          <w:szCs w:val="28"/>
          <w:lang w:eastAsia="zh-CN"/>
        </w:rPr>
      </w:pPr>
      <w:r>
        <w:rPr>
          <w:rFonts w:hint="eastAsia" w:ascii="宋体" w:hAnsi="宋体" w:eastAsia="宋体" w:cs="宋体"/>
          <w:kern w:val="0"/>
          <w:sz w:val="28"/>
          <w:szCs w:val="28"/>
          <w:lang w:eastAsia="zh-CN"/>
        </w:rPr>
        <w:t>图2</w:t>
      </w:r>
    </w:p>
    <w:p w14:paraId="46DCF683">
      <w:pPr>
        <w:spacing w:line="360" w:lineRule="auto"/>
        <w:jc w:val="center"/>
        <w:rPr>
          <w:rFonts w:hint="eastAsia" w:ascii="宋体" w:hAnsi="宋体" w:eastAsia="宋体" w:cs="宋体"/>
          <w:kern w:val="0"/>
          <w:sz w:val="28"/>
          <w:szCs w:val="28"/>
          <w:lang w:val="en-US" w:eastAsia="zh-CN"/>
        </w:rPr>
      </w:pPr>
    </w:p>
    <w:p w14:paraId="1568FCEA">
      <w:pPr>
        <w:spacing w:line="360" w:lineRule="auto"/>
        <w:jc w:val="center"/>
        <w:rPr>
          <w:rFonts w:hint="eastAsia" w:eastAsia="楷体_GB2312"/>
          <w:kern w:val="0"/>
          <w:sz w:val="28"/>
          <w:szCs w:val="28"/>
          <w:lang w:eastAsia="zh-CN"/>
        </w:rPr>
      </w:pPr>
    </w:p>
    <w:p w14:paraId="50A07163">
      <w:pPr>
        <w:spacing w:line="360" w:lineRule="auto"/>
        <w:jc w:val="center"/>
      </w:pPr>
    </w:p>
    <w:p w14:paraId="336AC805">
      <w:pPr>
        <w:spacing w:line="360" w:lineRule="auto"/>
        <w:jc w:val="center"/>
      </w:pPr>
    </w:p>
    <w:p w14:paraId="4E296F36">
      <w:pPr>
        <w:spacing w:line="360" w:lineRule="auto"/>
        <w:jc w:val="center"/>
      </w:pPr>
    </w:p>
    <w:p w14:paraId="5D8B3728">
      <w:pPr>
        <w:spacing w:line="360" w:lineRule="auto"/>
        <w:jc w:val="center"/>
      </w:pPr>
    </w:p>
    <w:p w14:paraId="5F6ADAA1">
      <w:pPr>
        <w:spacing w:line="360" w:lineRule="auto"/>
        <w:jc w:val="center"/>
      </w:pPr>
    </w:p>
    <w:p w14:paraId="1B0BEAAE">
      <w:pPr>
        <w:spacing w:line="360" w:lineRule="auto"/>
        <w:jc w:val="center"/>
      </w:pPr>
    </w:p>
    <w:p w14:paraId="08B1C9AF">
      <w:pPr>
        <w:spacing w:line="360" w:lineRule="auto"/>
        <w:jc w:val="center"/>
      </w:pPr>
    </w:p>
    <w:p w14:paraId="1AF33943">
      <w:pPr>
        <w:spacing w:line="360" w:lineRule="auto"/>
        <w:jc w:val="center"/>
      </w:pPr>
    </w:p>
    <w:p w14:paraId="4690FBB6">
      <w:pPr>
        <w:spacing w:line="360" w:lineRule="auto"/>
        <w:jc w:val="center"/>
      </w:pPr>
    </w:p>
    <w:p w14:paraId="144F7D68">
      <w:pPr>
        <w:spacing w:line="360" w:lineRule="auto"/>
        <w:jc w:val="center"/>
      </w:pPr>
    </w:p>
    <w:p w14:paraId="609A1046">
      <w:pPr>
        <w:spacing w:line="360" w:lineRule="auto"/>
        <w:jc w:val="center"/>
      </w:pPr>
    </w:p>
    <w:p w14:paraId="62AB323A">
      <w:pPr>
        <w:spacing w:line="360" w:lineRule="auto"/>
        <w:jc w:val="center"/>
        <w:rPr>
          <w:rFonts w:ascii="宋体" w:hAnsi="宋体" w:cs="宋体"/>
          <w:b/>
          <w:color w:val="000000"/>
          <w:sz w:val="26"/>
          <w:szCs w:val="22"/>
        </w:rPr>
      </w:pPr>
    </w:p>
    <w:p w14:paraId="040F4CDE">
      <w:pPr>
        <w:spacing w:line="360" w:lineRule="auto"/>
        <w:jc w:val="center"/>
        <w:rPr>
          <w:rFonts w:hint="eastAsia" w:ascii="宋体" w:hAnsi="宋体" w:eastAsia="楷体_GB2312" w:cs="宋体"/>
          <w:b/>
          <w:color w:val="000000"/>
          <w:sz w:val="26"/>
          <w:szCs w:val="22"/>
          <w:lang w:val="en-US" w:eastAsia="zh-CN"/>
        </w:rPr>
      </w:pPr>
    </w:p>
    <w:sectPr>
      <w:footerReference r:id="rId7" w:type="default"/>
      <w:type w:val="oddPage"/>
      <w:pgSz w:w="11907" w:h="16840"/>
      <w:pgMar w:top="1418" w:right="947" w:bottom="851" w:left="1418" w:header="0" w:footer="851" w:gutter="0"/>
      <w:pgNumType w:start="1"/>
      <w:cols w:space="720" w:num="1"/>
      <w:docGrid w:linePitch="43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楷体_GB2312">
    <w:altName w:val="楷体"/>
    <w:panose1 w:val="02010609030101010101"/>
    <w:charset w:val="86"/>
    <w:family w:val="modern"/>
    <w:pitch w:val="default"/>
    <w:sig w:usb0="00000000" w:usb1="080E0000" w:usb2="00000010"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B9A300">
    <w:pPr>
      <w:pStyle w:val="10"/>
      <w:jc w:val="righ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E9FBD4">
    <w:pPr>
      <w:pStyle w:val="10"/>
      <w:framePr w:wrap="around" w:vAnchor="text" w:hAnchor="margin" w:xAlign="center" w:y="1"/>
      <w:rPr>
        <w:rStyle w:val="16"/>
      </w:rPr>
    </w:pPr>
    <w:r>
      <w:fldChar w:fldCharType="begin"/>
    </w:r>
    <w:r>
      <w:rPr>
        <w:rStyle w:val="16"/>
      </w:rPr>
      <w:instrText xml:space="preserve">PAGE  </w:instrText>
    </w:r>
    <w:r>
      <w:fldChar w:fldCharType="end"/>
    </w:r>
  </w:p>
  <w:p w14:paraId="3252679B">
    <w:pPr>
      <w:pStyle w:val="1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09D92D">
    <w:pPr>
      <w:pStyle w:val="10"/>
      <w:jc w:val="center"/>
    </w:pPr>
    <w:r>
      <w:fldChar w:fldCharType="begin"/>
    </w:r>
    <w:r>
      <w:rPr>
        <w:rStyle w:val="16"/>
      </w:rPr>
      <w:instrText xml:space="preserve"> PAGE </w:instrText>
    </w:r>
    <w:r>
      <w:fldChar w:fldCharType="separate"/>
    </w:r>
    <w:r>
      <w:rPr>
        <w:rStyle w:val="16"/>
        <w:lang/>
      </w:rPr>
      <w:t>1</w:t>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4586AF">
    <w:pPr>
      <w:pStyle w:val="10"/>
      <w:jc w:val="center"/>
    </w:pPr>
    <w:r>
      <w:fldChar w:fldCharType="begin"/>
    </w:r>
    <w:r>
      <w:rPr>
        <w:rStyle w:val="16"/>
      </w:rPr>
      <w:instrText xml:space="preserve"> PAGE </w:instrText>
    </w:r>
    <w:r>
      <w:fldChar w:fldCharType="separate"/>
    </w:r>
    <w:r>
      <w:rPr>
        <w:rStyle w:val="16"/>
        <w:lang/>
      </w:rPr>
      <w:t>2</w:t>
    </w:r>
    <w: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C72155">
    <w:pPr>
      <w:pStyle w:val="10"/>
      <w:jc w:val="center"/>
    </w:pPr>
    <w:r>
      <w:fldChar w:fldCharType="begin"/>
    </w:r>
    <w:r>
      <w:rPr>
        <w:rStyle w:val="16"/>
      </w:rPr>
      <w:instrText xml:space="preserve"> PAGE </w:instrText>
    </w:r>
    <w:r>
      <w:fldChar w:fldCharType="separate"/>
    </w:r>
    <w:r>
      <w:rPr>
        <w:rStyle w:val="16"/>
        <w:lang/>
      </w:rPr>
      <w:t>1</w:t>
    </w:r>
    <w: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CD30D83"/>
    <w:multiLevelType w:val="singleLevel"/>
    <w:tmpl w:val="1CD30D83"/>
    <w:lvl w:ilvl="0" w:tentative="0">
      <w:start w:val="1"/>
      <w:numFmt w:val="decimal"/>
      <w:lvlText w:val="%1."/>
      <w:lvlJc w:val="left"/>
      <w:pPr>
        <w:tabs>
          <w:tab w:val="left" w:pos="312"/>
        </w:tabs>
      </w:pPr>
    </w:lvl>
  </w:abstractNum>
  <w:abstractNum w:abstractNumId="1">
    <w:nsid w:val="42FE570A"/>
    <w:multiLevelType w:val="multilevel"/>
    <w:tmpl w:val="42FE570A"/>
    <w:lvl w:ilvl="0" w:tentative="0">
      <w:start w:val="1"/>
      <w:numFmt w:val="decimal"/>
      <w:suff w:val="nothing"/>
      <w:lvlText w:val="%1  "/>
      <w:lvlJc w:val="left"/>
      <w:pPr>
        <w:ind w:left="0" w:firstLine="0"/>
      </w:pPr>
      <w:rPr>
        <w:rFonts w:hint="default" w:ascii="Arial" w:hAnsi="Arial" w:eastAsia="黑体"/>
        <w:b w:val="0"/>
        <w:i w:val="0"/>
        <w:sz w:val="36"/>
        <w:szCs w:val="36"/>
      </w:rPr>
    </w:lvl>
    <w:lvl w:ilvl="1" w:tentative="0">
      <w:start w:val="1"/>
      <w:numFmt w:val="decimal"/>
      <w:suff w:val="nothing"/>
      <w:lvlText w:val="%1.%2  "/>
      <w:lvlJc w:val="left"/>
      <w:pPr>
        <w:ind w:left="0" w:firstLine="0"/>
      </w:pPr>
      <w:rPr>
        <w:rFonts w:hint="default" w:ascii="Arial" w:hAnsi="Arial"/>
        <w:b w:val="0"/>
        <w:i w:val="0"/>
        <w:sz w:val="30"/>
        <w:szCs w:val="30"/>
      </w:rPr>
    </w:lvl>
    <w:lvl w:ilvl="2" w:tentative="0">
      <w:start w:val="1"/>
      <w:numFmt w:val="decimal"/>
      <w:suff w:val="nothing"/>
      <w:lvlText w:val="%1.%2.%3  "/>
      <w:lvlJc w:val="left"/>
      <w:pPr>
        <w:ind w:left="0" w:firstLine="0"/>
      </w:pPr>
      <w:rPr>
        <w:rFonts w:hint="default" w:ascii="Arial" w:hAnsi="Arial"/>
        <w:b w:val="0"/>
        <w:i w:val="0"/>
        <w:sz w:val="24"/>
        <w:szCs w:val="24"/>
      </w:rPr>
    </w:lvl>
    <w:lvl w:ilvl="3" w:tentative="0">
      <w:start w:val="1"/>
      <w:numFmt w:val="decimal"/>
      <w:suff w:val="nothing"/>
      <w:lvlText w:val="%1.%2.%3.%4  "/>
      <w:lvlJc w:val="left"/>
      <w:pPr>
        <w:ind w:left="0" w:firstLine="0"/>
      </w:pPr>
      <w:rPr>
        <w:rFonts w:hint="default" w:ascii="Arial" w:hAnsi="Arial"/>
        <w:b w:val="0"/>
        <w:i w:val="0"/>
        <w:sz w:val="21"/>
        <w:szCs w:val="21"/>
      </w:rPr>
    </w:lvl>
    <w:lvl w:ilvl="4" w:tentative="0">
      <w:start w:val="1"/>
      <w:numFmt w:val="decimal"/>
      <w:lvlText w:val="%5."/>
      <w:lvlJc w:val="left"/>
      <w:pPr>
        <w:tabs>
          <w:tab w:val="left" w:pos="1134"/>
        </w:tabs>
        <w:ind w:left="1134" w:hanging="312"/>
      </w:pPr>
      <w:rPr>
        <w:rFonts w:hint="default" w:ascii="Arial" w:hAnsi="Arial"/>
        <w:b w:val="0"/>
        <w:i w:val="0"/>
        <w:sz w:val="21"/>
        <w:szCs w:val="21"/>
      </w:rPr>
    </w:lvl>
    <w:lvl w:ilvl="5" w:tentative="0">
      <w:start w:val="1"/>
      <w:numFmt w:val="decimal"/>
      <w:lvlText w:val="%6)"/>
      <w:lvlJc w:val="left"/>
      <w:pPr>
        <w:tabs>
          <w:tab w:val="left" w:pos="1134"/>
        </w:tabs>
        <w:ind w:left="1134" w:hanging="312"/>
      </w:pPr>
      <w:rPr>
        <w:rFonts w:hint="default" w:ascii="Arial" w:hAnsi="Arial"/>
        <w:b w:val="0"/>
        <w:i w:val="0"/>
        <w:sz w:val="21"/>
        <w:szCs w:val="21"/>
      </w:rPr>
    </w:lvl>
    <w:lvl w:ilvl="6" w:tentative="0">
      <w:start w:val="1"/>
      <w:numFmt w:val="lowerLetter"/>
      <w:lvlText w:val="%7."/>
      <w:lvlJc w:val="left"/>
      <w:pPr>
        <w:tabs>
          <w:tab w:val="left" w:pos="1134"/>
        </w:tabs>
        <w:ind w:left="1134" w:hanging="312"/>
      </w:pPr>
      <w:rPr>
        <w:rFonts w:hint="default" w:ascii="Arial" w:hAnsi="Arial"/>
        <w:b w:val="0"/>
        <w:i w:val="0"/>
        <w:sz w:val="21"/>
        <w:szCs w:val="21"/>
      </w:rPr>
    </w:lvl>
    <w:lvl w:ilvl="7" w:tentative="0">
      <w:start w:val="1"/>
      <w:numFmt w:val="decimal"/>
      <w:lvlRestart w:val="0"/>
      <w:pStyle w:val="32"/>
      <w:suff w:val="space"/>
      <w:lvlText w:val="图%8"/>
      <w:lvlJc w:val="center"/>
      <w:pPr>
        <w:ind w:left="0" w:firstLine="0"/>
      </w:pPr>
      <w:rPr>
        <w:rFonts w:hint="default" w:ascii="Arial" w:hAnsi="Arial" w:eastAsia="黑体"/>
        <w:b w:val="0"/>
        <w:i w:val="0"/>
        <w:sz w:val="18"/>
        <w:szCs w:val="18"/>
      </w:rPr>
    </w:lvl>
    <w:lvl w:ilvl="8" w:tentative="0">
      <w:start w:val="1"/>
      <w:numFmt w:val="decimal"/>
      <w:lvlRestart w:val="0"/>
      <w:pStyle w:val="33"/>
      <w:suff w:val="space"/>
      <w:lvlText w:val="表%9"/>
      <w:lvlJc w:val="center"/>
      <w:pPr>
        <w:ind w:left="0" w:firstLine="0"/>
      </w:pPr>
      <w:rPr>
        <w:rFonts w:hint="default" w:ascii="Arial" w:hAnsi="Arial" w:eastAsia="黑体"/>
        <w:b w:val="0"/>
        <w:i w:val="0"/>
        <w:sz w:val="18"/>
        <w:szCs w:val="18"/>
      </w:rPr>
    </w:lvl>
  </w:abstractNum>
  <w:abstractNum w:abstractNumId="2">
    <w:nsid w:val="63546429"/>
    <w:multiLevelType w:val="multilevel"/>
    <w:tmpl w:val="63546429"/>
    <w:lvl w:ilvl="0" w:tentative="0">
      <w:start w:val="1"/>
      <w:numFmt w:val="decimal"/>
      <w:pStyle w:val="2"/>
      <w:lvlText w:val="%1"/>
      <w:lvlJc w:val="left"/>
      <w:pPr>
        <w:tabs>
          <w:tab w:val="left" w:pos="432"/>
        </w:tabs>
        <w:ind w:left="432" w:hanging="432"/>
      </w:pPr>
      <w:rPr>
        <w:rFonts w:hint="eastAsia"/>
      </w:rPr>
    </w:lvl>
    <w:lvl w:ilvl="1" w:tentative="0">
      <w:start w:val="1"/>
      <w:numFmt w:val="decimal"/>
      <w:pStyle w:val="3"/>
      <w:lvlText w:val="%1.%2"/>
      <w:lvlJc w:val="left"/>
      <w:pPr>
        <w:tabs>
          <w:tab w:val="left" w:pos="576"/>
        </w:tabs>
        <w:ind w:left="576" w:hanging="576"/>
      </w:pPr>
      <w:rPr>
        <w:rFonts w:hint="eastAsia"/>
      </w:rPr>
    </w:lvl>
    <w:lvl w:ilvl="2" w:tentative="0">
      <w:start w:val="1"/>
      <w:numFmt w:val="decimal"/>
      <w:pStyle w:val="4"/>
      <w:lvlText w:val="%1.%2.%3"/>
      <w:lvlJc w:val="left"/>
      <w:pPr>
        <w:tabs>
          <w:tab w:val="left" w:pos="720"/>
        </w:tabs>
        <w:ind w:left="720" w:hanging="720"/>
      </w:pPr>
      <w:rPr>
        <w:rFonts w:hint="eastAsia"/>
      </w:rPr>
    </w:lvl>
    <w:lvl w:ilvl="3" w:tentative="0">
      <w:start w:val="1"/>
      <w:numFmt w:val="decimal"/>
      <w:lvlText w:val="%4."/>
      <w:lvlJc w:val="left"/>
      <w:pPr>
        <w:tabs>
          <w:tab w:val="left" w:pos="567"/>
        </w:tabs>
        <w:ind w:left="936" w:hanging="680"/>
      </w:pPr>
      <w:rPr>
        <w:rFonts w:hint="eastAsia"/>
      </w:rPr>
    </w:lvl>
    <w:lvl w:ilvl="4" w:tentative="0">
      <w:start w:val="1"/>
      <w:numFmt w:val="decimal"/>
      <w:lvlText w:val="%5）"/>
      <w:lvlJc w:val="left"/>
      <w:pPr>
        <w:tabs>
          <w:tab w:val="left" w:pos="567"/>
        </w:tabs>
        <w:ind w:left="936" w:hanging="680"/>
      </w:pPr>
      <w:rPr>
        <w:rFonts w:hint="eastAsia"/>
      </w:rPr>
    </w:lvl>
    <w:lvl w:ilvl="5" w:tentative="0">
      <w:start w:val="1"/>
      <w:numFmt w:val="lowerLetter"/>
      <w:lvlText w:val="%6）"/>
      <w:lvlJc w:val="left"/>
      <w:pPr>
        <w:tabs>
          <w:tab w:val="left" w:pos="567"/>
        </w:tabs>
        <w:ind w:left="936" w:hanging="680"/>
      </w:pPr>
      <w:rPr>
        <w:rFonts w:hint="eastAsia"/>
      </w:rPr>
    </w:lvl>
    <w:lvl w:ilvl="6" w:tentative="0">
      <w:start w:val="1"/>
      <w:numFmt w:val="lowerRoman"/>
      <w:lvlText w:val="%7"/>
      <w:lvlJc w:val="left"/>
      <w:pPr>
        <w:tabs>
          <w:tab w:val="left" w:pos="567"/>
        </w:tabs>
        <w:ind w:left="936" w:hanging="680"/>
      </w:pPr>
      <w:rPr>
        <w:rFonts w:hint="default"/>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num w:numId="1">
    <w:abstractNumId w:val="2"/>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50"/>
  <w:hyphenationZone w:val="360"/>
  <w:drawingGridHorizontalSpacing w:val="105"/>
  <w:drawingGridVerticalSpacing w:val="21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GUxYjZmNDk4MjNlNWU3ZGIyNGFkNzczODE5OTRmZDAifQ=="/>
  </w:docVars>
  <w:rsids>
    <w:rsidRoot w:val="007A3A71"/>
    <w:rsid w:val="00000BB1"/>
    <w:rsid w:val="000047F6"/>
    <w:rsid w:val="00021260"/>
    <w:rsid w:val="0002716E"/>
    <w:rsid w:val="00030351"/>
    <w:rsid w:val="0003696F"/>
    <w:rsid w:val="00043654"/>
    <w:rsid w:val="00056B17"/>
    <w:rsid w:val="00057D8E"/>
    <w:rsid w:val="00075E7B"/>
    <w:rsid w:val="00095639"/>
    <w:rsid w:val="00097A94"/>
    <w:rsid w:val="000A24A9"/>
    <w:rsid w:val="000A563A"/>
    <w:rsid w:val="000B1CCF"/>
    <w:rsid w:val="000C20D2"/>
    <w:rsid w:val="000D179F"/>
    <w:rsid w:val="000D1B41"/>
    <w:rsid w:val="000D557B"/>
    <w:rsid w:val="000F2054"/>
    <w:rsid w:val="000F32A6"/>
    <w:rsid w:val="00100500"/>
    <w:rsid w:val="00106637"/>
    <w:rsid w:val="001115B7"/>
    <w:rsid w:val="00126935"/>
    <w:rsid w:val="00131F4B"/>
    <w:rsid w:val="0013318C"/>
    <w:rsid w:val="00137109"/>
    <w:rsid w:val="00140AB2"/>
    <w:rsid w:val="00141C2B"/>
    <w:rsid w:val="00144495"/>
    <w:rsid w:val="00155736"/>
    <w:rsid w:val="00163899"/>
    <w:rsid w:val="00164F6F"/>
    <w:rsid w:val="00172602"/>
    <w:rsid w:val="001812D8"/>
    <w:rsid w:val="00181C1A"/>
    <w:rsid w:val="00191BE1"/>
    <w:rsid w:val="0019469D"/>
    <w:rsid w:val="001A61B5"/>
    <w:rsid w:val="001A6301"/>
    <w:rsid w:val="001A75AE"/>
    <w:rsid w:val="001C000A"/>
    <w:rsid w:val="001C58B5"/>
    <w:rsid w:val="001C7821"/>
    <w:rsid w:val="001D22C0"/>
    <w:rsid w:val="001E1639"/>
    <w:rsid w:val="001F0503"/>
    <w:rsid w:val="001F0BF6"/>
    <w:rsid w:val="0020384A"/>
    <w:rsid w:val="00203D2F"/>
    <w:rsid w:val="00207B1C"/>
    <w:rsid w:val="0021156E"/>
    <w:rsid w:val="00213698"/>
    <w:rsid w:val="002153B0"/>
    <w:rsid w:val="002320EA"/>
    <w:rsid w:val="002371BD"/>
    <w:rsid w:val="002426BE"/>
    <w:rsid w:val="00247A3A"/>
    <w:rsid w:val="002505A7"/>
    <w:rsid w:val="00251E6D"/>
    <w:rsid w:val="00252B64"/>
    <w:rsid w:val="00253322"/>
    <w:rsid w:val="00254DF2"/>
    <w:rsid w:val="00256352"/>
    <w:rsid w:val="002618FB"/>
    <w:rsid w:val="00263F13"/>
    <w:rsid w:val="002774ED"/>
    <w:rsid w:val="00280C83"/>
    <w:rsid w:val="0028786A"/>
    <w:rsid w:val="002A0946"/>
    <w:rsid w:val="002B4D0C"/>
    <w:rsid w:val="002B6D64"/>
    <w:rsid w:val="002D545F"/>
    <w:rsid w:val="002D6A28"/>
    <w:rsid w:val="002E1F7B"/>
    <w:rsid w:val="002E5C3E"/>
    <w:rsid w:val="002E6215"/>
    <w:rsid w:val="002F61F1"/>
    <w:rsid w:val="00315FE7"/>
    <w:rsid w:val="0031760A"/>
    <w:rsid w:val="00321702"/>
    <w:rsid w:val="003438E2"/>
    <w:rsid w:val="003467B3"/>
    <w:rsid w:val="00363F91"/>
    <w:rsid w:val="00364445"/>
    <w:rsid w:val="00367C00"/>
    <w:rsid w:val="003829DC"/>
    <w:rsid w:val="0038706A"/>
    <w:rsid w:val="003874E1"/>
    <w:rsid w:val="003940FD"/>
    <w:rsid w:val="00394521"/>
    <w:rsid w:val="0039659E"/>
    <w:rsid w:val="003C518F"/>
    <w:rsid w:val="003C610D"/>
    <w:rsid w:val="003D0954"/>
    <w:rsid w:val="003E3F18"/>
    <w:rsid w:val="00405D2A"/>
    <w:rsid w:val="004130C1"/>
    <w:rsid w:val="004153E8"/>
    <w:rsid w:val="004320D8"/>
    <w:rsid w:val="00434836"/>
    <w:rsid w:val="00435924"/>
    <w:rsid w:val="00440BC1"/>
    <w:rsid w:val="0044703C"/>
    <w:rsid w:val="00464A54"/>
    <w:rsid w:val="00481667"/>
    <w:rsid w:val="004C12D6"/>
    <w:rsid w:val="004D004D"/>
    <w:rsid w:val="004D5366"/>
    <w:rsid w:val="004D5C44"/>
    <w:rsid w:val="004D7ED4"/>
    <w:rsid w:val="004E058F"/>
    <w:rsid w:val="004E1F91"/>
    <w:rsid w:val="004E1FAE"/>
    <w:rsid w:val="004E4F42"/>
    <w:rsid w:val="004E634E"/>
    <w:rsid w:val="004E6CD3"/>
    <w:rsid w:val="004F4014"/>
    <w:rsid w:val="004F52FE"/>
    <w:rsid w:val="00503EE7"/>
    <w:rsid w:val="0050557E"/>
    <w:rsid w:val="00514F8F"/>
    <w:rsid w:val="0052148C"/>
    <w:rsid w:val="0053248A"/>
    <w:rsid w:val="005370C4"/>
    <w:rsid w:val="0054352B"/>
    <w:rsid w:val="0055358A"/>
    <w:rsid w:val="0055549F"/>
    <w:rsid w:val="00557FB6"/>
    <w:rsid w:val="005602E7"/>
    <w:rsid w:val="005618A4"/>
    <w:rsid w:val="005712EB"/>
    <w:rsid w:val="00581578"/>
    <w:rsid w:val="0059579A"/>
    <w:rsid w:val="005975E9"/>
    <w:rsid w:val="005A191C"/>
    <w:rsid w:val="005A430D"/>
    <w:rsid w:val="005A707E"/>
    <w:rsid w:val="005B001A"/>
    <w:rsid w:val="005B0810"/>
    <w:rsid w:val="005E3896"/>
    <w:rsid w:val="00604FDC"/>
    <w:rsid w:val="00617539"/>
    <w:rsid w:val="006414A4"/>
    <w:rsid w:val="006427EC"/>
    <w:rsid w:val="006428B9"/>
    <w:rsid w:val="006463A6"/>
    <w:rsid w:val="00651D89"/>
    <w:rsid w:val="006520FC"/>
    <w:rsid w:val="00663656"/>
    <w:rsid w:val="006653D5"/>
    <w:rsid w:val="00665D24"/>
    <w:rsid w:val="006714C2"/>
    <w:rsid w:val="0067596B"/>
    <w:rsid w:val="00676DDE"/>
    <w:rsid w:val="00684207"/>
    <w:rsid w:val="006A7F80"/>
    <w:rsid w:val="006C1261"/>
    <w:rsid w:val="006D0BDB"/>
    <w:rsid w:val="006E13B9"/>
    <w:rsid w:val="0070119F"/>
    <w:rsid w:val="007058F0"/>
    <w:rsid w:val="007152E4"/>
    <w:rsid w:val="00735E9C"/>
    <w:rsid w:val="00750CD0"/>
    <w:rsid w:val="00753066"/>
    <w:rsid w:val="0076013C"/>
    <w:rsid w:val="0076144A"/>
    <w:rsid w:val="00762DAC"/>
    <w:rsid w:val="00766C8F"/>
    <w:rsid w:val="00772B9F"/>
    <w:rsid w:val="00783BB9"/>
    <w:rsid w:val="00791368"/>
    <w:rsid w:val="007933D3"/>
    <w:rsid w:val="007A3A71"/>
    <w:rsid w:val="007A4718"/>
    <w:rsid w:val="007B0147"/>
    <w:rsid w:val="007B279D"/>
    <w:rsid w:val="007B5474"/>
    <w:rsid w:val="007D5B0D"/>
    <w:rsid w:val="007D6F7D"/>
    <w:rsid w:val="007E70DD"/>
    <w:rsid w:val="007F3504"/>
    <w:rsid w:val="007F3510"/>
    <w:rsid w:val="007F77BD"/>
    <w:rsid w:val="008004E5"/>
    <w:rsid w:val="00806FF5"/>
    <w:rsid w:val="0081618A"/>
    <w:rsid w:val="0082151C"/>
    <w:rsid w:val="00827F53"/>
    <w:rsid w:val="00835EC8"/>
    <w:rsid w:val="00860D6A"/>
    <w:rsid w:val="008677E2"/>
    <w:rsid w:val="00881013"/>
    <w:rsid w:val="00885C97"/>
    <w:rsid w:val="008A7C3C"/>
    <w:rsid w:val="008B23BB"/>
    <w:rsid w:val="008B312E"/>
    <w:rsid w:val="008B5F25"/>
    <w:rsid w:val="008B7746"/>
    <w:rsid w:val="008C109D"/>
    <w:rsid w:val="008C15FA"/>
    <w:rsid w:val="008C7A95"/>
    <w:rsid w:val="008E1F94"/>
    <w:rsid w:val="008E5971"/>
    <w:rsid w:val="008E7049"/>
    <w:rsid w:val="00914F69"/>
    <w:rsid w:val="0092115E"/>
    <w:rsid w:val="00943790"/>
    <w:rsid w:val="00951837"/>
    <w:rsid w:val="00954464"/>
    <w:rsid w:val="00954A0F"/>
    <w:rsid w:val="00975ED6"/>
    <w:rsid w:val="009763B0"/>
    <w:rsid w:val="009765FA"/>
    <w:rsid w:val="00981F42"/>
    <w:rsid w:val="009A4FC3"/>
    <w:rsid w:val="009E081C"/>
    <w:rsid w:val="009E2686"/>
    <w:rsid w:val="00A0553F"/>
    <w:rsid w:val="00A1335E"/>
    <w:rsid w:val="00A27ADD"/>
    <w:rsid w:val="00A33BC5"/>
    <w:rsid w:val="00A354FE"/>
    <w:rsid w:val="00A35FFD"/>
    <w:rsid w:val="00A50186"/>
    <w:rsid w:val="00A508C7"/>
    <w:rsid w:val="00A62C0D"/>
    <w:rsid w:val="00A74AC9"/>
    <w:rsid w:val="00A8254B"/>
    <w:rsid w:val="00A933DD"/>
    <w:rsid w:val="00A96F3E"/>
    <w:rsid w:val="00AA17BA"/>
    <w:rsid w:val="00AB286B"/>
    <w:rsid w:val="00AB383E"/>
    <w:rsid w:val="00AB7895"/>
    <w:rsid w:val="00AB79BD"/>
    <w:rsid w:val="00AC3800"/>
    <w:rsid w:val="00AF5E2C"/>
    <w:rsid w:val="00AF6CBF"/>
    <w:rsid w:val="00B01B51"/>
    <w:rsid w:val="00B04584"/>
    <w:rsid w:val="00B209D0"/>
    <w:rsid w:val="00B52D94"/>
    <w:rsid w:val="00B664C3"/>
    <w:rsid w:val="00B703EE"/>
    <w:rsid w:val="00B76E7C"/>
    <w:rsid w:val="00B817F6"/>
    <w:rsid w:val="00B821BB"/>
    <w:rsid w:val="00B91EC1"/>
    <w:rsid w:val="00BA17F4"/>
    <w:rsid w:val="00BA7C8E"/>
    <w:rsid w:val="00BB613C"/>
    <w:rsid w:val="00BC4404"/>
    <w:rsid w:val="00BC52E8"/>
    <w:rsid w:val="00BC6E2E"/>
    <w:rsid w:val="00BD3815"/>
    <w:rsid w:val="00BD3EEA"/>
    <w:rsid w:val="00BE1025"/>
    <w:rsid w:val="00BF346B"/>
    <w:rsid w:val="00BF62A6"/>
    <w:rsid w:val="00C00E8F"/>
    <w:rsid w:val="00C03749"/>
    <w:rsid w:val="00C05DA3"/>
    <w:rsid w:val="00C11AED"/>
    <w:rsid w:val="00C15B89"/>
    <w:rsid w:val="00C263A9"/>
    <w:rsid w:val="00C31E73"/>
    <w:rsid w:val="00C468B8"/>
    <w:rsid w:val="00C548E8"/>
    <w:rsid w:val="00C62172"/>
    <w:rsid w:val="00C62DCE"/>
    <w:rsid w:val="00C6323D"/>
    <w:rsid w:val="00C668E3"/>
    <w:rsid w:val="00C67D7E"/>
    <w:rsid w:val="00C74E30"/>
    <w:rsid w:val="00C91222"/>
    <w:rsid w:val="00CA4176"/>
    <w:rsid w:val="00CB0C2B"/>
    <w:rsid w:val="00CB1242"/>
    <w:rsid w:val="00CC0DDE"/>
    <w:rsid w:val="00CC3331"/>
    <w:rsid w:val="00CC5F9A"/>
    <w:rsid w:val="00CD23D8"/>
    <w:rsid w:val="00CE2353"/>
    <w:rsid w:val="00CE58A6"/>
    <w:rsid w:val="00CF7268"/>
    <w:rsid w:val="00D03190"/>
    <w:rsid w:val="00D0439F"/>
    <w:rsid w:val="00D0464E"/>
    <w:rsid w:val="00D17BF7"/>
    <w:rsid w:val="00D51C6A"/>
    <w:rsid w:val="00D52C04"/>
    <w:rsid w:val="00D52E5F"/>
    <w:rsid w:val="00D70003"/>
    <w:rsid w:val="00D75FE9"/>
    <w:rsid w:val="00D7776D"/>
    <w:rsid w:val="00D84109"/>
    <w:rsid w:val="00D84918"/>
    <w:rsid w:val="00D86743"/>
    <w:rsid w:val="00DA52A5"/>
    <w:rsid w:val="00DA7CDD"/>
    <w:rsid w:val="00DB1191"/>
    <w:rsid w:val="00DC4A93"/>
    <w:rsid w:val="00DC7406"/>
    <w:rsid w:val="00DD296B"/>
    <w:rsid w:val="00DD5E56"/>
    <w:rsid w:val="00DD6862"/>
    <w:rsid w:val="00DF65B5"/>
    <w:rsid w:val="00E036DF"/>
    <w:rsid w:val="00E048D1"/>
    <w:rsid w:val="00E103C1"/>
    <w:rsid w:val="00E21DEB"/>
    <w:rsid w:val="00E31D67"/>
    <w:rsid w:val="00E329F8"/>
    <w:rsid w:val="00E460F2"/>
    <w:rsid w:val="00E619CE"/>
    <w:rsid w:val="00E811C2"/>
    <w:rsid w:val="00E85454"/>
    <w:rsid w:val="00E87762"/>
    <w:rsid w:val="00E911EA"/>
    <w:rsid w:val="00E93CAA"/>
    <w:rsid w:val="00EA2C32"/>
    <w:rsid w:val="00EA3390"/>
    <w:rsid w:val="00EA4260"/>
    <w:rsid w:val="00EA49E0"/>
    <w:rsid w:val="00EB23F5"/>
    <w:rsid w:val="00EB4F76"/>
    <w:rsid w:val="00ED06B6"/>
    <w:rsid w:val="00EE31C6"/>
    <w:rsid w:val="00F04959"/>
    <w:rsid w:val="00F04D90"/>
    <w:rsid w:val="00F26077"/>
    <w:rsid w:val="00F467E2"/>
    <w:rsid w:val="00F50C57"/>
    <w:rsid w:val="00F52011"/>
    <w:rsid w:val="00F5539C"/>
    <w:rsid w:val="00F554B0"/>
    <w:rsid w:val="00F66E03"/>
    <w:rsid w:val="00F77C8A"/>
    <w:rsid w:val="00F91E91"/>
    <w:rsid w:val="00F94D0F"/>
    <w:rsid w:val="00FA5D72"/>
    <w:rsid w:val="00FA5F5A"/>
    <w:rsid w:val="00FB7984"/>
    <w:rsid w:val="00FC1D67"/>
    <w:rsid w:val="00FC6C76"/>
    <w:rsid w:val="00FD189A"/>
    <w:rsid w:val="00FE314E"/>
    <w:rsid w:val="00FE43D6"/>
    <w:rsid w:val="00FE5CC4"/>
    <w:rsid w:val="00FF1D2A"/>
    <w:rsid w:val="00FF75B2"/>
    <w:rsid w:val="01057A36"/>
    <w:rsid w:val="012F41F1"/>
    <w:rsid w:val="013E69A1"/>
    <w:rsid w:val="01AD02FC"/>
    <w:rsid w:val="01E64A10"/>
    <w:rsid w:val="02281EFA"/>
    <w:rsid w:val="02775E6D"/>
    <w:rsid w:val="028C045D"/>
    <w:rsid w:val="02EF62A5"/>
    <w:rsid w:val="031970CE"/>
    <w:rsid w:val="03D1158F"/>
    <w:rsid w:val="03E02CF7"/>
    <w:rsid w:val="04072F22"/>
    <w:rsid w:val="041746CA"/>
    <w:rsid w:val="04283146"/>
    <w:rsid w:val="04826A29"/>
    <w:rsid w:val="048A035B"/>
    <w:rsid w:val="04D4084F"/>
    <w:rsid w:val="05A80176"/>
    <w:rsid w:val="05E12397"/>
    <w:rsid w:val="061F3D46"/>
    <w:rsid w:val="068226EA"/>
    <w:rsid w:val="06B6779F"/>
    <w:rsid w:val="06B707EC"/>
    <w:rsid w:val="06D3069A"/>
    <w:rsid w:val="06E15F8D"/>
    <w:rsid w:val="06F242E4"/>
    <w:rsid w:val="07BE1A19"/>
    <w:rsid w:val="07D653C6"/>
    <w:rsid w:val="07F007FE"/>
    <w:rsid w:val="08C4381E"/>
    <w:rsid w:val="099E1F14"/>
    <w:rsid w:val="09C676BC"/>
    <w:rsid w:val="09F96616"/>
    <w:rsid w:val="0A216043"/>
    <w:rsid w:val="0A2B07D7"/>
    <w:rsid w:val="0A4F039A"/>
    <w:rsid w:val="0A9C2825"/>
    <w:rsid w:val="0BAA717C"/>
    <w:rsid w:val="0C091325"/>
    <w:rsid w:val="0C22092E"/>
    <w:rsid w:val="0C3D1775"/>
    <w:rsid w:val="0C5349B5"/>
    <w:rsid w:val="0C6D0460"/>
    <w:rsid w:val="0C784C91"/>
    <w:rsid w:val="0D2E241E"/>
    <w:rsid w:val="0D8A2A3D"/>
    <w:rsid w:val="0E320E7D"/>
    <w:rsid w:val="0E3E01D3"/>
    <w:rsid w:val="0F2D6C15"/>
    <w:rsid w:val="0F4915A7"/>
    <w:rsid w:val="0F9E280E"/>
    <w:rsid w:val="0FAC4C5F"/>
    <w:rsid w:val="0FC346EE"/>
    <w:rsid w:val="0FD566B8"/>
    <w:rsid w:val="10C666D9"/>
    <w:rsid w:val="10F520D9"/>
    <w:rsid w:val="11062847"/>
    <w:rsid w:val="117D4288"/>
    <w:rsid w:val="11F86FDA"/>
    <w:rsid w:val="122317D1"/>
    <w:rsid w:val="12352928"/>
    <w:rsid w:val="12434DFC"/>
    <w:rsid w:val="125E66E4"/>
    <w:rsid w:val="126B22F1"/>
    <w:rsid w:val="12C74F2A"/>
    <w:rsid w:val="12C9107E"/>
    <w:rsid w:val="13191785"/>
    <w:rsid w:val="13491142"/>
    <w:rsid w:val="1397751C"/>
    <w:rsid w:val="13F37EDE"/>
    <w:rsid w:val="144036DD"/>
    <w:rsid w:val="14600362"/>
    <w:rsid w:val="14840193"/>
    <w:rsid w:val="14CE20F2"/>
    <w:rsid w:val="1518552E"/>
    <w:rsid w:val="153A3634"/>
    <w:rsid w:val="162754D4"/>
    <w:rsid w:val="16D05CDC"/>
    <w:rsid w:val="1706559C"/>
    <w:rsid w:val="17D63232"/>
    <w:rsid w:val="17F1213C"/>
    <w:rsid w:val="188060B8"/>
    <w:rsid w:val="18D92D73"/>
    <w:rsid w:val="18E64B7C"/>
    <w:rsid w:val="192D6CA9"/>
    <w:rsid w:val="197B4997"/>
    <w:rsid w:val="19B220FD"/>
    <w:rsid w:val="19BF2A2B"/>
    <w:rsid w:val="19F654E4"/>
    <w:rsid w:val="1AD9295D"/>
    <w:rsid w:val="1B25353F"/>
    <w:rsid w:val="1B3A4EE6"/>
    <w:rsid w:val="1B4B5A85"/>
    <w:rsid w:val="1B552408"/>
    <w:rsid w:val="1C5A737A"/>
    <w:rsid w:val="1C7F5345"/>
    <w:rsid w:val="1CFD2F9D"/>
    <w:rsid w:val="1D7601C5"/>
    <w:rsid w:val="1DC34FBF"/>
    <w:rsid w:val="1DDB22E4"/>
    <w:rsid w:val="1DDE70C4"/>
    <w:rsid w:val="1E0A24E4"/>
    <w:rsid w:val="1E1012D5"/>
    <w:rsid w:val="1E2F15C0"/>
    <w:rsid w:val="1E303B42"/>
    <w:rsid w:val="1E401EC1"/>
    <w:rsid w:val="1F250434"/>
    <w:rsid w:val="1F2A15E1"/>
    <w:rsid w:val="1F31382A"/>
    <w:rsid w:val="1F7000CC"/>
    <w:rsid w:val="1FB66F60"/>
    <w:rsid w:val="20124A64"/>
    <w:rsid w:val="20D402E3"/>
    <w:rsid w:val="211E1DE5"/>
    <w:rsid w:val="218F5364"/>
    <w:rsid w:val="21A42BCD"/>
    <w:rsid w:val="228D0920"/>
    <w:rsid w:val="22907E26"/>
    <w:rsid w:val="236025B3"/>
    <w:rsid w:val="23817458"/>
    <w:rsid w:val="23897339"/>
    <w:rsid w:val="23CD2599"/>
    <w:rsid w:val="23DA514C"/>
    <w:rsid w:val="247820DF"/>
    <w:rsid w:val="247F1F6A"/>
    <w:rsid w:val="24B66CEE"/>
    <w:rsid w:val="2501045C"/>
    <w:rsid w:val="251171AE"/>
    <w:rsid w:val="253047B3"/>
    <w:rsid w:val="257A4B17"/>
    <w:rsid w:val="25931798"/>
    <w:rsid w:val="25CC781D"/>
    <w:rsid w:val="25CE17E1"/>
    <w:rsid w:val="25E4622E"/>
    <w:rsid w:val="25E76CCC"/>
    <w:rsid w:val="2668592C"/>
    <w:rsid w:val="268F3209"/>
    <w:rsid w:val="27026765"/>
    <w:rsid w:val="27207213"/>
    <w:rsid w:val="27B5597F"/>
    <w:rsid w:val="27FA4D92"/>
    <w:rsid w:val="28090E84"/>
    <w:rsid w:val="28583CF7"/>
    <w:rsid w:val="28AA7527"/>
    <w:rsid w:val="28B15860"/>
    <w:rsid w:val="28C716E5"/>
    <w:rsid w:val="28C95D0A"/>
    <w:rsid w:val="28D86D3C"/>
    <w:rsid w:val="28DD1924"/>
    <w:rsid w:val="294A2DF0"/>
    <w:rsid w:val="29C727DB"/>
    <w:rsid w:val="2AD84645"/>
    <w:rsid w:val="2B314392"/>
    <w:rsid w:val="2B54647E"/>
    <w:rsid w:val="2B8669C3"/>
    <w:rsid w:val="2C115C42"/>
    <w:rsid w:val="2C943458"/>
    <w:rsid w:val="2CB81A20"/>
    <w:rsid w:val="2CE23451"/>
    <w:rsid w:val="2CEE02D3"/>
    <w:rsid w:val="2CEE2C53"/>
    <w:rsid w:val="2D9D63F1"/>
    <w:rsid w:val="2DBB76E7"/>
    <w:rsid w:val="2DDC737E"/>
    <w:rsid w:val="2DDF4522"/>
    <w:rsid w:val="2DE42DFB"/>
    <w:rsid w:val="2E696706"/>
    <w:rsid w:val="2F172E57"/>
    <w:rsid w:val="2F193CA2"/>
    <w:rsid w:val="2F710449"/>
    <w:rsid w:val="30593083"/>
    <w:rsid w:val="3098505F"/>
    <w:rsid w:val="30B34B01"/>
    <w:rsid w:val="30EC46CA"/>
    <w:rsid w:val="31080DF9"/>
    <w:rsid w:val="31171091"/>
    <w:rsid w:val="312B1A2F"/>
    <w:rsid w:val="313D3E6E"/>
    <w:rsid w:val="314D7BF8"/>
    <w:rsid w:val="32440CF7"/>
    <w:rsid w:val="32FD2CD1"/>
    <w:rsid w:val="32FF210A"/>
    <w:rsid w:val="33063FB8"/>
    <w:rsid w:val="33175059"/>
    <w:rsid w:val="336A7906"/>
    <w:rsid w:val="33701B0D"/>
    <w:rsid w:val="33CB74FA"/>
    <w:rsid w:val="33E60DEE"/>
    <w:rsid w:val="33FD192A"/>
    <w:rsid w:val="34126C7B"/>
    <w:rsid w:val="342E4440"/>
    <w:rsid w:val="34934161"/>
    <w:rsid w:val="349A092E"/>
    <w:rsid w:val="34A44033"/>
    <w:rsid w:val="34C17592"/>
    <w:rsid w:val="350313AC"/>
    <w:rsid w:val="35204B68"/>
    <w:rsid w:val="352D5A09"/>
    <w:rsid w:val="356E1D96"/>
    <w:rsid w:val="357F234A"/>
    <w:rsid w:val="358636D8"/>
    <w:rsid w:val="35B86E3E"/>
    <w:rsid w:val="35EB075F"/>
    <w:rsid w:val="360067DB"/>
    <w:rsid w:val="36931D29"/>
    <w:rsid w:val="370B2B99"/>
    <w:rsid w:val="372C384A"/>
    <w:rsid w:val="377B2EE4"/>
    <w:rsid w:val="37E47C29"/>
    <w:rsid w:val="37F00BE8"/>
    <w:rsid w:val="380F5D03"/>
    <w:rsid w:val="38140196"/>
    <w:rsid w:val="382E6998"/>
    <w:rsid w:val="3850205C"/>
    <w:rsid w:val="385E26EA"/>
    <w:rsid w:val="38717663"/>
    <w:rsid w:val="38F04985"/>
    <w:rsid w:val="391E65BB"/>
    <w:rsid w:val="39217FDC"/>
    <w:rsid w:val="395477ED"/>
    <w:rsid w:val="39D51FF5"/>
    <w:rsid w:val="39ED0FDC"/>
    <w:rsid w:val="3A535553"/>
    <w:rsid w:val="3A557C03"/>
    <w:rsid w:val="3A663AD8"/>
    <w:rsid w:val="3A800AD0"/>
    <w:rsid w:val="3B0524F4"/>
    <w:rsid w:val="3B0D2E42"/>
    <w:rsid w:val="3B147B5B"/>
    <w:rsid w:val="3B1E0E40"/>
    <w:rsid w:val="3B883261"/>
    <w:rsid w:val="3B954FF7"/>
    <w:rsid w:val="3BDD3353"/>
    <w:rsid w:val="3C3672C3"/>
    <w:rsid w:val="3C9A2B12"/>
    <w:rsid w:val="3CCA14CA"/>
    <w:rsid w:val="3D15529E"/>
    <w:rsid w:val="3DE73B1B"/>
    <w:rsid w:val="3E436B44"/>
    <w:rsid w:val="3F033FEC"/>
    <w:rsid w:val="3F523C7E"/>
    <w:rsid w:val="3F796E1A"/>
    <w:rsid w:val="3F9E2010"/>
    <w:rsid w:val="3FCC0881"/>
    <w:rsid w:val="3FE41969"/>
    <w:rsid w:val="406544A0"/>
    <w:rsid w:val="40DD721C"/>
    <w:rsid w:val="40FB7B37"/>
    <w:rsid w:val="40FE2CBD"/>
    <w:rsid w:val="41054156"/>
    <w:rsid w:val="4109293F"/>
    <w:rsid w:val="410D3A4B"/>
    <w:rsid w:val="41140CE8"/>
    <w:rsid w:val="420C0491"/>
    <w:rsid w:val="42293F7F"/>
    <w:rsid w:val="434E0AC1"/>
    <w:rsid w:val="43B86CF3"/>
    <w:rsid w:val="43D33F21"/>
    <w:rsid w:val="43EF3930"/>
    <w:rsid w:val="44280D6D"/>
    <w:rsid w:val="44312BC5"/>
    <w:rsid w:val="445C2059"/>
    <w:rsid w:val="44673745"/>
    <w:rsid w:val="44C647A0"/>
    <w:rsid w:val="453856B9"/>
    <w:rsid w:val="45547B36"/>
    <w:rsid w:val="459360BC"/>
    <w:rsid w:val="46006259"/>
    <w:rsid w:val="46827DA4"/>
    <w:rsid w:val="46EA1A68"/>
    <w:rsid w:val="477347BC"/>
    <w:rsid w:val="47883C0D"/>
    <w:rsid w:val="47971775"/>
    <w:rsid w:val="479A6815"/>
    <w:rsid w:val="47E130BA"/>
    <w:rsid w:val="483E6F88"/>
    <w:rsid w:val="487F7BB1"/>
    <w:rsid w:val="489156DE"/>
    <w:rsid w:val="48A2528E"/>
    <w:rsid w:val="48AD2FD9"/>
    <w:rsid w:val="48FD700E"/>
    <w:rsid w:val="494B7CAB"/>
    <w:rsid w:val="49FA6834"/>
    <w:rsid w:val="4A1A77B1"/>
    <w:rsid w:val="4A390FCA"/>
    <w:rsid w:val="4A7E3FD9"/>
    <w:rsid w:val="4AFF1A4A"/>
    <w:rsid w:val="4B7A74E9"/>
    <w:rsid w:val="4B806CAA"/>
    <w:rsid w:val="4BD03DF5"/>
    <w:rsid w:val="4CA37A35"/>
    <w:rsid w:val="4D45335D"/>
    <w:rsid w:val="4D7A7B6F"/>
    <w:rsid w:val="4DA93EE2"/>
    <w:rsid w:val="4E2076E9"/>
    <w:rsid w:val="4E6A7BE3"/>
    <w:rsid w:val="4EB059B6"/>
    <w:rsid w:val="4EB5198A"/>
    <w:rsid w:val="4EBB21ED"/>
    <w:rsid w:val="4ED9363C"/>
    <w:rsid w:val="4EE84FD9"/>
    <w:rsid w:val="4F2E1A62"/>
    <w:rsid w:val="4F395310"/>
    <w:rsid w:val="4F801DF4"/>
    <w:rsid w:val="4F8E4C0E"/>
    <w:rsid w:val="50730492"/>
    <w:rsid w:val="507E36BB"/>
    <w:rsid w:val="50CE57C5"/>
    <w:rsid w:val="50F2498B"/>
    <w:rsid w:val="51236DA1"/>
    <w:rsid w:val="5176066A"/>
    <w:rsid w:val="51B26B56"/>
    <w:rsid w:val="51CD562A"/>
    <w:rsid w:val="521B644B"/>
    <w:rsid w:val="52224331"/>
    <w:rsid w:val="522E2782"/>
    <w:rsid w:val="52695841"/>
    <w:rsid w:val="52BA1038"/>
    <w:rsid w:val="52EB0D42"/>
    <w:rsid w:val="52F35706"/>
    <w:rsid w:val="52F40A53"/>
    <w:rsid w:val="52F6666E"/>
    <w:rsid w:val="53015A31"/>
    <w:rsid w:val="53017CC2"/>
    <w:rsid w:val="531E7AC1"/>
    <w:rsid w:val="53457B34"/>
    <w:rsid w:val="53C644EF"/>
    <w:rsid w:val="53D213B0"/>
    <w:rsid w:val="548C79C3"/>
    <w:rsid w:val="54E837CB"/>
    <w:rsid w:val="5528012E"/>
    <w:rsid w:val="552A2BBA"/>
    <w:rsid w:val="554B7E8D"/>
    <w:rsid w:val="558772CD"/>
    <w:rsid w:val="55E046DD"/>
    <w:rsid w:val="55E12CE9"/>
    <w:rsid w:val="55E72CBC"/>
    <w:rsid w:val="56751387"/>
    <w:rsid w:val="56C22E14"/>
    <w:rsid w:val="57C26B17"/>
    <w:rsid w:val="58167E94"/>
    <w:rsid w:val="584B3AF2"/>
    <w:rsid w:val="586737BC"/>
    <w:rsid w:val="58B344A3"/>
    <w:rsid w:val="590D0666"/>
    <w:rsid w:val="5A0526BF"/>
    <w:rsid w:val="5A5101A4"/>
    <w:rsid w:val="5AA86DA4"/>
    <w:rsid w:val="5AD67A1E"/>
    <w:rsid w:val="5B094BD3"/>
    <w:rsid w:val="5BAE7CED"/>
    <w:rsid w:val="5BE966D1"/>
    <w:rsid w:val="5C003770"/>
    <w:rsid w:val="5C5872CD"/>
    <w:rsid w:val="5C94174E"/>
    <w:rsid w:val="5D284EF1"/>
    <w:rsid w:val="5DB22F51"/>
    <w:rsid w:val="5DB30579"/>
    <w:rsid w:val="5DC34B75"/>
    <w:rsid w:val="5DE10C81"/>
    <w:rsid w:val="5E4D5306"/>
    <w:rsid w:val="5EC6147E"/>
    <w:rsid w:val="5EC628F1"/>
    <w:rsid w:val="5F065401"/>
    <w:rsid w:val="5F3C4A92"/>
    <w:rsid w:val="5FC66560"/>
    <w:rsid w:val="5FE64AEF"/>
    <w:rsid w:val="6063255D"/>
    <w:rsid w:val="60CA4511"/>
    <w:rsid w:val="60CB440F"/>
    <w:rsid w:val="61830920"/>
    <w:rsid w:val="61CE3A26"/>
    <w:rsid w:val="62141BE4"/>
    <w:rsid w:val="62337DB2"/>
    <w:rsid w:val="629A7E36"/>
    <w:rsid w:val="62A56FE4"/>
    <w:rsid w:val="62E36F68"/>
    <w:rsid w:val="63342761"/>
    <w:rsid w:val="637075F2"/>
    <w:rsid w:val="64365DE2"/>
    <w:rsid w:val="64695AEE"/>
    <w:rsid w:val="64775502"/>
    <w:rsid w:val="64BE5A67"/>
    <w:rsid w:val="653B52C0"/>
    <w:rsid w:val="65417D7F"/>
    <w:rsid w:val="659C46CE"/>
    <w:rsid w:val="65C8062A"/>
    <w:rsid w:val="66050D3F"/>
    <w:rsid w:val="66281FA4"/>
    <w:rsid w:val="66B5750A"/>
    <w:rsid w:val="66F00CDA"/>
    <w:rsid w:val="66FB31BC"/>
    <w:rsid w:val="67E63ABD"/>
    <w:rsid w:val="681C58F0"/>
    <w:rsid w:val="68823FFC"/>
    <w:rsid w:val="6922275F"/>
    <w:rsid w:val="69941B67"/>
    <w:rsid w:val="69BB6540"/>
    <w:rsid w:val="69C00C59"/>
    <w:rsid w:val="6A175951"/>
    <w:rsid w:val="6A27056A"/>
    <w:rsid w:val="6A5A3423"/>
    <w:rsid w:val="6BAB2834"/>
    <w:rsid w:val="6C261D59"/>
    <w:rsid w:val="6C467142"/>
    <w:rsid w:val="6C494E84"/>
    <w:rsid w:val="6CF52916"/>
    <w:rsid w:val="6D017CFE"/>
    <w:rsid w:val="6D214390"/>
    <w:rsid w:val="6DA71D1E"/>
    <w:rsid w:val="6DBC754F"/>
    <w:rsid w:val="6DBD461E"/>
    <w:rsid w:val="6E503CF8"/>
    <w:rsid w:val="6E6977D1"/>
    <w:rsid w:val="6ED35F20"/>
    <w:rsid w:val="6F127D10"/>
    <w:rsid w:val="6F2A1F60"/>
    <w:rsid w:val="6F72043A"/>
    <w:rsid w:val="6FFB0A1B"/>
    <w:rsid w:val="70671E89"/>
    <w:rsid w:val="709D2B86"/>
    <w:rsid w:val="70C26D69"/>
    <w:rsid w:val="70D75410"/>
    <w:rsid w:val="70E36CC9"/>
    <w:rsid w:val="70FD2643"/>
    <w:rsid w:val="716166A4"/>
    <w:rsid w:val="724908AB"/>
    <w:rsid w:val="726F563C"/>
    <w:rsid w:val="72824C4C"/>
    <w:rsid w:val="72A821B7"/>
    <w:rsid w:val="72DA5DE3"/>
    <w:rsid w:val="72DF6B7C"/>
    <w:rsid w:val="72E145C3"/>
    <w:rsid w:val="753B426A"/>
    <w:rsid w:val="757C7961"/>
    <w:rsid w:val="75907441"/>
    <w:rsid w:val="75C83724"/>
    <w:rsid w:val="76710D7B"/>
    <w:rsid w:val="76B05433"/>
    <w:rsid w:val="76B15B00"/>
    <w:rsid w:val="76C8164E"/>
    <w:rsid w:val="77496D22"/>
    <w:rsid w:val="778069C2"/>
    <w:rsid w:val="783A5C65"/>
    <w:rsid w:val="78871491"/>
    <w:rsid w:val="78D01499"/>
    <w:rsid w:val="78F63533"/>
    <w:rsid w:val="790B68D6"/>
    <w:rsid w:val="79352A18"/>
    <w:rsid w:val="7971283E"/>
    <w:rsid w:val="7980187D"/>
    <w:rsid w:val="79B63A23"/>
    <w:rsid w:val="7A143258"/>
    <w:rsid w:val="7A524CBD"/>
    <w:rsid w:val="7AC64257"/>
    <w:rsid w:val="7B267CFD"/>
    <w:rsid w:val="7B4D7458"/>
    <w:rsid w:val="7BA34215"/>
    <w:rsid w:val="7BAE2282"/>
    <w:rsid w:val="7BB35E76"/>
    <w:rsid w:val="7C367ED4"/>
    <w:rsid w:val="7C657F15"/>
    <w:rsid w:val="7C97416C"/>
    <w:rsid w:val="7CA31501"/>
    <w:rsid w:val="7D5F1033"/>
    <w:rsid w:val="7D781D7E"/>
    <w:rsid w:val="7D94502D"/>
    <w:rsid w:val="7DA514D1"/>
    <w:rsid w:val="7DB05636"/>
    <w:rsid w:val="7DCD70C0"/>
    <w:rsid w:val="7DE84402"/>
    <w:rsid w:val="7E1B6817"/>
    <w:rsid w:val="7E640CD9"/>
    <w:rsid w:val="7E7044F2"/>
    <w:rsid w:val="7EB0276F"/>
    <w:rsid w:val="7F163803"/>
    <w:rsid w:val="7F2876AC"/>
    <w:rsid w:val="7F375139"/>
    <w:rsid w:val="7F420B08"/>
    <w:rsid w:val="7F9430AC"/>
    <w:rsid w:val="7FB13859"/>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kern w:val="2"/>
      <w:sz w:val="21"/>
      <w:lang w:val="en-US" w:eastAsia="zh-CN" w:bidi="ar-SA"/>
    </w:rPr>
  </w:style>
  <w:style w:type="paragraph" w:styleId="2">
    <w:name w:val="heading 1"/>
    <w:next w:val="3"/>
    <w:qFormat/>
    <w:uiPriority w:val="0"/>
    <w:pPr>
      <w:keepNext/>
      <w:numPr>
        <w:ilvl w:val="0"/>
        <w:numId w:val="1"/>
      </w:numPr>
      <w:spacing w:before="240" w:after="240"/>
      <w:jc w:val="both"/>
      <w:outlineLvl w:val="0"/>
    </w:pPr>
    <w:rPr>
      <w:rFonts w:ascii="Arial" w:hAnsi="Arial" w:eastAsia="黑体"/>
      <w:b/>
      <w:sz w:val="32"/>
      <w:szCs w:val="32"/>
      <w:lang w:val="en-US" w:eastAsia="zh-CN" w:bidi="ar-SA"/>
    </w:rPr>
  </w:style>
  <w:style w:type="paragraph" w:styleId="3">
    <w:name w:val="heading 2"/>
    <w:next w:val="1"/>
    <w:qFormat/>
    <w:uiPriority w:val="0"/>
    <w:pPr>
      <w:keepNext/>
      <w:numPr>
        <w:ilvl w:val="1"/>
        <w:numId w:val="1"/>
      </w:numPr>
      <w:spacing w:before="240" w:after="240"/>
      <w:jc w:val="both"/>
      <w:outlineLvl w:val="1"/>
    </w:pPr>
    <w:rPr>
      <w:rFonts w:ascii="Arial" w:hAnsi="Arial" w:eastAsia="黑体"/>
      <w:sz w:val="24"/>
      <w:szCs w:val="24"/>
      <w:lang w:val="en-US" w:eastAsia="zh-CN" w:bidi="ar-SA"/>
    </w:rPr>
  </w:style>
  <w:style w:type="paragraph" w:styleId="4">
    <w:name w:val="heading 3"/>
    <w:basedOn w:val="1"/>
    <w:next w:val="1"/>
    <w:qFormat/>
    <w:uiPriority w:val="0"/>
    <w:pPr>
      <w:keepNext/>
      <w:keepLines/>
      <w:numPr>
        <w:ilvl w:val="2"/>
        <w:numId w:val="1"/>
      </w:numPr>
      <w:spacing w:before="260" w:after="260" w:line="416" w:lineRule="auto"/>
      <w:outlineLvl w:val="2"/>
    </w:pPr>
    <w:rPr>
      <w:rFonts w:eastAsia="黑体"/>
      <w:bCs/>
      <w:kern w:val="2"/>
      <w:sz w:val="24"/>
      <w:szCs w:val="32"/>
    </w:rPr>
  </w:style>
  <w:style w:type="character" w:default="1" w:styleId="15">
    <w:name w:val="Default Paragraph Font"/>
    <w:semiHidden/>
    <w:uiPriority w:val="0"/>
  </w:style>
  <w:style w:type="table" w:default="1" w:styleId="14">
    <w:name w:val="Normal Table"/>
    <w:semiHidden/>
    <w:uiPriority w:val="0"/>
    <w:tblPr>
      <w:tblStyle w:val="14"/>
      <w:tblCellMar>
        <w:top w:w="0" w:type="dxa"/>
        <w:left w:w="108" w:type="dxa"/>
        <w:bottom w:w="0" w:type="dxa"/>
        <w:right w:w="108" w:type="dxa"/>
      </w:tblCellMar>
    </w:tblPr>
  </w:style>
  <w:style w:type="paragraph" w:styleId="5">
    <w:name w:val="annotation text"/>
    <w:basedOn w:val="1"/>
    <w:link w:val="19"/>
    <w:uiPriority w:val="0"/>
    <w:pPr>
      <w:jc w:val="left"/>
    </w:pPr>
  </w:style>
  <w:style w:type="paragraph" w:styleId="6">
    <w:name w:val="Body Text"/>
    <w:basedOn w:val="1"/>
    <w:uiPriority w:val="0"/>
    <w:pPr>
      <w:spacing w:after="120"/>
    </w:pPr>
  </w:style>
  <w:style w:type="paragraph" w:styleId="7">
    <w:name w:val="Body Text Indent"/>
    <w:basedOn w:val="1"/>
    <w:uiPriority w:val="0"/>
    <w:pPr>
      <w:spacing w:after="120"/>
      <w:ind w:left="420" w:leftChars="200"/>
    </w:pPr>
  </w:style>
  <w:style w:type="paragraph" w:styleId="8">
    <w:name w:val="Body Text Indent 2"/>
    <w:basedOn w:val="1"/>
    <w:uiPriority w:val="0"/>
    <w:pPr>
      <w:ind w:firstLine="560" w:firstLineChars="200"/>
    </w:pPr>
    <w:rPr>
      <w:kern w:val="0"/>
      <w:sz w:val="28"/>
      <w:szCs w:val="28"/>
    </w:rPr>
  </w:style>
  <w:style w:type="paragraph" w:styleId="9">
    <w:name w:val="Balloon Text"/>
    <w:basedOn w:val="1"/>
    <w:semiHidden/>
    <w:uiPriority w:val="0"/>
    <w:rPr>
      <w:sz w:val="18"/>
      <w:szCs w:val="18"/>
    </w:rPr>
  </w:style>
  <w:style w:type="paragraph" w:styleId="10">
    <w:name w:val="footer"/>
    <w:uiPriority w:val="0"/>
    <w:pPr>
      <w:tabs>
        <w:tab w:val="center" w:pos="4510"/>
        <w:tab w:val="right" w:pos="9020"/>
      </w:tabs>
    </w:pPr>
    <w:rPr>
      <w:rFonts w:ascii="Arial" w:hAnsi="Arial"/>
      <w:sz w:val="18"/>
      <w:szCs w:val="18"/>
      <w:lang w:val="en-US" w:eastAsia="zh-CN" w:bidi="ar-SA"/>
    </w:rPr>
  </w:style>
  <w:style w:type="paragraph" w:styleId="11">
    <w:name w:val="header"/>
    <w:uiPriority w:val="0"/>
    <w:pPr>
      <w:tabs>
        <w:tab w:val="center" w:pos="4153"/>
        <w:tab w:val="right" w:pos="8306"/>
      </w:tabs>
      <w:snapToGrid w:val="0"/>
      <w:jc w:val="both"/>
    </w:pPr>
    <w:rPr>
      <w:rFonts w:ascii="Arial" w:hAnsi="Arial"/>
      <w:sz w:val="18"/>
      <w:szCs w:val="18"/>
      <w:lang w:val="en-US" w:eastAsia="zh-CN" w:bidi="ar-SA"/>
    </w:rPr>
  </w:style>
  <w:style w:type="paragraph" w:styleId="12">
    <w:name w:val="Normal (Web)"/>
    <w:basedOn w:val="1"/>
    <w:uiPriority w:val="0"/>
    <w:pPr>
      <w:widowControl/>
      <w:spacing w:before="100" w:beforeAutospacing="1" w:after="100" w:afterAutospacing="1"/>
      <w:jc w:val="left"/>
    </w:pPr>
    <w:rPr>
      <w:rFonts w:ascii="宋体" w:hAnsi="宋体" w:cs="宋体"/>
      <w:kern w:val="0"/>
      <w:sz w:val="24"/>
      <w:szCs w:val="24"/>
    </w:rPr>
  </w:style>
  <w:style w:type="paragraph" w:styleId="13">
    <w:name w:val="annotation subject"/>
    <w:basedOn w:val="5"/>
    <w:next w:val="5"/>
    <w:link w:val="20"/>
    <w:uiPriority w:val="0"/>
    <w:rPr>
      <w:b/>
      <w:bCs/>
    </w:rPr>
  </w:style>
  <w:style w:type="character" w:styleId="16">
    <w:name w:val="page number"/>
    <w:basedOn w:val="15"/>
    <w:uiPriority w:val="0"/>
  </w:style>
  <w:style w:type="character" w:styleId="17">
    <w:name w:val="line number"/>
    <w:basedOn w:val="15"/>
    <w:uiPriority w:val="0"/>
  </w:style>
  <w:style w:type="character" w:styleId="18">
    <w:name w:val="annotation reference"/>
    <w:uiPriority w:val="0"/>
    <w:rPr>
      <w:sz w:val="21"/>
      <w:szCs w:val="21"/>
    </w:rPr>
  </w:style>
  <w:style w:type="character" w:customStyle="1" w:styleId="19">
    <w:name w:val="批注文字 字符"/>
    <w:link w:val="5"/>
    <w:uiPriority w:val="0"/>
    <w:rPr>
      <w:kern w:val="2"/>
      <w:sz w:val="21"/>
    </w:rPr>
  </w:style>
  <w:style w:type="character" w:customStyle="1" w:styleId="20">
    <w:name w:val="批注主题 字符"/>
    <w:link w:val="13"/>
    <w:uiPriority w:val="0"/>
    <w:rPr>
      <w:b/>
      <w:bCs/>
      <w:kern w:val="2"/>
      <w:sz w:val="21"/>
    </w:rPr>
  </w:style>
  <w:style w:type="paragraph" w:customStyle="1" w:styleId="21">
    <w:name w:val="标题2"/>
    <w:basedOn w:val="1"/>
    <w:uiPriority w:val="0"/>
    <w:pPr>
      <w:autoSpaceDE w:val="0"/>
      <w:autoSpaceDN w:val="0"/>
      <w:adjustRightInd w:val="0"/>
      <w:spacing w:line="360" w:lineRule="auto"/>
      <w:jc w:val="left"/>
    </w:pPr>
    <w:rPr>
      <w:rFonts w:ascii="宋体"/>
      <w:kern w:val="0"/>
      <w:sz w:val="24"/>
    </w:rPr>
  </w:style>
  <w:style w:type="paragraph" w:customStyle="1" w:styleId="22">
    <w:name w:val="正文 New"/>
    <w:qFormat/>
    <w:uiPriority w:val="0"/>
    <w:pPr>
      <w:widowControl w:val="0"/>
      <w:snapToGrid w:val="0"/>
      <w:spacing w:line="360" w:lineRule="auto"/>
      <w:ind w:firstLine="584" w:firstLineChars="200"/>
      <w:jc w:val="both"/>
      <w:textAlignment w:val="baseline"/>
    </w:pPr>
    <w:rPr>
      <w:rFonts w:ascii="Times New Roman" w:hAnsi="Times New Roman" w:eastAsia="楷体_GB2312" w:cs="Times New Roman"/>
      <w:snapToGrid w:val="0"/>
      <w:spacing w:val="6"/>
      <w:sz w:val="28"/>
      <w:lang w:val="en-US" w:eastAsia="zh-CN" w:bidi="ar-SA"/>
    </w:rPr>
  </w:style>
  <w:style w:type="paragraph" w:customStyle="1" w:styleId="23">
    <w:name w:val="图样式"/>
    <w:basedOn w:val="1"/>
    <w:uiPriority w:val="0"/>
    <w:pPr>
      <w:keepNext/>
      <w:widowControl/>
      <w:spacing w:before="80" w:after="80"/>
      <w:ind w:firstLine="0" w:firstLineChars="0"/>
      <w:jc w:val="center"/>
    </w:pPr>
  </w:style>
  <w:style w:type="paragraph" w:customStyle="1" w:styleId="24">
    <w:name w:val="封面表格文本"/>
    <w:basedOn w:val="1"/>
    <w:uiPriority w:val="0"/>
    <w:pPr>
      <w:autoSpaceDE w:val="0"/>
      <w:autoSpaceDN w:val="0"/>
      <w:adjustRightInd w:val="0"/>
      <w:jc w:val="center"/>
    </w:pPr>
    <w:rPr>
      <w:b/>
      <w:kern w:val="0"/>
      <w:sz w:val="24"/>
    </w:rPr>
  </w:style>
  <w:style w:type="paragraph" w:customStyle="1" w:styleId="25">
    <w:name w:val="注示文本"/>
    <w:basedOn w:val="1"/>
    <w:uiPriority w:val="0"/>
    <w:pPr>
      <w:pBdr>
        <w:bottom w:val="single" w:color="000000" w:sz="4" w:space="1"/>
      </w:pBdr>
      <w:ind w:firstLine="360"/>
      <w:jc w:val="both"/>
    </w:pPr>
    <w:rPr>
      <w:rFonts w:ascii="Arial" w:hAnsi="Arial" w:eastAsia="楷体_GB2312"/>
      <w:sz w:val="18"/>
      <w:szCs w:val="18"/>
    </w:rPr>
  </w:style>
  <w:style w:type="paragraph" w:customStyle="1" w:styleId="26">
    <w:name w:val="名称"/>
    <w:basedOn w:val="22"/>
    <w:qFormat/>
    <w:uiPriority w:val="0"/>
    <w:pPr>
      <w:jc w:val="center"/>
    </w:pPr>
    <w:rPr>
      <w:b/>
      <w:spacing w:val="240"/>
      <w:sz w:val="36"/>
    </w:rPr>
  </w:style>
  <w:style w:type="paragraph" w:customStyle="1" w:styleId="27">
    <w:name w:val="表格文本"/>
    <w:uiPriority w:val="0"/>
    <w:pPr>
      <w:tabs>
        <w:tab w:val="decimal" w:pos="0"/>
      </w:tabs>
    </w:pPr>
    <w:rPr>
      <w:rFonts w:ascii="Arial" w:hAnsi="Arial"/>
      <w:sz w:val="21"/>
      <w:szCs w:val="21"/>
      <w:lang w:val="en-US" w:eastAsia="zh-CN" w:bidi="ar-SA"/>
    </w:rPr>
  </w:style>
  <w:style w:type="paragraph" w:customStyle="1" w:styleId="28">
    <w:name w:val="缺省文本"/>
    <w:basedOn w:val="1"/>
    <w:uiPriority w:val="0"/>
    <w:pPr>
      <w:autoSpaceDE w:val="0"/>
      <w:autoSpaceDN w:val="0"/>
      <w:adjustRightInd w:val="0"/>
      <w:spacing w:line="360" w:lineRule="auto"/>
      <w:jc w:val="left"/>
    </w:pPr>
    <w:rPr>
      <w:kern w:val="0"/>
    </w:rPr>
  </w:style>
  <w:style w:type="paragraph" w:customStyle="1" w:styleId="29">
    <w:name w:val="正文1"/>
    <w:basedOn w:val="7"/>
    <w:uiPriority w:val="0"/>
    <w:pPr>
      <w:spacing w:line="360" w:lineRule="auto"/>
      <w:ind w:firstLine="420" w:firstLineChars="200"/>
    </w:pPr>
    <w:rPr>
      <w:rFonts w:cs="宋体"/>
    </w:rPr>
  </w:style>
  <w:style w:type="paragraph" w:customStyle="1" w:styleId="30">
    <w:name w:val="编写建议"/>
    <w:basedOn w:val="1"/>
    <w:uiPriority w:val="0"/>
    <w:pPr>
      <w:ind w:firstLine="420"/>
    </w:pPr>
    <w:rPr>
      <w:rFonts w:ascii="Arial" w:hAnsi="Arial" w:cs="Arial"/>
      <w:i/>
      <w:color w:val="0000FF"/>
      <w:szCs w:val="21"/>
    </w:rPr>
  </w:style>
  <w:style w:type="paragraph" w:customStyle="1" w:styleId="31">
    <w:name w:val="注示头"/>
    <w:basedOn w:val="1"/>
    <w:uiPriority w:val="0"/>
    <w:pPr>
      <w:pBdr>
        <w:top w:val="single" w:color="000000" w:sz="4" w:space="1"/>
      </w:pBdr>
      <w:ind w:firstLine="0" w:firstLineChars="0"/>
      <w:jc w:val="both"/>
    </w:pPr>
    <w:rPr>
      <w:rFonts w:ascii="Arial" w:hAnsi="Arial" w:eastAsia="黑体"/>
      <w:sz w:val="18"/>
      <w:szCs w:val="21"/>
    </w:rPr>
  </w:style>
  <w:style w:type="paragraph" w:customStyle="1" w:styleId="32">
    <w:name w:val="插图题注"/>
    <w:next w:val="1"/>
    <w:uiPriority w:val="0"/>
    <w:pPr>
      <w:numPr>
        <w:ilvl w:val="7"/>
        <w:numId w:val="2"/>
      </w:numPr>
      <w:spacing w:after="240" w:afterLines="100"/>
      <w:ind w:left="1089" w:hanging="369"/>
      <w:jc w:val="center"/>
    </w:pPr>
    <w:rPr>
      <w:rFonts w:ascii="Arial" w:hAnsi="Arial"/>
      <w:sz w:val="18"/>
      <w:szCs w:val="18"/>
      <w:lang w:val="en-US" w:eastAsia="zh-CN" w:bidi="ar-SA"/>
    </w:rPr>
  </w:style>
  <w:style w:type="paragraph" w:customStyle="1" w:styleId="33">
    <w:name w:val="表格题注"/>
    <w:next w:val="1"/>
    <w:uiPriority w:val="0"/>
    <w:pPr>
      <w:keepLines/>
      <w:numPr>
        <w:ilvl w:val="8"/>
        <w:numId w:val="2"/>
      </w:numPr>
      <w:spacing w:before="240" w:beforeLines="100"/>
      <w:ind w:left="1089" w:hanging="369"/>
      <w:jc w:val="center"/>
    </w:pPr>
    <w:rPr>
      <w:rFonts w:ascii="Arial" w:hAnsi="Arial"/>
      <w:sz w:val="18"/>
      <w:szCs w:val="18"/>
      <w:lang w:val="en-US" w:eastAsia="zh-CN" w:bidi="ar-SA"/>
    </w:rPr>
  </w:style>
  <w:style w:type="paragraph" w:customStyle="1" w:styleId="34">
    <w:name w:val="文档标题"/>
    <w:basedOn w:val="1"/>
    <w:uiPriority w:val="0"/>
    <w:pPr>
      <w:tabs>
        <w:tab w:val="left" w:pos="0"/>
      </w:tabs>
      <w:spacing w:before="300" w:after="300"/>
      <w:ind w:firstLine="0" w:firstLineChars="0"/>
      <w:jc w:val="center"/>
    </w:pPr>
    <w:rPr>
      <w:rFonts w:ascii="Arial" w:hAnsi="Arial" w:eastAsia="黑体"/>
      <w:sz w:val="36"/>
      <w:szCs w:val="36"/>
    </w:rPr>
  </w:style>
  <w:style w:type="paragraph" w:customStyle="1" w:styleId="35">
    <w:name w:val="表头文本"/>
    <w:uiPriority w:val="0"/>
    <w:pPr>
      <w:jc w:val="center"/>
    </w:pPr>
    <w:rPr>
      <w:rFonts w:ascii="Arial" w:hAnsi="Arial"/>
      <w:b/>
      <w:sz w:val="21"/>
      <w:szCs w:val="21"/>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1.bin"/><Relationship Id="rId8" Type="http://schemas.openxmlformats.org/officeDocument/2006/relationships/theme" Target="theme/theme1.xml"/><Relationship Id="rId7" Type="http://schemas.openxmlformats.org/officeDocument/2006/relationships/footer" Target="footer5.xml"/><Relationship Id="rId6" Type="http://schemas.openxmlformats.org/officeDocument/2006/relationships/footer" Target="footer4.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image" Target="media/image5.emf"/><Relationship Id="rId22" Type="http://schemas.openxmlformats.org/officeDocument/2006/relationships/oleObject" Target="embeddings/oleObject10.bin"/><Relationship Id="rId21" Type="http://schemas.openxmlformats.org/officeDocument/2006/relationships/oleObject" Target="embeddings/oleObject9.bin"/><Relationship Id="rId20" Type="http://schemas.openxmlformats.org/officeDocument/2006/relationships/oleObject" Target="embeddings/oleObject8.bin"/><Relationship Id="rId2" Type="http://schemas.openxmlformats.org/officeDocument/2006/relationships/settings" Target="settings.xml"/><Relationship Id="rId19" Type="http://schemas.openxmlformats.org/officeDocument/2006/relationships/oleObject" Target="embeddings/oleObject7.bin"/><Relationship Id="rId18" Type="http://schemas.openxmlformats.org/officeDocument/2006/relationships/oleObject" Target="embeddings/oleObject6.bin"/><Relationship Id="rId17" Type="http://schemas.openxmlformats.org/officeDocument/2006/relationships/oleObject" Target="embeddings/oleObject5.bin"/><Relationship Id="rId16" Type="http://schemas.openxmlformats.org/officeDocument/2006/relationships/image" Target="media/image4.wmf"/><Relationship Id="rId15" Type="http://schemas.openxmlformats.org/officeDocument/2006/relationships/oleObject" Target="embeddings/oleObject4.bin"/><Relationship Id="rId14" Type="http://schemas.openxmlformats.org/officeDocument/2006/relationships/image" Target="media/image3.wmf"/><Relationship Id="rId13" Type="http://schemas.openxmlformats.org/officeDocument/2006/relationships/oleObject" Target="embeddings/oleObject3.bin"/><Relationship Id="rId12" Type="http://schemas.openxmlformats.org/officeDocument/2006/relationships/image" Target="media/image2.wmf"/><Relationship Id="rId11" Type="http://schemas.openxmlformats.org/officeDocument/2006/relationships/oleObject" Target="embeddings/oleObject2.bin"/><Relationship Id="rId10" Type="http://schemas.openxmlformats.org/officeDocument/2006/relationships/image" Target="media/image1.emf"/><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Huawei Technologies Co., Ltd.</Company>
  <Pages>21</Pages>
  <Words>11299</Words>
  <Characters>11670</Characters>
  <Lines>6</Lines>
  <Paragraphs>1</Paragraphs>
  <TotalTime>4</TotalTime>
  <ScaleCrop>false</ScaleCrop>
  <LinksUpToDate>false</LinksUpToDate>
  <CharactersWithSpaces>11749</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2015-06-24T01:51:00Z</dcterms:created>
  <dc:creator>Au KwokChung</dc:creator>
  <cp:lastModifiedBy>唐竟涵</cp:lastModifiedBy>
  <cp:lastPrinted>2013-01-22T08:50:00Z</cp:lastPrinted>
  <dcterms:modified xsi:type="dcterms:W3CDTF">2025-11-09T12:47:40Z</dcterms:modified>
  <dc:title>技术交底书V3</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r8>-857254979</vt:r8>
  </property>
  <property fmtid="{D5CDD505-2E9C-101B-9397-08002B2CF9AE}" pid="3" name="_EmailSubject">
    <vt:lpwstr>关于专利“一种蜂窝移动通信中实现寻呼的方法和系统”</vt:lpwstr>
  </property>
  <property fmtid="{D5CDD505-2E9C-101B-9397-08002B2CF9AE}" pid="4" name="_AuthorEmail">
    <vt:lpwstr>John_Lee@huawei.com</vt:lpwstr>
  </property>
  <property fmtid="{D5CDD505-2E9C-101B-9397-08002B2CF9AE}" pid="5" name="_AuthorEmailDisplayName">
    <vt:lpwstr>John Lee</vt:lpwstr>
  </property>
  <property fmtid="{D5CDD505-2E9C-101B-9397-08002B2CF9AE}" pid="6" name="_PreviousAdHocReviewCycleID">
    <vt:r8>1057501115</vt:r8>
  </property>
  <property fmtid="{D5CDD505-2E9C-101B-9397-08002B2CF9AE}" pid="7" name="_ReviewingToolsShownOnce">
    <vt:lpwstr/>
  </property>
  <property fmtid="{D5CDD505-2E9C-101B-9397-08002B2CF9AE}" pid="8" name="KSOProductBuildVer">
    <vt:lpwstr>2052-12.1.0.23125</vt:lpwstr>
  </property>
  <property fmtid="{D5CDD505-2E9C-101B-9397-08002B2CF9AE}" pid="9" name="ICV">
    <vt:lpwstr>268E1100B3C144FE85404E6DA30AD766_13</vt:lpwstr>
  </property>
  <property fmtid="{D5CDD505-2E9C-101B-9397-08002B2CF9AE}" pid="10" name="KSOTemplateDocerSaveRecord">
    <vt:lpwstr>eyJoZGlkIjoiMTFhOGE4OTNkZGE5MDZiNWM2NDhjY2UzMzRmNTg4NzUiLCJ1c2VySWQiOiIxNjI1Mjg2MjkwIn0=</vt:lpwstr>
  </property>
</Properties>
</file>