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Master Services Agreement</w:t>
      </w:r>
    </w:p>
    <w:p>
      <w:r>
        <w:rPr>
          <w:i w:val="0"/>
        </w:rPr>
        <w:t xml:space="preserve">Between </w:t>
      </w:r>
      <w:r>
        <w:rPr>
          <w:b/>
        </w:rPr>
        <w:t>Northwind Traders</w:t>
      </w:r>
      <w:r>
        <w:t xml:space="preserve"> and Acme Supply Co., effective 1 July 2026.</w:t>
      </w:r>
    </w:p>
    <w:p>
      <w:pPr>
        <w:pStyle w:val="Heading2"/>
      </w:pPr>
      <w:r>
        <w:t>1. Scope of services</w:t>
      </w:r>
    </w:p>
    <w:p>
      <w:r>
        <w:t>The Supplier shall provide the goods and services described in each Statement of Work agreed under this Agreement. Where a Statement of Work conflicts with this Agreement, this Agreement prevails unless the Statement of Work says otherwise and is signed by both parties.</w:t>
      </w:r>
    </w:p>
    <w:p>
      <w:pPr>
        <w:pStyle w:val="Heading2"/>
      </w:pPr>
      <w:r>
        <w:t>2. Payment terms</w:t>
      </w:r>
    </w:p>
    <w:p>
      <w:r>
        <w:t xml:space="preserve">Invoices are payable </w:t>
      </w:r>
      <w:r>
        <w:rPr>
          <w:b/>
        </w:rPr>
        <w:t>net 30 days</w:t>
      </w:r>
      <w:r>
        <w:t xml:space="preserve"> from the date of issue. See the </w:t>
      </w:r>
      <w:r>
        <w:rPr>
          <w:i/>
        </w:rPr>
        <w:t>published terms</w:t>
      </w:r>
      <w:r>
        <w:t xml:space="preserve"> for the full schedule.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Term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Payment window</w:t>
            </w:r>
          </w:p>
        </w:tc>
        <w:tc>
          <w:tcPr>
            <w:tcW w:type="dxa" w:w="2880"/>
          </w:tcPr>
          <w:p>
            <w:r>
              <w:t>Net 30</w:t>
            </w:r>
          </w:p>
        </w:tc>
        <w:tc>
          <w:tcPr>
            <w:tcW w:type="dxa" w:w="2880"/>
          </w:tcPr>
          <w:p>
            <w:r>
              <w:t>From date of issue</w:t>
            </w:r>
          </w:p>
        </w:tc>
      </w:tr>
      <w:tr>
        <w:tc>
          <w:tcPr>
            <w:tcW w:type="dxa" w:w="2880"/>
          </w:tcPr>
          <w:p>
            <w:r>
              <w:t>Currency</w:t>
            </w:r>
          </w:p>
        </w:tc>
        <w:tc>
          <w:tcPr>
            <w:tcW w:type="dxa" w:w="2880"/>
          </w:tcPr>
          <w:p>
            <w:r>
              <w:t>USD</w:t>
            </w:r>
          </w:p>
        </w:tc>
        <w:tc>
          <w:tcPr>
            <w:tcW w:type="dxa" w:w="2880"/>
          </w:tcPr>
          <w:p>
            <w:r>
              <w:t>Excludes sales tax</w:t>
            </w:r>
          </w:p>
        </w:tc>
      </w:tr>
      <w:tr>
        <w:tc>
          <w:tcPr>
            <w:tcW w:type="dxa" w:w="2880"/>
          </w:tcPr>
          <w:p>
            <w:r>
              <w:t>Late payment</w:t>
            </w:r>
          </w:p>
        </w:tc>
        <w:tc>
          <w:tcPr>
            <w:tcW w:type="dxa" w:w="2880"/>
          </w:tcPr>
          <w:p>
            <w:r>
              <w:t>1.5% monthly</w:t>
            </w:r>
          </w:p>
        </w:tc>
        <w:tc>
          <w:tcPr>
            <w:tcW w:type="dxa" w:w="2880"/>
          </w:tcPr>
          <w:p>
            <w:r>
              <w:t>Accrues daily</w:t>
            </w:r>
          </w:p>
        </w:tc>
      </w:tr>
      <w:tr>
        <w:tc>
          <w:tcPr>
            <w:tcW w:type="dxa" w:w="2880"/>
          </w:tcPr>
          <w:p>
            <w:r>
              <w:t>Disputed lines</w:t>
            </w:r>
          </w:p>
        </w:tc>
        <w:tc>
          <w:tcPr>
            <w:tcW w:type="dxa" w:w="2880"/>
          </w:tcPr>
          <w:p>
            <w:r>
              <w:t>Clock paused</w:t>
            </w:r>
          </w:p>
        </w:tc>
        <w:tc>
          <w:tcPr>
            <w:tcW w:type="dxa" w:w="2880"/>
          </w:tcPr>
          <w:p>
            <w:r>
              <w:t>Until resolved in writing</w:t>
            </w:r>
          </w:p>
        </w:tc>
      </w:tr>
    </w:tbl>
    <w:p>
      <w:pPr>
        <w:pStyle w:val="Heading2"/>
      </w:pPr>
      <w:r>
        <w:t>3. Obligations</w:t>
      </w:r>
    </w:p>
    <w:p>
      <w:pPr>
        <w:pStyle w:val="ListBullet"/>
      </w:pPr>
      <w:r>
        <w:t>Late payment accrues interest at 1.5% monthly.</w:t>
      </w:r>
    </w:p>
    <w:p>
      <w:pPr>
        <w:pStyle w:val="ListBullet"/>
      </w:pPr>
      <w:r>
        <w:t>Disputed lines pause the clock until resolved in writing.</w:t>
      </w:r>
    </w:p>
    <w:p>
      <w:pPr>
        <w:pStyle w:val="ListBullet"/>
      </w:pPr>
      <w:r>
        <w:t>Every invoice must quote the purchase order number.</w:t>
      </w:r>
    </w:p>
    <w:p>
      <w:pPr>
        <w:pStyle w:val="Heading2"/>
      </w:pPr>
      <w:r>
        <w:t>4. Confidentiality</w:t>
      </w:r>
    </w:p>
    <w:p>
      <w:r>
        <w:t>Each party shall keep confidential all information disclosed by the other that is marked confidential or that a reasonable person would treat as confidential. This obligation survives termination by three years.</w:t>
      </w:r>
    </w:p>
    <w:sectPr w:rsidR="00FC693F" w:rsidRPr="0006063C" w:rsidSect="00034616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