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_0d35fad43892e19a016639f3952bf502c02cacd"/>
    <w:p>
      <w:pPr>
        <w:pStyle w:val="Heading1"/>
      </w:pPr>
      <w:r>
        <w:t xml:space="preserve">Funds Splitting and eTIMS Integration in E-Commerce Systems</w:t>
      </w:r>
    </w:p>
    <w:bookmarkStart w:id="9" w:name="_24178e17815d7ed05207769f6e2fdf5de730a75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provides a comprehensive analysis of funds splitting mechanisms and eTIMS (Electronic Tax Invoice Management System) integration within modern e-commerce platforms. As regulatory requirements evolve and marketplace models become more complex, implementing robust financial transaction processing and tax compliance systems has become critical for e-commerce operators.</w:t>
      </w:r>
    </w:p>
    <w:p>
      <w:r>
        <w:pict>
          <v:rect style="width:0;height:1.5pt" o:hralign="center" o:hrstd="t" o:hr="t"/>
        </w:pict>
      </w:r>
    </w:p>
    <w:bookmarkEnd w:id="9"/>
    <w:bookmarkStart w:id="20" w:name="_1e212dda6832f02ba5ab8236127cfcf7845174f"/>
    <w:p>
      <w:pPr>
        <w:pStyle w:val="Heading2"/>
      </w:pPr>
      <w:r>
        <w:t xml:space="preserve">1. Funds Splitting in E-Commerce</w:t>
      </w:r>
    </w:p>
    <w:bookmarkStart w:id="10" w:name="_overview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Funds splitting refers to the automated distribution of transaction amounts among multiple parties involved in a sale. This is essential for marketplace platforms, affiliate programs, dropshipping models, and multi-vendor ecosystems.</w:t>
      </w:r>
    </w:p>
    <w:bookmarkEnd w:id="10"/>
    <w:bookmarkStart w:id="11" w:name="_3fac57e6499f4efc77c18141e40e2638c885540"/>
    <w:p>
      <w:pPr>
        <w:pStyle w:val="Heading3"/>
      </w:pPr>
      <w:r>
        <w:t xml:space="preserve">1.2 Key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97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Typical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Marketplace owner, infrastructure provider</w:t>
            </w:r>
          </w:p>
        </w:tc>
        <w:tc>
          <w:tcPr/>
          <w:p>
            <w:pPr>
              <w:pStyle w:val="Compact"/>
            </w:pPr>
            <w:r>
              <w:t xml:space="preserve">5-15% commission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Vendors/Merchants</w:t>
            </w:r>
          </w:p>
        </w:tc>
        <w:tc>
          <w:tcPr/>
          <w:p>
            <w:pPr>
              <w:pStyle w:val="Compact"/>
            </w:pPr>
            <w:r>
              <w:t xml:space="preserve">Product owners, fulfillment</w:t>
            </w:r>
          </w:p>
        </w:tc>
        <w:tc>
          <w:tcPr/>
          <w:p>
            <w:pPr>
              <w:pStyle w:val="Compact"/>
            </w:pPr>
            <w:r>
              <w:t xml:space="preserve">70-85%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Processors</w:t>
            </w:r>
          </w:p>
        </w:tc>
        <w:tc>
          <w:tcPr/>
          <w:p>
            <w:pPr>
              <w:pStyle w:val="Compact"/>
            </w:pPr>
            <w:r>
              <w:t xml:space="preserve">Transaction processing</w:t>
            </w:r>
          </w:p>
        </w:tc>
        <w:tc>
          <w:tcPr/>
          <w:p>
            <w:pPr>
              <w:pStyle w:val="Compact"/>
            </w:pPr>
            <w:r>
              <w:t xml:space="preserve">1-3%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Affiliates/Referrers</w:t>
            </w:r>
          </w:p>
        </w:tc>
        <w:tc>
          <w:tcPr/>
          <w:p>
            <w:pPr>
              <w:pStyle w:val="Compact"/>
            </w:pPr>
            <w:r>
              <w:t xml:space="preserve">Traffic drivers</w:t>
            </w:r>
          </w:p>
        </w:tc>
        <w:tc>
          <w:tcPr/>
          <w:p>
            <w:pPr>
              <w:pStyle w:val="Compact"/>
            </w:pPr>
            <w:r>
              <w:t xml:space="preserve">1-10%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Logistics Partners</w:t>
            </w:r>
          </w:p>
        </w:tc>
        <w:tc>
          <w:tcPr/>
          <w:p>
            <w:pPr>
              <w:pStyle w:val="Compact"/>
            </w:pPr>
            <w:r>
              <w:t xml:space="preserve">Shipping and delivery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</w:tbl>
    <w:bookmarkEnd w:id="11"/>
    <w:bookmarkStart w:id="14" w:name="_1732205f313bb3bea4aa84af060a718ef791810"/>
    <w:p>
      <w:pPr>
        <w:pStyle w:val="Heading3"/>
      </w:pPr>
      <w:r>
        <w:t xml:space="preserve">1.3 Technical Implementation</w:t>
      </w:r>
    </w:p>
    <w:bookmarkStart w:id="12" w:name="_bf20a040744feceae7214925dcfc96cdc3233d7"/>
    <w:p>
      <w:pPr>
        <w:pStyle w:val="Heading4"/>
      </w:pPr>
      <w:r>
        <w:t xml:space="preserve">1.3.1 Split Payment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Customer   │────▶│  Payment Gateway │────▶│  Split Engine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└──────────────────┘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┌─────────────────────────────────┼─────────────────────────────────┐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             ▼                                 ▼</w:t>
      </w:r>
      <w:r>
        <w:br/>
      </w:r>
      <w:r>
        <w:rPr>
          <w:rStyle w:val="VerbatimChar"/>
        </w:rPr>
        <w:t xml:space="preserve">            ┌───────────────┐               ┌───────────────┐               ┌───────────────┐</w:t>
      </w:r>
      <w:r>
        <w:br/>
      </w:r>
      <w:r>
        <w:rPr>
          <w:rStyle w:val="VerbatimChar"/>
        </w:rPr>
        <w:t xml:space="preserve">            │  Vendor A     │               │  Vendor B     │               │  Platform     │</w:t>
      </w:r>
      <w:r>
        <w:br/>
      </w:r>
      <w:r>
        <w:rPr>
          <w:rStyle w:val="VerbatimChar"/>
        </w:rPr>
        <w:t xml:space="preserve">            │  (70%)        │               │  (15%)        │               │  (15%)        │</w:t>
      </w:r>
      <w:r>
        <w:br/>
      </w:r>
      <w:r>
        <w:rPr>
          <w:rStyle w:val="VerbatimChar"/>
        </w:rPr>
        <w:t xml:space="preserve">            └───────────────┘               └───────────────┘               └───────────────┘</w:t>
      </w:r>
    </w:p>
    <w:bookmarkEnd w:id="12"/>
    <w:bookmarkStart w:id="13" w:name="_e75b3c0cbbaebb808ca2e6c7b1de10e53b86438"/>
    <w:p>
      <w:pPr>
        <w:pStyle w:val="Heading4"/>
      </w:pPr>
      <w:r>
        <w:t xml:space="preserve">1.3.2 Core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Split Configuration Service</w:t>
      </w:r>
    </w:p>
    <w:p>
      <w:pPr>
        <w:pStyle w:val="Compact"/>
        <w:numPr>
          <w:ilvl w:val="1"/>
          <w:numId w:val="1002"/>
        </w:numPr>
      </w:pPr>
      <w:r>
        <w:t xml:space="preserve">Dynamic rule engine for split percentages</w:t>
      </w:r>
    </w:p>
    <w:p>
      <w:pPr>
        <w:pStyle w:val="Compact"/>
        <w:numPr>
          <w:ilvl w:val="1"/>
          <w:numId w:val="1002"/>
        </w:numPr>
      </w:pPr>
      <w:r>
        <w:t xml:space="preserve">Tier-based commission structures</w:t>
      </w:r>
    </w:p>
    <w:p>
      <w:pPr>
        <w:pStyle w:val="Compact"/>
        <w:numPr>
          <w:ilvl w:val="1"/>
          <w:numId w:val="1002"/>
        </w:numPr>
      </w:pPr>
      <w:r>
        <w:t xml:space="preserve">Category-specific splits</w:t>
      </w:r>
    </w:p>
    <w:p>
      <w:pPr>
        <w:pStyle w:val="Compact"/>
        <w:numPr>
          <w:ilvl w:val="1"/>
          <w:numId w:val="1002"/>
        </w:numPr>
      </w:pPr>
      <w:r>
        <w:t xml:space="preserve">Promotional override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Settlement Engine</w:t>
      </w:r>
    </w:p>
    <w:p>
      <w:pPr>
        <w:pStyle w:val="Compact"/>
        <w:numPr>
          <w:ilvl w:val="1"/>
          <w:numId w:val="1003"/>
        </w:numPr>
      </w:pPr>
      <w:r>
        <w:t xml:space="preserve">Real-time vs. batch processing</w:t>
      </w:r>
    </w:p>
    <w:p>
      <w:pPr>
        <w:pStyle w:val="Compact"/>
        <w:numPr>
          <w:ilvl w:val="1"/>
          <w:numId w:val="1003"/>
        </w:numPr>
      </w:pPr>
      <w:r>
        <w:t xml:space="preserve">Escrow management for dispute periods</w:t>
      </w:r>
    </w:p>
    <w:p>
      <w:pPr>
        <w:pStyle w:val="Compact"/>
        <w:numPr>
          <w:ilvl w:val="1"/>
          <w:numId w:val="1003"/>
        </w:numPr>
      </w:pPr>
      <w:r>
        <w:t xml:space="preserve">Multi-currency support</w:t>
      </w:r>
    </w:p>
    <w:p>
      <w:pPr>
        <w:pStyle w:val="Compact"/>
        <w:numPr>
          <w:ilvl w:val="1"/>
          <w:numId w:val="1003"/>
        </w:numPr>
      </w:pPr>
      <w:r>
        <w:t xml:space="preserve">Automated reconciliation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Ledger &amp; Accounting Integration</w:t>
      </w:r>
    </w:p>
    <w:p>
      <w:pPr>
        <w:pStyle w:val="Compact"/>
        <w:numPr>
          <w:ilvl w:val="1"/>
          <w:numId w:val="1004"/>
        </w:numPr>
      </w:pPr>
      <w:r>
        <w:t xml:space="preserve">Double-entry bookkeeping</w:t>
      </w:r>
    </w:p>
    <w:p>
      <w:pPr>
        <w:pStyle w:val="Compact"/>
        <w:numPr>
          <w:ilvl w:val="1"/>
          <w:numId w:val="1004"/>
        </w:numPr>
      </w:pPr>
      <w:r>
        <w:t xml:space="preserve">Audit trail generation</w:t>
      </w:r>
    </w:p>
    <w:p>
      <w:pPr>
        <w:pStyle w:val="Compact"/>
        <w:numPr>
          <w:ilvl w:val="1"/>
          <w:numId w:val="1004"/>
        </w:numPr>
      </w:pPr>
      <w:r>
        <w:t xml:space="preserve">Tax liability tracking per party</w:t>
      </w:r>
    </w:p>
    <w:bookmarkEnd w:id="13"/>
    <w:bookmarkEnd w:id="14"/>
    <w:bookmarkStart w:id="18" w:name="_088e02872287929359548ff1374826af8e26179"/>
    <w:p>
      <w:pPr>
        <w:pStyle w:val="Heading3"/>
      </w:pPr>
      <w:r>
        <w:t xml:space="preserve">1.4 Split Calculation Models</w:t>
      </w:r>
    </w:p>
    <w:bookmarkStart w:id="15" w:name="_11c159aa5b3d447f188531c4e69c93b042b8ce1"/>
    <w:p>
      <w:pPr>
        <w:pStyle w:val="Heading4"/>
      </w:pPr>
      <w:r>
        <w:t xml:space="preserve">Model A: Fixed Percentage</w:t>
      </w:r>
    </w:p>
    <w:p>
      <w:pPr>
        <w:pStyle w:val="SourceCode"/>
      </w:pPr>
      <w:r>
        <w:rPr>
          <w:rStyle w:val="VerbatimChar"/>
        </w:rPr>
        <w:t xml:space="preserve">Vendor Share = Gross Amount × Vendor Percentage</w:t>
      </w:r>
      <w:r>
        <w:br/>
      </w:r>
      <w:r>
        <w:rPr>
          <w:rStyle w:val="VerbatimChar"/>
        </w:rPr>
        <w:t xml:space="preserve">Platform Fee = Gross Amount × Platform Percentage</w:t>
      </w:r>
    </w:p>
    <w:bookmarkEnd w:id="15"/>
    <w:bookmarkStart w:id="16" w:name="_34e41aeb1b062641696d056bc015553479cf154"/>
    <w:p>
      <w:pPr>
        <w:pStyle w:val="Heading4"/>
      </w:pPr>
      <w:r>
        <w:t xml:space="preserve">Model B: Tiered Commission</w:t>
      </w:r>
    </w:p>
    <w:p>
      <w:pPr>
        <w:pStyle w:val="SourceCode"/>
      </w:pPr>
      <w:r>
        <w:rPr>
          <w:rStyle w:val="VerbatimChar"/>
        </w:rPr>
        <w:t xml:space="preserve">IF Gross Amount &gt; $10,000: Platform Fee = 8%</w:t>
      </w:r>
      <w:r>
        <w:br/>
      </w:r>
      <w:r>
        <w:rPr>
          <w:rStyle w:val="VerbatimChar"/>
        </w:rPr>
        <w:t xml:space="preserve">ELSE IF Gross Amount &gt; $1,000: Platform Fee = 10%</w:t>
      </w:r>
      <w:r>
        <w:br/>
      </w:r>
      <w:r>
        <w:rPr>
          <w:rStyle w:val="VerbatimChar"/>
        </w:rPr>
        <w:t xml:space="preserve">ELSE: Platform Fee = 12%</w:t>
      </w:r>
    </w:p>
    <w:bookmarkEnd w:id="16"/>
    <w:bookmarkStart w:id="17" w:name="_98c978fbeeb3281a3f00398219d010c0fe789dd"/>
    <w:p>
      <w:pPr>
        <w:pStyle w:val="Heading4"/>
      </w:pPr>
      <w:r>
        <w:t xml:space="preserve">Model C: Hybrid (Fixed + Variable)</w:t>
      </w:r>
    </w:p>
    <w:p>
      <w:pPr>
        <w:pStyle w:val="SourceCode"/>
      </w:pPr>
      <w:r>
        <w:rPr>
          <w:rStyle w:val="VerbatimChar"/>
        </w:rPr>
        <w:t xml:space="preserve">Platform Fee = Fixed Fee + (Gross Amount × Variable %)</w:t>
      </w:r>
    </w:p>
    <w:bookmarkEnd w:id="17"/>
    <w:bookmarkEnd w:id="18"/>
    <w:bookmarkStart w:id="19" w:name="_018fefdeeee62fe736e5251d1c5d84c03f78134"/>
    <w:p>
      <w:pPr>
        <w:pStyle w:val="Heading3"/>
      </w:pPr>
      <w:r>
        <w:t xml:space="preserve">1.5 Compliance Considerations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PCI DSS</w:t>
      </w:r>
      <w:r>
        <w:t xml:space="preserve">: Secure handling of payment data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Anti-Money Laundering (AML)</w:t>
      </w:r>
      <w:r>
        <w:t xml:space="preserve">: Transaction monitoring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Know Your Customer (KYC)</w:t>
      </w:r>
      <w:r>
        <w:t xml:space="preserve">: Vendor verification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Escrow Regulations</w:t>
      </w:r>
      <w:r>
        <w:t xml:space="preserve">: Consumer protection laws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2" w:name="_6aff26bb809d8c3fdd08597031d40e7ae457d64"/>
    <w:p>
      <w:pPr>
        <w:pStyle w:val="Heading2"/>
      </w:pPr>
      <w:r>
        <w:t xml:space="preserve">2. eTIMS Integration</w:t>
      </w:r>
    </w:p>
    <w:bookmarkStart w:id="21" w:name="_7cbe01ba212e4b3a9102d682cfec14f10213fa2"/>
    <w:p>
      <w:pPr>
        <w:pStyle w:val="Heading3"/>
      </w:pPr>
      <w:r>
        <w:t xml:space="preserve">2.1 What is eTIMS?</w:t>
      </w:r>
    </w:p>
    <w:p>
      <w:pPr>
        <w:pStyle w:val="FirstParagraph"/>
      </w:pPr>
      <w:r>
        <w:t xml:space="preserve">The Electronic Tax Invoice Management System (eTIMS) is a government-mandated platform for real-time tax invoice validation and transmission to tax authorities. It ensures VAT compliance and reduces tax evasion.</w:t>
      </w:r>
    </w:p>
    <w:bookmarkEnd w:id="21"/>
    <w:bookmarkStart w:id="22" w:name="_dbd08983d7830e59b228a9936b9b0dfe9c6b6f9"/>
    <w:p>
      <w:pPr>
        <w:pStyle w:val="Heading3"/>
      </w:pPr>
      <w:r>
        <w:t xml:space="preserve">2.2 Integration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E-Commerce     │────▶│  eTIMS Middleware│────▶│  Tax Authority  │</w:t>
      </w:r>
      <w:r>
        <w:br/>
      </w:r>
      <w:r>
        <w:rPr>
          <w:rStyle w:val="VerbatimChar"/>
        </w:rPr>
        <w:t xml:space="preserve">│  Platform       │     │  (API Gateway)   │     │  (KRA/IRD) 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        │                        ▼</w:t>
      </w:r>
      <w:r>
        <w:br/>
      </w:r>
      <w:r>
        <w:rPr>
          <w:rStyle w:val="VerbatimChar"/>
        </w:rPr>
        <w:t xml:space="preserve">        │               ┌─────────────────┐</w:t>
      </w:r>
      <w:r>
        <w:br/>
      </w:r>
      <w:r>
        <w:rPr>
          <w:rStyle w:val="VerbatimChar"/>
        </w:rPr>
        <w:t xml:space="preserve">        │               │  Invoice Queue  │</w:t>
      </w:r>
      <w:r>
        <w:br/>
      </w:r>
      <w:r>
        <w:rPr>
          <w:rStyle w:val="VerbatimChar"/>
        </w:rPr>
        <w:t xml:space="preserve">        │               │  &amp; Retry Logic  │</w:t>
      </w:r>
      <w:r>
        <w:br/>
      </w:r>
      <w:r>
        <w:rPr>
          <w:rStyle w:val="VerbatimChar"/>
        </w:rPr>
        <w:t xml:space="preserve">        │               └─────────────────┘</w:t>
      </w:r>
      <w:r>
        <w:br/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        ▼                  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Local Cache/   │     │  Compliance     │</w:t>
      </w:r>
      <w:r>
        <w:br/>
      </w:r>
      <w:r>
        <w:rPr>
          <w:rStyle w:val="VerbatimChar"/>
        </w:rPr>
        <w:t xml:space="preserve">│  Backup Store   │     │  Dashboard 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</w:t>
      </w:r>
    </w:p>
    <w:bookmarkEnd w:id="22"/>
    <w:bookmarkStart w:id="25" w:name="_b91e52caafbbeb580f27d0896cbed027ace56be"/>
    <w:p>
      <w:pPr>
        <w:pStyle w:val="Heading3"/>
      </w:pPr>
      <w:r>
        <w:t xml:space="preserve">2.3 Key Integration Points</w:t>
      </w:r>
    </w:p>
    <w:bookmarkStart w:id="23" w:name="_bd0cba66723c8c896828583a5c8190f64ec2286"/>
    <w:p>
      <w:pPr>
        <w:pStyle w:val="Heading4"/>
      </w:pPr>
      <w:r>
        <w:t xml:space="preserve">2.3.1 Invoice Generation Flow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Order Completion</w:t>
      </w:r>
      <w:r>
        <w:t xml:space="preserve"> </w:t>
      </w:r>
      <w:r>
        <w:t xml:space="preserve">→ Trigger invoice creation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Validation</w:t>
      </w:r>
      <w:r>
        <w:t xml:space="preserve"> </w:t>
      </w:r>
      <w:r>
        <w:t xml:space="preserve">→ Verify mandatory fields (PIN, VAT reg, item codes)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eTIMS Submission</w:t>
      </w:r>
      <w:r>
        <w:t xml:space="preserve"> </w:t>
      </w:r>
      <w:r>
        <w:t xml:space="preserve">→ POST to tax authority endpoint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Acknowledgment</w:t>
      </w:r>
      <w:r>
        <w:t xml:space="preserve"> </w:t>
      </w:r>
      <w:r>
        <w:t xml:space="preserve">→ Receive QR code, IRN (Invoice Reference Number)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Customer Delivery</w:t>
      </w:r>
      <w:r>
        <w:t xml:space="preserve"> </w:t>
      </w:r>
      <w:r>
        <w:t xml:space="preserve">→ Embed QR/IRN on invoice PDF/email</w:t>
      </w:r>
    </w:p>
    <w:bookmarkEnd w:id="23"/>
    <w:bookmarkStart w:id="24" w:name="_d10e560701051b1be165cdae0cf94c8f0b8c567"/>
    <w:p>
      <w:pPr>
        <w:pStyle w:val="Heading4"/>
      </w:pPr>
      <w:r>
        <w:t xml:space="preserve">2.3.2 Mandatory Invoice Fields (Kenya KRA Example)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PIN</w:t>
            </w:r>
          </w:p>
        </w:tc>
        <w:tc>
          <w:tcPr/>
          <w:p>
            <w:pPr>
              <w:pStyle w:val="Compact"/>
            </w:pPr>
            <w:r>
              <w:t xml:space="preserve">Tax ID of seller</w:t>
            </w:r>
          </w:p>
        </w:tc>
        <w:tc>
          <w:tcPr/>
          <w:p>
            <w:pPr>
              <w:pStyle w:val="Compact"/>
            </w:pPr>
            <w:r>
              <w:t xml:space="preserve">Must match registered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PIN</w:t>
            </w:r>
          </w:p>
        </w:tc>
        <w:tc>
          <w:tcPr/>
          <w:p>
            <w:pPr>
              <w:pStyle w:val="Compact"/>
            </w:pPr>
            <w:r>
              <w:t xml:space="preserve">Tax ID of buyer</w:t>
            </w:r>
          </w:p>
        </w:tc>
        <w:tc>
          <w:tcPr/>
          <w:p>
            <w:pPr>
              <w:pStyle w:val="Compact"/>
            </w:pPr>
            <w:r>
              <w:t xml:space="preserve">Optional for B2C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Date</w:t>
            </w:r>
          </w:p>
        </w:tc>
        <w:tc>
          <w:tcPr/>
          <w:p>
            <w:pPr>
              <w:pStyle w:val="Compact"/>
            </w:pPr>
            <w:r>
              <w:t xml:space="preserve">Transaction timestamp</w:t>
            </w:r>
          </w:p>
        </w:tc>
        <w:tc>
          <w:tcPr/>
          <w:p>
            <w:pPr>
              <w:pStyle w:val="Compact"/>
            </w:pPr>
            <w:r>
              <w:t xml:space="preserve">Within 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Codes</w:t>
            </w:r>
          </w:p>
        </w:tc>
        <w:tc>
          <w:tcPr/>
          <w:p>
            <w:pPr>
              <w:pStyle w:val="Compact"/>
            </w:pPr>
            <w:r>
              <w:t xml:space="preserve">HSN/SAC codes</w:t>
            </w:r>
          </w:p>
        </w:tc>
        <w:tc>
          <w:tcPr/>
          <w:p>
            <w:pPr>
              <w:pStyle w:val="Compact"/>
            </w:pPr>
            <w:r>
              <w:t xml:space="preserve">Pre-approved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Rate</w:t>
            </w:r>
          </w:p>
        </w:tc>
        <w:tc>
          <w:tcPr/>
          <w:p>
            <w:pPr>
              <w:pStyle w:val="Compact"/>
            </w:pPr>
            <w:r>
              <w:t xml:space="preserve">Applicable rate</w:t>
            </w:r>
          </w:p>
        </w:tc>
        <w:tc>
          <w:tcPr/>
          <w:p>
            <w:pPr>
              <w:pStyle w:val="Compact"/>
            </w:pPr>
            <w:r>
              <w:t xml:space="preserve">16% standard, 0% exempt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</w:t>
            </w:r>
          </w:p>
        </w:tc>
        <w:tc>
          <w:tcPr/>
          <w:p>
            <w:pPr>
              <w:pStyle w:val="Compact"/>
            </w:pPr>
            <w:r>
              <w:t xml:space="preserve">eTIMS generated</w:t>
            </w:r>
          </w:p>
        </w:tc>
        <w:tc>
          <w:tcPr/>
          <w:p>
            <w:pPr>
              <w:pStyle w:val="Compact"/>
            </w:pPr>
            <w:r>
              <w:t xml:space="preserve">Embedded on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IRN</w:t>
            </w:r>
          </w:p>
        </w:tc>
        <w:tc>
          <w:tcPr/>
          <w:p>
            <w:pPr>
              <w:pStyle w:val="Compact"/>
            </w:pPr>
            <w:r>
              <w:t xml:space="preserve">Unique invoice reference</w:t>
            </w:r>
          </w:p>
        </w:tc>
        <w:tc>
          <w:tcPr/>
          <w:p>
            <w:pPr>
              <w:pStyle w:val="Compact"/>
            </w:pPr>
            <w:r>
              <w:t xml:space="preserve">Returned by eTIMS</w:t>
            </w:r>
          </w:p>
        </w:tc>
      </w:tr>
    </w:tbl>
    <w:bookmarkEnd w:id="24"/>
    <w:bookmarkEnd w:id="25"/>
    <w:bookmarkStart w:id="28" w:name="_fc57c1c6856f91faa6f444803455d80b724ab68"/>
    <w:p>
      <w:pPr>
        <w:pStyle w:val="Heading3"/>
      </w:pPr>
      <w:r>
        <w:t xml:space="preserve">2.4 Technical Implementation</w:t>
      </w:r>
    </w:p>
    <w:bookmarkStart w:id="26" w:name="_96f4c18514aa93592f341362077b425beaf6597"/>
    <w:p>
      <w:pPr>
        <w:pStyle w:val="Heading4"/>
      </w:pPr>
      <w:r>
        <w:t xml:space="preserve">2.4.1 API Integration Pattern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ETIMSClient: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cert_path: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._create_mtls_session(cert_path)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submit_invoice(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invoice: Invoice)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ETIMSResponse: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._transform_to_etims_format(invoice)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/invoices"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._handle_response(response)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_transform_to_etims_format(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invoice: Invoice)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"sellerPin"</w:t>
      </w:r>
      <w:r>
        <w:rPr>
          <w:rStyle w:val="NormalTok"/>
        </w:rPr>
        <w:t xml:space="preserve">: invoice.seller_tax_id,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"buyerPin"</w:t>
      </w:r>
      <w:r>
        <w:rPr>
          <w:rStyle w:val="NormalTok"/>
        </w:rPr>
        <w:t xml:space="preserve">: invoice.buyer_tax_id,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"invoiceDate"</w:t>
      </w:r>
      <w:r>
        <w:rPr>
          <w:rStyle w:val="NormalTok"/>
        </w:rPr>
        <w:t xml:space="preserve">: invoice.date.isoformat(),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"itemCode"</w:t>
      </w:r>
      <w:r>
        <w:rPr>
          <w:rStyle w:val="NormalTok"/>
        </w:rPr>
        <w:t xml:space="preserve">: item.hsn_code,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item.name,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item.qty,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"unitPrice"</w:t>
      </w:r>
      <w:r>
        <w:rPr>
          <w:rStyle w:val="NormalTok"/>
        </w:rPr>
        <w:t xml:space="preserve">: item.unit_price,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"vatRate"</w:t>
      </w:r>
      <w:r>
        <w:rPr>
          <w:rStyle w:val="NormalTok"/>
        </w:rPr>
        <w:t xml:space="preserve">: item.vat_rate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invoice.items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</w:p>
    <w:bookmarkEnd w:id="26"/>
    <w:bookmarkStart w:id="27" w:name="_1d49066d3d7cca2f1926b30a1c6c81a28697d58"/>
    <w:p>
      <w:pPr>
        <w:pStyle w:val="Heading4"/>
      </w:pPr>
      <w:r>
        <w:t xml:space="preserve">2.4.2 Error Handling &amp; Retry Strategy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ETIMSRetryPolicy:</w:t>
      </w:r>
      <w:r>
        <w:br/>
      </w:r>
      <w:r>
        <w:rPr>
          <w:rStyle w:val="NormalTok"/>
        </w:rPr>
        <w:t xml:space="preserve">    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BACKOFF_FACTOR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Exponential backoff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RETRIABLE_ERRORS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"SERVICE_UNAVAILABLE"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"RATE_LIMITED"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"INTERNAL_SERVER_ERROR"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NON_RETRIABLE_ERRORS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"INVALID_PIN"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"INVALID_ITEM_CODE"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"DUPLICATE_INVOICE"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"UNAUTHORIZED"</w:t>
      </w:r>
      <w:r>
        <w:br/>
      </w:r>
      <w:r>
        <w:rPr>
          <w:rStyle w:val="NormalTok"/>
        </w:rPr>
        <w:t xml:space="preserve">    ]</w:t>
      </w:r>
    </w:p>
    <w:bookmarkEnd w:id="27"/>
    <w:bookmarkEnd w:id="28"/>
    <w:bookmarkStart w:id="31" w:name="_71245d7759c9fce64ebcfb6e90dc4eb66e19643"/>
    <w:p>
      <w:pPr>
        <w:pStyle w:val="Heading3"/>
      </w:pPr>
      <w:r>
        <w:t xml:space="preserve">2.5 Compliance Workflows</w:t>
      </w:r>
    </w:p>
    <w:bookmarkStart w:id="29" w:name="_ef226728728d5987bbb67604fe83be60eccbc77"/>
    <w:p>
      <w:pPr>
        <w:pStyle w:val="Heading4"/>
      </w:pPr>
      <w:r>
        <w:t xml:space="preserve">2.5.1 Real-Time vs. Batch Processing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&lt; 2 sec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High-volume B2C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 Real-Time</w:t>
            </w:r>
          </w:p>
        </w:tc>
        <w:tc>
          <w:tcPr/>
          <w:p>
            <w:pPr>
              <w:pStyle w:val="Compact"/>
            </w:pPr>
            <w:r>
              <w:t xml:space="preserve">&lt; 5 min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Standard retail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(EOD)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Low-volume B2B</w:t>
            </w:r>
          </w:p>
        </w:tc>
      </w:tr>
    </w:tbl>
    <w:bookmarkEnd w:id="29"/>
    <w:bookmarkStart w:id="30" w:name="_af09e8b92cd1e6316725cf120a960eb77a74470"/>
    <w:p>
      <w:pPr>
        <w:pStyle w:val="Heading4"/>
      </w:pPr>
      <w:r>
        <w:t xml:space="preserve">2.5.2 Offline Resilience</w:t>
      </w:r>
    </w:p>
    <w:p>
      <w:pPr>
        <w:pStyle w:val="Compact"/>
        <w:numPr>
          <w:ilvl w:val="0"/>
          <w:numId w:val="1007"/>
        </w:numPr>
      </w:pPr>
      <w:r>
        <w:t xml:space="preserve">Local invoice queuing during outages</w:t>
      </w:r>
    </w:p>
    <w:p>
      <w:pPr>
        <w:pStyle w:val="Compact"/>
        <w:numPr>
          <w:ilvl w:val="0"/>
          <w:numId w:val="1007"/>
        </w:numPr>
      </w:pPr>
      <w:r>
        <w:t xml:space="preserve">Automatic replay on connectivity restoration</w:t>
      </w:r>
    </w:p>
    <w:p>
      <w:pPr>
        <w:pStyle w:val="Compact"/>
        <w:numPr>
          <w:ilvl w:val="0"/>
          <w:numId w:val="1007"/>
        </w:numPr>
      </w:pPr>
      <w:r>
        <w:t xml:space="preserve">Conflict resolution for duplicate submissions</w:t>
      </w:r>
    </w:p>
    <w:p>
      <w:pPr>
        <w:pStyle w:val="Compact"/>
        <w:numPr>
          <w:ilvl w:val="0"/>
          <w:numId w:val="1007"/>
        </w:numPr>
      </w:pPr>
      <w:r>
        <w:t xml:space="preserve">Manual override for emergency invoicing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_7cdc70d1400ff55658884cae8a946a588532544"/>
    <w:p>
      <w:pPr>
        <w:pStyle w:val="Heading2"/>
      </w:pPr>
      <w:r>
        <w:t xml:space="preserve">3. Combined Architecture: Funds Splitting + eTIMS</w:t>
      </w:r>
    </w:p>
    <w:bookmarkStart w:id="33" w:name="_51976aa4262c7713b1da2dc6b86fd68724d1310"/>
    <w:p>
      <w:pPr>
        <w:pStyle w:val="Heading3"/>
      </w:pPr>
      <w:r>
        <w:t xml:space="preserve">3.1 Integrated Transaction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Order      │</w:t>
      </w:r>
      <w:r>
        <w:br/>
      </w:r>
      <w:r>
        <w:rPr>
          <w:rStyle w:val="VerbatimChar"/>
        </w:rPr>
        <w:t xml:space="preserve">│  Placed 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│  Payment     │────▶│  Funds Split     │</w:t>
      </w:r>
      <w:r>
        <w:br/>
      </w:r>
      <w:r>
        <w:rPr>
          <w:rStyle w:val="VerbatimChar"/>
        </w:rPr>
        <w:t xml:space="preserve">│  Authorized  │     │  Calculation     │</w:t>
      </w:r>
      <w:r>
        <w:br/>
      </w:r>
      <w:r>
        <w:rPr>
          <w:rStyle w:val="VerbatimChar"/>
        </w:rPr>
        <w:t xml:space="preserve">└──────────────┘     └────────┬─────────┘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Escrow/Hold     │</w:t>
      </w:r>
      <w:r>
        <w:br/>
      </w:r>
      <w:r>
        <w:rPr>
          <w:rStyle w:val="VerbatimChar"/>
        </w:rPr>
        <w:t xml:space="preserve">                    │  (Dispute Period)│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eTIMS Invoice   │</w:t>
      </w:r>
      <w:r>
        <w:br/>
      </w:r>
      <w:r>
        <w:rPr>
          <w:rStyle w:val="VerbatimChar"/>
        </w:rPr>
        <w:t xml:space="preserve">                    │  Generation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Tax Authority   │</w:t>
      </w:r>
      <w:r>
        <w:br/>
      </w:r>
      <w:r>
        <w:rPr>
          <w:rStyle w:val="VerbatimChar"/>
        </w:rPr>
        <w:t xml:space="preserve">                    │  Acknowledgment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▼                             ▼</w:t>
      </w:r>
      <w:r>
        <w:br/>
      </w:r>
      <w:r>
        <w:rPr>
          <w:rStyle w:val="VerbatimChar"/>
        </w:rPr>
        <w:t xml:space="preserve">     ┌─────────────────┐           ┌─────────────────┐</w:t>
      </w:r>
      <w:r>
        <w:br/>
      </w:r>
      <w:r>
        <w:rPr>
          <w:rStyle w:val="VerbatimChar"/>
        </w:rPr>
        <w:t xml:space="preserve">     │  Vendor         │           │  Platform       │</w:t>
      </w:r>
      <w:r>
        <w:br/>
      </w:r>
      <w:r>
        <w:rPr>
          <w:rStyle w:val="VerbatimChar"/>
        </w:rPr>
        <w:t xml:space="preserve">     │  Settlement     │           │  Revenue        │</w:t>
      </w:r>
      <w:r>
        <w:br/>
      </w:r>
      <w:r>
        <w:rPr>
          <w:rStyle w:val="VerbatimChar"/>
        </w:rPr>
        <w:t xml:space="preserve">     │  (Net of Tax)   │           │  Recognition    │</w:t>
      </w:r>
      <w:r>
        <w:br/>
      </w:r>
      <w:r>
        <w:rPr>
          <w:rStyle w:val="VerbatimChar"/>
        </w:rPr>
        <w:t xml:space="preserve">     └─────────────────┘           └─────────────────┘</w:t>
      </w:r>
    </w:p>
    <w:bookmarkEnd w:id="33"/>
    <w:bookmarkStart w:id="34" w:name="_d91210f9015f36e93af654660d7d5d93309e6dd"/>
    <w:p>
      <w:pPr>
        <w:pStyle w:val="Heading3"/>
      </w:pPr>
      <w:r>
        <w:t xml:space="preserve">3.2 Tax-Aware Split Calculations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calculate_splits_with_tax(order: Order, split_config: SplitConfig)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SplitResult:</w:t>
      </w:r>
      <w:r>
        <w:br/>
      </w:r>
      <w:r>
        <w:rPr>
          <w:rStyle w:val="NormalTok"/>
        </w:rPr>
        <w:t xml:space="preserve">    gross_amount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order.total_amount</w:t>
      </w:r>
      <w:r>
        <w:br/>
      </w:r>
      <w:r>
        <w:rPr>
          <w:rStyle w:val="NormalTok"/>
        </w:rPr>
        <w:t xml:space="preserve">    vat_amount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calculate_vat(order.items)</w:t>
      </w:r>
      <w:r>
        <w:br/>
      </w:r>
      <w:r>
        <w:rPr>
          <w:rStyle w:val="NormalTok"/>
        </w:rPr>
        <w:t xml:space="preserve">    net_amount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gross_amount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vat_amount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Platform fee on net amount (configurable)</w:t>
      </w:r>
      <w:r>
        <w:br/>
      </w:r>
      <w:r>
        <w:rPr>
          <w:rStyle w:val="NormalTok"/>
        </w:rPr>
        <w:t xml:space="preserve">    platform_fee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net_amount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split_config.platform_percentage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Vendor receives net after platform fee</w:t>
      </w:r>
      <w:r>
        <w:br/>
      </w:r>
      <w:r>
        <w:rPr>
          <w:rStyle w:val="NormalTok"/>
        </w:rPr>
        <w:t xml:space="preserve">    vendor_share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net_amount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platform_fee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VAT remittance obligation</w:t>
      </w:r>
      <w:r>
        <w:br/>
      </w:r>
      <w:r>
        <w:rPr>
          <w:rStyle w:val="NormalTok"/>
        </w:rPr>
        <w:t xml:space="preserve">    vat_liability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platform_fee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VAT_RATE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split_config.tax_on_fees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: vendor_share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VAT_RATE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SplitResult(</w:t>
      </w:r>
      <w:r>
        <w:br/>
      </w:r>
      <w:r>
        <w:rPr>
          <w:rStyle w:val="NormalTok"/>
        </w:rPr>
        <w:t xml:space="preserve">        vendor_net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vendor_share,</w:t>
      </w:r>
      <w:r>
        <w:br/>
      </w:r>
      <w:r>
        <w:rPr>
          <w:rStyle w:val="NormalTok"/>
        </w:rPr>
        <w:t xml:space="preserve">        platform_fee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platform_fee,</w:t>
      </w:r>
      <w:r>
        <w:br/>
      </w:r>
      <w:r>
        <w:rPr>
          <w:rStyle w:val="NormalTok"/>
        </w:rPr>
        <w:t xml:space="preserve">        vat_collected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vat_amount,</w:t>
      </w:r>
      <w:r>
        <w:br/>
      </w:r>
      <w:r>
        <w:rPr>
          <w:rStyle w:val="NormalTok"/>
        </w:rPr>
        <w:t xml:space="preserve">        vat_liability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vat_liability,</w:t>
      </w:r>
      <w:r>
        <w:br/>
      </w:r>
      <w:r>
        <w:rPr>
          <w:rStyle w:val="NormalTok"/>
        </w:rPr>
        <w:t xml:space="preserve">        irn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generate_irn()  </w:t>
      </w:r>
      <w:r>
        <w:rPr>
          <w:rStyle w:val="CommentTok"/>
        </w:rPr>
        <w:t xml:space="preserve"># After eTIMS submission</w:t>
      </w:r>
      <w:r>
        <w:br/>
      </w:r>
      <w:r>
        <w:rPr>
          <w:rStyle w:val="NormalTok"/>
        </w:rPr>
        <w:t xml:space="preserve">    )</w:t>
      </w:r>
    </w:p>
    <w:bookmarkEnd w:id="34"/>
    <w:bookmarkStart w:id="35" w:name="_0782b47e4bd7151fb897d57663ce9873f06d25b"/>
    <w:p>
      <w:pPr>
        <w:pStyle w:val="Heading3"/>
      </w:pPr>
      <w:r>
        <w:t xml:space="preserve">3.3 Reconciliation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Reconciliation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Key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↔ Settlement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Amount match, timing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↔ eTIMS</w:t>
            </w:r>
          </w:p>
        </w:tc>
        <w:tc>
          <w:tcPr/>
          <w:p>
            <w:pPr>
              <w:pStyle w:val="Compact"/>
            </w:pPr>
            <w:r>
              <w:t xml:space="preserve">Per invoice</w:t>
            </w:r>
          </w:p>
        </w:tc>
        <w:tc>
          <w:tcPr/>
          <w:p>
            <w:pPr>
              <w:pStyle w:val="Compact"/>
            </w:pPr>
            <w:r>
              <w:t xml:space="preserve">IRN match, VAT amounts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Payouts</w:t>
            </w:r>
          </w:p>
        </w:tc>
        <w:tc>
          <w:tcPr/>
          <w:p>
            <w:pPr>
              <w:pStyle w:val="Compact"/>
            </w:pPr>
            <w:r>
              <w:t xml:space="preserve">Weekly/Monthly</w:t>
            </w:r>
          </w:p>
        </w:tc>
        <w:tc>
          <w:tcPr/>
          <w:p>
            <w:pPr>
              <w:pStyle w:val="Compact"/>
            </w:pPr>
            <w:r>
              <w:t xml:space="preserve">Net payable, tax withheld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Filing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Total VAT, input credits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_dfdb9b4c30a67534f8a3e20540442ad8f6fc044"/>
    <w:p>
      <w:pPr>
        <w:pStyle w:val="Heading2"/>
      </w:pPr>
      <w:r>
        <w:t xml:space="preserve">4. Implementation Best Practices</w:t>
      </w:r>
    </w:p>
    <w:bookmarkStart w:id="37" w:name="_security"/>
    <w:p>
      <w:pPr>
        <w:pStyle w:val="Heading3"/>
      </w:pPr>
      <w:r>
        <w:t xml:space="preserve">4.1 Security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mTLS</w:t>
      </w:r>
      <w:r>
        <w:t xml:space="preserve"> </w:t>
      </w:r>
      <w:r>
        <w:t xml:space="preserve">for all eTIMS communications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Encryption at rest</w:t>
      </w:r>
      <w:r>
        <w:t xml:space="preserve"> </w:t>
      </w:r>
      <w:r>
        <w:t xml:space="preserve">for tax credentials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 rotation</w:t>
      </w:r>
      <w:r>
        <w:t xml:space="preserve"> </w:t>
      </w:r>
      <w:r>
        <w:t xml:space="preserve">for API keys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logging</w:t>
      </w:r>
      <w:r>
        <w:t xml:space="preserve"> </w:t>
      </w:r>
      <w:r>
        <w:t xml:space="preserve">for all financial operations</w:t>
      </w:r>
    </w:p>
    <w:bookmarkEnd w:id="37"/>
    <w:bookmarkStart w:id="38" w:name="_f9593d408fe9b987b06ac291ac39223233003f3"/>
    <w:p>
      <w:pPr>
        <w:pStyle w:val="Heading3"/>
      </w:pPr>
      <w:r>
        <w:t xml:space="preserve">4.2 Monitoring &amp; Alerting</w:t>
      </w:r>
    </w:p>
    <w:p>
      <w:pPr>
        <w:pStyle w:val="SourceCode"/>
      </w:pPr>
      <w:r>
        <w:rPr>
          <w:rStyle w:val="FunctionTok"/>
        </w:rPr>
        <w:t xml:space="preserve">alerts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"etims_submission_failure_rate"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"failure_rate &gt; 5% over 15min"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"pagerduty"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"slack"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"split_calculation_discrepancy"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"sum(splits) != order_total"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"pagerduty"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"vendor_payout_delay"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"payout_age &gt; 48_hours"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"slack"</w:t>
      </w:r>
      <w:r>
        <w:rPr>
          <w:rStyle w:val="KeywordTok"/>
        </w:rPr>
        <w:t xml:space="preserve">]</w:t>
      </w:r>
    </w:p>
    <w:bookmarkEnd w:id="38"/>
    <w:bookmarkStart w:id="39" w:name="_98dec25c4247a1342730a511f1a23d840af86b7"/>
    <w:p>
      <w:pPr>
        <w:pStyle w:val="Heading3"/>
      </w:pPr>
      <w:r>
        <w:t xml:space="preserve">4.3 Testing Strategy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Unit Tests</w:t>
      </w:r>
      <w:r>
        <w:t xml:space="preserve">: Split logic, tax calculations, payload transformation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Integration Tests</w:t>
      </w:r>
      <w:r>
        <w:t xml:space="preserve">: eTIMS sandbox, payment gateway sandbox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Contract Tests</w:t>
      </w:r>
      <w:r>
        <w:t xml:space="preserve">: API schema validation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Load Tests</w:t>
      </w:r>
      <w:r>
        <w:t xml:space="preserve">: 10x expected peak throughput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Chaos Tests</w:t>
      </w:r>
      <w:r>
        <w:t xml:space="preserve">: Network partitions, eTIMS downtime simulation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_4b5340187bf05f9a1f51badfa18cc5f9f979599"/>
    <w:p>
      <w:pPr>
        <w:pStyle w:val="Heading2"/>
      </w:pPr>
      <w:r>
        <w:t xml:space="preserve">5. Regulatory Compliance Checklist</w:t>
      </w:r>
    </w:p>
    <w:bookmarkStart w:id="41" w:name="_ba44cc60996652738d52d4fbb4d86e0ddc75bba"/>
    <w:p>
      <w:pPr>
        <w:pStyle w:val="Heading3"/>
      </w:pPr>
      <w:r>
        <w:t xml:space="preserve">5.1 Funds Splitting</w:t>
      </w:r>
    </w:p>
    <w:p>
      <w:pPr>
        <w:pStyle w:val="Compact"/>
        <w:numPr>
          <w:ilvl w:val="0"/>
          <w:numId w:val="1010"/>
        </w:numPr>
      </w:pPr>
      <w:r>
        <w:t xml:space="preserve">Payment processor licensing</w:t>
      </w:r>
    </w:p>
    <w:p>
      <w:pPr>
        <w:pStyle w:val="Compact"/>
        <w:numPr>
          <w:ilvl w:val="0"/>
          <w:numId w:val="1011"/>
        </w:numPr>
      </w:pPr>
      <w:r>
        <w:t xml:space="preserve">Escrow account setup</w:t>
      </w:r>
    </w:p>
    <w:p>
      <w:pPr>
        <w:pStyle w:val="Compact"/>
        <w:numPr>
          <w:ilvl w:val="0"/>
          <w:numId w:val="1012"/>
        </w:numPr>
      </w:pPr>
      <w:r>
        <w:t xml:space="preserve">AML transaction monitoring</w:t>
      </w:r>
    </w:p>
    <w:p>
      <w:pPr>
        <w:pStyle w:val="Compact"/>
        <w:numPr>
          <w:ilvl w:val="0"/>
          <w:numId w:val="1013"/>
        </w:numPr>
      </w:pPr>
      <w:r>
        <w:t xml:space="preserve">KYC vendor onboarding</w:t>
      </w:r>
    </w:p>
    <w:p>
      <w:pPr>
        <w:pStyle w:val="Compact"/>
        <w:numPr>
          <w:ilvl w:val="0"/>
          <w:numId w:val="1014"/>
        </w:numPr>
      </w:pPr>
      <w:r>
        <w:t xml:space="preserve">Consumer refund policies</w:t>
      </w:r>
    </w:p>
    <w:p>
      <w:pPr>
        <w:pStyle w:val="Compact"/>
        <w:numPr>
          <w:ilvl w:val="0"/>
          <w:numId w:val="1015"/>
        </w:numPr>
      </w:pPr>
      <w:r>
        <w:t xml:space="preserve">Cross-border transfer compliance</w:t>
      </w:r>
    </w:p>
    <w:bookmarkEnd w:id="41"/>
    <w:bookmarkStart w:id="42" w:name="_5b4431593a4e5e5b24fc8ef1051fd0a58a1d4c4"/>
    <w:p>
      <w:pPr>
        <w:pStyle w:val="Heading3"/>
      </w:pPr>
      <w:r>
        <w:t xml:space="preserve">5.2 eTIMS Integration</w:t>
      </w:r>
    </w:p>
    <w:p>
      <w:pPr>
        <w:pStyle w:val="Compact"/>
        <w:numPr>
          <w:ilvl w:val="0"/>
          <w:numId w:val="1016"/>
        </w:numPr>
      </w:pPr>
      <w:r>
        <w:t xml:space="preserve">Tax authority registration</w:t>
      </w:r>
    </w:p>
    <w:p>
      <w:pPr>
        <w:pStyle w:val="Compact"/>
        <w:numPr>
          <w:ilvl w:val="0"/>
          <w:numId w:val="1017"/>
        </w:numPr>
      </w:pPr>
      <w:r>
        <w:t xml:space="preserve">Digital certificate procurement</w:t>
      </w:r>
    </w:p>
    <w:p>
      <w:pPr>
        <w:pStyle w:val="Compact"/>
        <w:numPr>
          <w:ilvl w:val="0"/>
          <w:numId w:val="1018"/>
        </w:numPr>
      </w:pPr>
      <w:r>
        <w:t xml:space="preserve">HSN/SAC code mapping</w:t>
      </w:r>
    </w:p>
    <w:p>
      <w:pPr>
        <w:pStyle w:val="Compact"/>
        <w:numPr>
          <w:ilvl w:val="0"/>
          <w:numId w:val="1019"/>
        </w:numPr>
      </w:pPr>
      <w:r>
        <w:t xml:space="preserve">Invoice format compliance</w:t>
      </w:r>
    </w:p>
    <w:p>
      <w:pPr>
        <w:pStyle w:val="Compact"/>
        <w:numPr>
          <w:ilvl w:val="0"/>
          <w:numId w:val="1020"/>
        </w:numPr>
      </w:pPr>
      <w:r>
        <w:t xml:space="preserve">QR code generation/embedding</w:t>
      </w:r>
    </w:p>
    <w:p>
      <w:pPr>
        <w:pStyle w:val="Compact"/>
        <w:numPr>
          <w:ilvl w:val="0"/>
          <w:numId w:val="1021"/>
        </w:numPr>
      </w:pPr>
      <w:r>
        <w:t xml:space="preserve">Archive retention (min 5 years)</w:t>
      </w:r>
    </w:p>
    <w:p>
      <w:pPr>
        <w:pStyle w:val="Compact"/>
        <w:numPr>
          <w:ilvl w:val="0"/>
          <w:numId w:val="1022"/>
        </w:numPr>
      </w:pPr>
      <w:r>
        <w:t xml:space="preserve">Penalty avoidance procedures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_a403eff5447ca5553d747439ea029d152eeca65"/>
    <w:p>
      <w:pPr>
        <w:pStyle w:val="Heading2"/>
      </w:pPr>
      <w:r>
        <w:t xml:space="preserve">6. Future Considerations</w:t>
      </w:r>
    </w:p>
    <w:bookmarkStart w:id="44" w:name="_5e67a78747ab93bb9850bd769d57a507e6c9279"/>
    <w:p>
      <w:pPr>
        <w:pStyle w:val="Heading3"/>
      </w:pPr>
      <w:r>
        <w:t xml:space="preserve">6.1 Emerging Trends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Real-time gross settlement (RTGS)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Blockchain-based</w:t>
      </w:r>
      <w:r>
        <w:t xml:space="preserve"> </w:t>
      </w:r>
      <w:r>
        <w:t xml:space="preserve">audit trails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AI-powered</w:t>
      </w:r>
      <w:r>
        <w:t xml:space="preserve"> </w:t>
      </w:r>
      <w:r>
        <w:t xml:space="preserve">tax classification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Cross-border eTIMS</w:t>
      </w:r>
      <w:r>
        <w:t xml:space="preserve"> </w:t>
      </w:r>
      <w:r>
        <w:t xml:space="preserve">interoperability</w:t>
      </w:r>
    </w:p>
    <w:bookmarkEnd w:id="44"/>
    <w:bookmarkStart w:id="45" w:name="_1ae0372aea2a5f7c1c2886e7b6bbfc115645b50"/>
    <w:p>
      <w:pPr>
        <w:pStyle w:val="Heading3"/>
      </w:pPr>
      <w:r>
        <w:t xml:space="preserve">6.2 Scalability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1K orders/day</w:t>
            </w:r>
          </w:p>
        </w:tc>
        <w:tc>
          <w:tcPr/>
          <w:p>
            <w:pPr>
              <w:pStyle w:val="Compact"/>
            </w:pPr>
            <w:r>
              <w:t xml:space="preserve">Monolithic, sync eTIMS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10K orders/day</w:t>
            </w:r>
          </w:p>
        </w:tc>
        <w:tc>
          <w:tcPr/>
          <w:p>
            <w:pPr>
              <w:pStyle w:val="Compact"/>
            </w:pPr>
            <w:r>
              <w:t xml:space="preserve">Microservices, async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100K+ orders/day</w:t>
            </w:r>
          </w:p>
        </w:tc>
        <w:tc>
          <w:tcPr/>
          <w:p>
            <w:pPr>
              <w:pStyle w:val="Compact"/>
            </w:pPr>
            <w:r>
              <w:t xml:space="preserve">Event-driven, multi-region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_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Successful implementation of funds splitting and eTIMS integration requires: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Robust Architecture</w:t>
      </w:r>
      <w:r>
        <w:t xml:space="preserve">: Decoupled services with clear boundaries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Regulatory Expertise</w:t>
      </w:r>
      <w:r>
        <w:t xml:space="preserve">: Deep understanding of tax laws and payment regulations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Operational Excellence</w:t>
      </w:r>
      <w:r>
        <w:t xml:space="preserve">: Monitoring, alerting, and incident response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Vendor Experience</w:t>
      </w:r>
      <w:r>
        <w:t xml:space="preserve">: Transparent settlements, timely payouts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Continuous Compliance</w:t>
      </w:r>
      <w:r>
        <w:t xml:space="preserve">: Automated validation, audit readiness</w:t>
      </w:r>
    </w:p>
    <w:p>
      <w:pPr>
        <w:pStyle w:val="FirstParagraph"/>
      </w:pPr>
      <w:r>
        <w:t xml:space="preserve">Organizations that invest in proper architecture and compliance infrastructure will avoid costly penalties, reduce operational overhead, and build trust with vendors and tax authorities alike.</w:t>
      </w:r>
    </w:p>
    <w:p>
      <w:r>
        <w:pict>
          <v:rect style="width:0;height:1.5pt" o:hralign="center" o:hrstd="t" o:hr="t"/>
        </w:pict>
      </w:r>
    </w:p>
    <w:bookmarkEnd w:id="47"/>
    <w:bookmarkStart w:id="48" w:name="_f36d5b98e418465c8f6d9bf9c4ea392c24bbd04"/>
    <w:p>
      <w:pPr>
        <w:pStyle w:val="Heading2"/>
      </w:pPr>
      <w:r>
        <w:t xml:space="preserve">Appendix A: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eTIMS</w:t>
            </w:r>
          </w:p>
        </w:tc>
        <w:tc>
          <w:tcPr/>
          <w:p>
            <w:pPr>
              <w:pStyle w:val="Compact"/>
            </w:pPr>
            <w:r>
              <w:t xml:space="preserve">Electronic Tax Invoice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IRN</w:t>
            </w:r>
          </w:p>
        </w:tc>
        <w:tc>
          <w:tcPr/>
          <w:p>
            <w:pPr>
              <w:pStyle w:val="Compact"/>
            </w:pPr>
            <w:r>
              <w:t xml:space="preserve">Invoice Reference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Personal Identification Number (Tax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HSN</w:t>
            </w:r>
          </w:p>
        </w:tc>
        <w:tc>
          <w:tcPr/>
          <w:p>
            <w:pPr>
              <w:pStyle w:val="Compact"/>
            </w:pPr>
            <w:r>
              <w:t xml:space="preserve">Harmonized System Nomenclature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Services Accounting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</w:t>
            </w:r>
          </w:p>
        </w:tc>
        <w:tc>
          <w:tcPr/>
          <w:p>
            <w:pPr>
              <w:pStyle w:val="Compact"/>
            </w:pPr>
            <w:r>
              <w:t xml:space="preserve">Value Added 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mTLS</w:t>
            </w:r>
          </w:p>
        </w:tc>
        <w:tc>
          <w:tcPr/>
          <w:p>
            <w:pPr>
              <w:pStyle w:val="Compact"/>
            </w:pPr>
            <w:r>
              <w:t xml:space="preserve">Mutual Transport Layer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EOD</w:t>
            </w:r>
          </w:p>
        </w:tc>
        <w:tc>
          <w:tcPr/>
          <w:p>
            <w:pPr>
              <w:pStyle w:val="Compact"/>
            </w:pPr>
            <w:r>
              <w:t xml:space="preserve">End of Day</w:t>
            </w:r>
          </w:p>
        </w:tc>
      </w:tr>
    </w:tbl>
    <w:bookmarkEnd w:id="48"/>
    <w:bookmarkStart w:id="49" w:name="_8c8f603ca0a75ed6c04fb1f8edc2016873fc691"/>
    <w:p>
      <w:pPr>
        <w:pStyle w:val="Heading2"/>
      </w:pPr>
      <w:r>
        <w:t xml:space="preserve">Appendix B: References</w:t>
      </w:r>
    </w:p>
    <w:p>
      <w:pPr>
        <w:pStyle w:val="Compact"/>
        <w:numPr>
          <w:ilvl w:val="0"/>
          <w:numId w:val="1025"/>
        </w:numPr>
      </w:pPr>
      <w:r>
        <w:t xml:space="preserve">Kenya Revenue Authority eTIMS Specifications</w:t>
      </w:r>
    </w:p>
    <w:p>
      <w:pPr>
        <w:pStyle w:val="Compact"/>
        <w:numPr>
          <w:ilvl w:val="0"/>
          <w:numId w:val="1025"/>
        </w:numPr>
      </w:pPr>
      <w:r>
        <w:t xml:space="preserve">PCI DSS Requirements v4.0</w:t>
      </w:r>
    </w:p>
    <w:p>
      <w:pPr>
        <w:pStyle w:val="Compact"/>
        <w:numPr>
          <w:ilvl w:val="0"/>
          <w:numId w:val="1025"/>
        </w:numPr>
      </w:pPr>
      <w:r>
        <w:t xml:space="preserve">OECD Model Tax Convention</w:t>
      </w:r>
    </w:p>
    <w:p>
      <w:pPr>
        <w:pStyle w:val="Compact"/>
        <w:numPr>
          <w:ilvl w:val="0"/>
          <w:numId w:val="1025"/>
        </w:numPr>
      </w:pPr>
      <w:r>
        <w:t xml:space="preserve">Local Payment Services Regulations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2026-09-30T11:00:56Z</dcterms:created>
  <dcterms:modified xsi:type="dcterms:W3CDTF">2026-09-30T11:00:56Z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