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3817" w:rsidRPr="00F35A4C" w:rsidRDefault="00C93817" w:rsidP="00C93817">
      <w:pPr>
        <w:pStyle w:val="a4"/>
        <w:jc w:val="both"/>
      </w:pPr>
      <w:r w:rsidRPr="00F35A4C">
        <w:rPr>
          <w:spacing w:val="20"/>
        </w:rPr>
        <w:t xml:space="preserve">Таблица </w:t>
      </w:r>
      <w:r>
        <w:rPr>
          <w:spacing w:val="20"/>
        </w:rPr>
        <w:t>3</w:t>
      </w:r>
      <w:r w:rsidRPr="00F35A4C">
        <w:t xml:space="preserve"> – Оценка возможности воздействия ЭГП на сооружения трубопровода</w:t>
      </w:r>
    </w:p>
    <w:tbl>
      <w:tblPr>
        <w:tblW w:w="13510" w:type="dxa"/>
        <w:tblInd w:w="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450"/>
        <w:gridCol w:w="1260"/>
        <w:gridCol w:w="3060"/>
        <w:gridCol w:w="1800"/>
        <w:gridCol w:w="1260"/>
        <w:gridCol w:w="1800"/>
        <w:gridCol w:w="1440"/>
        <w:gridCol w:w="1440"/>
      </w:tblGrid>
      <w:tr w:rsidR="00C93817" w:rsidRPr="00F35A4C" w:rsidTr="00091F69">
        <w:trPr>
          <w:trHeight w:val="1010"/>
        </w:trPr>
        <w:tc>
          <w:tcPr>
            <w:tcW w:w="1450" w:type="dxa"/>
            <w:vMerge w:val="restart"/>
            <w:shd w:val="clear" w:color="auto" w:fill="auto"/>
            <w:vAlign w:val="center"/>
          </w:tcPr>
          <w:p w:rsidR="00C93817" w:rsidRPr="00D13F44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bCs/>
                <w:sz w:val="20"/>
                <w:szCs w:val="20"/>
              </w:rPr>
              <w:t>Иденти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фика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ци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онный но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мер формы рельефа ЭГП/ареала СГУ</w:t>
            </w:r>
          </w:p>
        </w:tc>
        <w:tc>
          <w:tcPr>
            <w:tcW w:w="1260" w:type="dxa"/>
            <w:vMerge w:val="restart"/>
            <w:shd w:val="clear" w:color="auto" w:fill="auto"/>
            <w:vAlign w:val="center"/>
          </w:tcPr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Название ЭГП</w:t>
            </w:r>
          </w:p>
        </w:tc>
        <w:tc>
          <w:tcPr>
            <w:tcW w:w="3060" w:type="dxa"/>
            <w:vMerge w:val="restart"/>
            <w:vAlign w:val="center"/>
          </w:tcPr>
          <w:p w:rsidR="00C93817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Оценка возможности воздейст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F35A4C">
              <w:rPr>
                <w:color w:val="000000"/>
                <w:sz w:val="20"/>
                <w:szCs w:val="20"/>
              </w:rPr>
              <w:t>вия ЭГП на сооружения трубо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F35A4C">
              <w:rPr>
                <w:color w:val="000000"/>
                <w:sz w:val="20"/>
                <w:szCs w:val="20"/>
              </w:rPr>
              <w:t>провода*</w:t>
            </w:r>
          </w:p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(</w:t>
            </w:r>
            <w:r w:rsidRPr="002004E9">
              <w:rPr>
                <w:color w:val="000000"/>
                <w:sz w:val="20"/>
                <w:szCs w:val="20"/>
              </w:rPr>
              <w:t>возможно на трубопровод</w:t>
            </w:r>
            <w:r>
              <w:rPr>
                <w:color w:val="000000"/>
                <w:sz w:val="20"/>
                <w:szCs w:val="20"/>
              </w:rPr>
              <w:t xml:space="preserve">, </w:t>
            </w:r>
            <w:r w:rsidRPr="002004E9">
              <w:rPr>
                <w:color w:val="000000"/>
                <w:sz w:val="20"/>
                <w:szCs w:val="20"/>
              </w:rPr>
              <w:t>воз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2004E9">
              <w:rPr>
                <w:color w:val="000000"/>
                <w:sz w:val="20"/>
                <w:szCs w:val="20"/>
              </w:rPr>
              <w:t xml:space="preserve">можно на </w:t>
            </w:r>
            <w:proofErr w:type="spellStart"/>
            <w:r w:rsidRPr="002004E9">
              <w:rPr>
                <w:color w:val="000000"/>
                <w:sz w:val="20"/>
                <w:szCs w:val="20"/>
              </w:rPr>
              <w:t>притрассовую</w:t>
            </w:r>
            <w:proofErr w:type="spellEnd"/>
            <w:r w:rsidRPr="002004E9">
              <w:rPr>
                <w:color w:val="000000"/>
                <w:sz w:val="20"/>
                <w:szCs w:val="20"/>
              </w:rPr>
              <w:t xml:space="preserve"> дорогу</w:t>
            </w:r>
            <w:r>
              <w:rPr>
                <w:color w:val="000000"/>
                <w:sz w:val="20"/>
                <w:szCs w:val="20"/>
              </w:rPr>
              <w:t xml:space="preserve">, </w:t>
            </w:r>
            <w:r w:rsidRPr="002004E9">
              <w:rPr>
                <w:color w:val="000000"/>
                <w:sz w:val="20"/>
                <w:szCs w:val="20"/>
              </w:rPr>
              <w:t xml:space="preserve">возможно на трубопровод и </w:t>
            </w:r>
            <w:proofErr w:type="spellStart"/>
            <w:r w:rsidRPr="002004E9">
              <w:rPr>
                <w:color w:val="000000"/>
                <w:sz w:val="20"/>
                <w:szCs w:val="20"/>
              </w:rPr>
              <w:t>при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2004E9">
              <w:rPr>
                <w:color w:val="000000"/>
                <w:sz w:val="20"/>
                <w:szCs w:val="20"/>
              </w:rPr>
              <w:t>трассовую</w:t>
            </w:r>
            <w:proofErr w:type="spellEnd"/>
            <w:r w:rsidRPr="002004E9">
              <w:rPr>
                <w:color w:val="000000"/>
                <w:sz w:val="20"/>
                <w:szCs w:val="20"/>
              </w:rPr>
              <w:t xml:space="preserve"> дорогу</w:t>
            </w:r>
            <w:r>
              <w:rPr>
                <w:color w:val="000000"/>
                <w:sz w:val="20"/>
                <w:szCs w:val="20"/>
              </w:rPr>
              <w:t xml:space="preserve">, </w:t>
            </w:r>
            <w:r w:rsidRPr="002004E9">
              <w:rPr>
                <w:color w:val="000000"/>
                <w:sz w:val="20"/>
                <w:szCs w:val="20"/>
              </w:rPr>
              <w:t>возможно на сосредоточенные объекты</w:t>
            </w:r>
            <w:r>
              <w:rPr>
                <w:color w:val="000000"/>
                <w:sz w:val="20"/>
                <w:szCs w:val="20"/>
              </w:rPr>
              <w:t>)</w:t>
            </w:r>
          </w:p>
        </w:tc>
        <w:tc>
          <w:tcPr>
            <w:tcW w:w="3060" w:type="dxa"/>
            <w:gridSpan w:val="2"/>
            <w:shd w:val="clear" w:color="auto" w:fill="auto"/>
            <w:vAlign w:val="center"/>
          </w:tcPr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Направление возможного воз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F35A4C">
              <w:rPr>
                <w:color w:val="000000"/>
                <w:sz w:val="20"/>
                <w:szCs w:val="20"/>
              </w:rPr>
              <w:t>действия процесса на трубопро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F35A4C">
              <w:rPr>
                <w:color w:val="000000"/>
                <w:sz w:val="20"/>
                <w:szCs w:val="20"/>
              </w:rPr>
              <w:t>вод**</w:t>
            </w:r>
          </w:p>
        </w:tc>
        <w:tc>
          <w:tcPr>
            <w:tcW w:w="1800" w:type="dxa"/>
            <w:vMerge w:val="restart"/>
            <w:vAlign w:val="center"/>
          </w:tcPr>
          <w:p w:rsidR="00C93817" w:rsidRDefault="00C93817" w:rsidP="00091F6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Расположение </w:t>
            </w:r>
            <w:r w:rsidRPr="00D13F44">
              <w:rPr>
                <w:bCs/>
                <w:sz w:val="20"/>
                <w:szCs w:val="20"/>
              </w:rPr>
              <w:t>формы рельефа ЭГП/ареала СГУ</w:t>
            </w:r>
          </w:p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 (</w:t>
            </w:r>
            <w:r w:rsidRPr="00DF0A4F">
              <w:rPr>
                <w:color w:val="000000"/>
                <w:sz w:val="20"/>
                <w:szCs w:val="20"/>
              </w:rPr>
              <w:t>в полосе земле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DF0A4F">
              <w:rPr>
                <w:color w:val="000000"/>
                <w:sz w:val="20"/>
                <w:szCs w:val="20"/>
              </w:rPr>
              <w:t>отвода</w:t>
            </w:r>
            <w:r>
              <w:rPr>
                <w:color w:val="000000"/>
                <w:sz w:val="20"/>
                <w:szCs w:val="20"/>
              </w:rPr>
              <w:t xml:space="preserve">, </w:t>
            </w:r>
            <w:r w:rsidRPr="00DF0A4F">
              <w:rPr>
                <w:color w:val="000000"/>
                <w:sz w:val="20"/>
                <w:szCs w:val="20"/>
              </w:rPr>
              <w:t>за преде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DF0A4F">
              <w:rPr>
                <w:color w:val="000000"/>
                <w:sz w:val="20"/>
                <w:szCs w:val="20"/>
              </w:rPr>
              <w:t>лами полосы зем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DF0A4F">
              <w:rPr>
                <w:color w:val="000000"/>
                <w:sz w:val="20"/>
                <w:szCs w:val="20"/>
              </w:rPr>
              <w:t>ле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DF0A4F">
              <w:rPr>
                <w:color w:val="000000"/>
                <w:sz w:val="20"/>
                <w:szCs w:val="20"/>
              </w:rPr>
              <w:t>отвода</w:t>
            </w:r>
            <w:r>
              <w:rPr>
                <w:color w:val="000000"/>
                <w:sz w:val="20"/>
                <w:szCs w:val="20"/>
              </w:rPr>
              <w:t>, в по</w:t>
            </w:r>
            <w:r>
              <w:rPr>
                <w:color w:val="000000"/>
                <w:sz w:val="20"/>
                <w:szCs w:val="20"/>
              </w:rPr>
              <w:softHyphen/>
              <w:t>лосе и за пре</w:t>
            </w:r>
            <w:r>
              <w:rPr>
                <w:color w:val="000000"/>
                <w:sz w:val="20"/>
                <w:szCs w:val="20"/>
              </w:rPr>
              <w:softHyphen/>
              <w:t>де</w:t>
            </w:r>
            <w:r>
              <w:rPr>
                <w:color w:val="000000"/>
                <w:sz w:val="20"/>
                <w:szCs w:val="20"/>
              </w:rPr>
              <w:softHyphen/>
              <w:t xml:space="preserve">лами) </w:t>
            </w:r>
          </w:p>
        </w:tc>
        <w:tc>
          <w:tcPr>
            <w:tcW w:w="1440" w:type="dxa"/>
            <w:vMerge w:val="restart"/>
          </w:tcPr>
          <w:p w:rsidR="00C93817" w:rsidRDefault="00C93817" w:rsidP="00091F6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Положение</w:t>
            </w:r>
            <w:r w:rsidRPr="00D13F44">
              <w:rPr>
                <w:bCs/>
                <w:sz w:val="20"/>
                <w:szCs w:val="20"/>
              </w:rPr>
              <w:t xml:space="preserve"> формы рель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ефа ЭГП/ареала СГУ</w:t>
            </w:r>
            <w:r>
              <w:rPr>
                <w:bCs/>
                <w:sz w:val="20"/>
                <w:szCs w:val="20"/>
              </w:rPr>
              <w:t xml:space="preserve"> относи</w:t>
            </w:r>
            <w:r>
              <w:rPr>
                <w:bCs/>
                <w:sz w:val="20"/>
                <w:szCs w:val="20"/>
              </w:rPr>
              <w:softHyphen/>
              <w:t xml:space="preserve">тельно МН </w:t>
            </w:r>
          </w:p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48531E">
              <w:rPr>
                <w:color w:val="000000"/>
                <w:sz w:val="20"/>
                <w:szCs w:val="20"/>
                <w:highlight w:val="red"/>
              </w:rPr>
              <w:t>(поперек трубы заме</w:t>
            </w:r>
            <w:r>
              <w:rPr>
                <w:color w:val="000000"/>
                <w:sz w:val="20"/>
                <w:szCs w:val="20"/>
                <w:highlight w:val="red"/>
              </w:rPr>
              <w:softHyphen/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>нить на «пе</w:t>
            </w:r>
            <w:r>
              <w:rPr>
                <w:color w:val="000000"/>
                <w:sz w:val="20"/>
                <w:szCs w:val="20"/>
                <w:highlight w:val="red"/>
              </w:rPr>
              <w:softHyphen/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 xml:space="preserve">ресекает», вдоль трубы заменить </w:t>
            </w:r>
            <w:proofErr w:type="gramStart"/>
            <w:r w:rsidRPr="0048531E">
              <w:rPr>
                <w:color w:val="000000"/>
                <w:sz w:val="20"/>
                <w:szCs w:val="20"/>
                <w:highlight w:val="red"/>
              </w:rPr>
              <w:t>на</w:t>
            </w:r>
            <w:proofErr w:type="gramEnd"/>
            <w:r w:rsidRPr="0048531E">
              <w:rPr>
                <w:color w:val="000000"/>
                <w:sz w:val="20"/>
                <w:szCs w:val="20"/>
                <w:highlight w:val="red"/>
              </w:rPr>
              <w:t xml:space="preserve"> «развивается параллельно»</w:t>
            </w:r>
            <w:r>
              <w:rPr>
                <w:color w:val="000000"/>
                <w:sz w:val="20"/>
                <w:szCs w:val="20"/>
                <w:highlight w:val="red"/>
              </w:rPr>
              <w:t xml:space="preserve">, 1+2 </w:t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>заменить на</w:t>
            </w:r>
            <w:r>
              <w:rPr>
                <w:color w:val="000000"/>
                <w:sz w:val="20"/>
                <w:szCs w:val="20"/>
                <w:highlight w:val="red"/>
              </w:rPr>
              <w:t xml:space="preserve"> «</w:t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>пересе</w:t>
            </w:r>
            <w:r>
              <w:rPr>
                <w:color w:val="000000"/>
                <w:sz w:val="20"/>
                <w:szCs w:val="20"/>
                <w:highlight w:val="red"/>
              </w:rPr>
              <w:softHyphen/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>кает</w:t>
            </w:r>
            <w:r>
              <w:rPr>
                <w:color w:val="000000"/>
                <w:sz w:val="20"/>
                <w:szCs w:val="20"/>
                <w:highlight w:val="red"/>
              </w:rPr>
              <w:t xml:space="preserve"> и </w:t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>разви</w:t>
            </w:r>
            <w:r>
              <w:rPr>
                <w:color w:val="000000"/>
                <w:sz w:val="20"/>
                <w:szCs w:val="20"/>
                <w:highlight w:val="red"/>
              </w:rPr>
              <w:softHyphen/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>вается парал</w:t>
            </w:r>
            <w:r>
              <w:rPr>
                <w:color w:val="000000"/>
                <w:sz w:val="20"/>
                <w:szCs w:val="20"/>
                <w:highlight w:val="red"/>
              </w:rPr>
              <w:softHyphen/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>лельно</w:t>
            </w:r>
            <w:r>
              <w:rPr>
                <w:color w:val="000000"/>
                <w:sz w:val="20"/>
                <w:szCs w:val="20"/>
                <w:highlight w:val="red"/>
              </w:rPr>
              <w:t>»</w:t>
            </w:r>
            <w:r w:rsidRPr="0048531E">
              <w:rPr>
                <w:color w:val="000000"/>
                <w:sz w:val="20"/>
                <w:szCs w:val="20"/>
                <w:highlight w:val="red"/>
              </w:rPr>
              <w:t>)</w:t>
            </w:r>
          </w:p>
        </w:tc>
        <w:tc>
          <w:tcPr>
            <w:tcW w:w="1440" w:type="dxa"/>
            <w:vMerge w:val="restart"/>
          </w:tcPr>
          <w:p w:rsidR="00C93817" w:rsidRPr="006D1CF8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6D1CF8">
              <w:rPr>
                <w:color w:val="000000"/>
                <w:sz w:val="20"/>
                <w:szCs w:val="20"/>
              </w:rPr>
              <w:t>Эффектив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6D1CF8">
              <w:rPr>
                <w:color w:val="000000"/>
                <w:sz w:val="20"/>
                <w:szCs w:val="20"/>
              </w:rPr>
              <w:t>ность защит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6D1CF8">
              <w:rPr>
                <w:color w:val="000000"/>
                <w:sz w:val="20"/>
                <w:szCs w:val="20"/>
              </w:rPr>
              <w:t>ных меро</w:t>
            </w:r>
            <w:r>
              <w:rPr>
                <w:color w:val="000000"/>
                <w:sz w:val="20"/>
                <w:szCs w:val="20"/>
              </w:rPr>
              <w:softHyphen/>
            </w:r>
            <w:r w:rsidRPr="006D1CF8">
              <w:rPr>
                <w:color w:val="000000"/>
                <w:sz w:val="20"/>
                <w:szCs w:val="20"/>
              </w:rPr>
              <w:t>приятий (</w:t>
            </w:r>
            <w:r>
              <w:rPr>
                <w:color w:val="000000"/>
                <w:sz w:val="20"/>
                <w:szCs w:val="20"/>
              </w:rPr>
              <w:t>вы</w:t>
            </w:r>
            <w:r>
              <w:rPr>
                <w:color w:val="000000"/>
                <w:sz w:val="20"/>
                <w:szCs w:val="20"/>
              </w:rPr>
              <w:softHyphen/>
              <w:t>сокая, низкая, отсутствует</w:t>
            </w:r>
            <w:r w:rsidRPr="006D1CF8">
              <w:rPr>
                <w:color w:val="000000"/>
                <w:sz w:val="20"/>
                <w:szCs w:val="20"/>
              </w:rPr>
              <w:t>)</w:t>
            </w:r>
          </w:p>
        </w:tc>
      </w:tr>
      <w:tr w:rsidR="00C93817" w:rsidRPr="00F35A4C" w:rsidTr="00091F69">
        <w:trPr>
          <w:trHeight w:val="315"/>
        </w:trPr>
        <w:tc>
          <w:tcPr>
            <w:tcW w:w="1450" w:type="dxa"/>
            <w:vMerge/>
            <w:shd w:val="clear" w:color="auto" w:fill="auto"/>
            <w:vAlign w:val="center"/>
          </w:tcPr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260" w:type="dxa"/>
            <w:vMerge/>
            <w:shd w:val="clear" w:color="auto" w:fill="auto"/>
            <w:vAlign w:val="center"/>
          </w:tcPr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vAlign w:val="center"/>
          </w:tcPr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800" w:type="dxa"/>
            <w:shd w:val="clear" w:color="auto" w:fill="auto"/>
            <w:vAlign w:val="center"/>
          </w:tcPr>
          <w:p w:rsidR="00C93817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в горизонтальной плоскости,</w:t>
            </w:r>
            <w:r>
              <w:rPr>
                <w:color w:val="000000"/>
                <w:sz w:val="20"/>
                <w:szCs w:val="20"/>
              </w:rPr>
              <w:t xml:space="preserve"> </w:t>
            </w:r>
            <w:r w:rsidRPr="00F35A4C">
              <w:rPr>
                <w:color w:val="000000"/>
                <w:sz w:val="20"/>
                <w:szCs w:val="20"/>
              </w:rPr>
              <w:t>град.</w:t>
            </w:r>
          </w:p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(0 - по течению нефти, 180 - про</w:t>
            </w:r>
            <w:r>
              <w:rPr>
                <w:color w:val="000000"/>
                <w:sz w:val="20"/>
                <w:szCs w:val="20"/>
              </w:rPr>
              <w:softHyphen/>
              <w:t>тив течения нефти)</w:t>
            </w:r>
          </w:p>
        </w:tc>
        <w:tc>
          <w:tcPr>
            <w:tcW w:w="1260" w:type="dxa"/>
          </w:tcPr>
          <w:p w:rsidR="00C93817" w:rsidRPr="00FA467C" w:rsidRDefault="00C93817" w:rsidP="00091F69">
            <w:pPr>
              <w:jc w:val="center"/>
              <w:rPr>
                <w:color w:val="000000"/>
                <w:sz w:val="20"/>
                <w:szCs w:val="20"/>
                <w:highlight w:val="red"/>
              </w:rPr>
            </w:pPr>
            <w:r w:rsidRPr="00FA467C">
              <w:rPr>
                <w:color w:val="000000"/>
                <w:sz w:val="20"/>
                <w:szCs w:val="20"/>
                <w:highlight w:val="red"/>
              </w:rPr>
              <w:t>в верти</w:t>
            </w:r>
            <w:r>
              <w:rPr>
                <w:color w:val="000000"/>
                <w:sz w:val="20"/>
                <w:szCs w:val="20"/>
                <w:highlight w:val="red"/>
              </w:rPr>
              <w:softHyphen/>
            </w:r>
            <w:r w:rsidRPr="00FA467C">
              <w:rPr>
                <w:color w:val="000000"/>
                <w:sz w:val="20"/>
                <w:szCs w:val="20"/>
                <w:highlight w:val="red"/>
              </w:rPr>
              <w:t>кальной плоскости, град.</w:t>
            </w:r>
          </w:p>
          <w:p w:rsidR="00C93817" w:rsidRPr="002004E9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A467C">
              <w:rPr>
                <w:color w:val="000000"/>
                <w:sz w:val="20"/>
                <w:szCs w:val="20"/>
                <w:highlight w:val="red"/>
              </w:rPr>
              <w:t>()</w:t>
            </w:r>
          </w:p>
        </w:tc>
        <w:tc>
          <w:tcPr>
            <w:tcW w:w="1800" w:type="dxa"/>
            <w:vMerge/>
          </w:tcPr>
          <w:p w:rsidR="00C93817" w:rsidRPr="002004E9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440" w:type="dxa"/>
            <w:vMerge/>
          </w:tcPr>
          <w:p w:rsidR="00C93817" w:rsidRPr="002004E9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440" w:type="dxa"/>
            <w:vMerge/>
          </w:tcPr>
          <w:p w:rsidR="00C93817" w:rsidRPr="002004E9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</w:tr>
      <w:tr w:rsidR="00C93817" w:rsidRPr="00F35A4C" w:rsidTr="00091F69">
        <w:trPr>
          <w:trHeight w:val="315"/>
        </w:trPr>
        <w:tc>
          <w:tcPr>
            <w:tcW w:w="1450" w:type="dxa"/>
            <w:shd w:val="clear" w:color="auto" w:fill="auto"/>
            <w:vAlign w:val="center"/>
          </w:tcPr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1260" w:type="dxa"/>
            <w:shd w:val="clear" w:color="auto" w:fill="auto"/>
            <w:vAlign w:val="center"/>
          </w:tcPr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3060" w:type="dxa"/>
            <w:vAlign w:val="center"/>
          </w:tcPr>
          <w:p w:rsidR="00C93817" w:rsidRPr="00F35A4C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1800" w:type="dxa"/>
            <w:shd w:val="clear" w:color="auto" w:fill="auto"/>
          </w:tcPr>
          <w:p w:rsidR="00C93817" w:rsidRPr="00F35A4C" w:rsidRDefault="00C93817" w:rsidP="00091F69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4</w:t>
            </w:r>
            <w:r w:rsidRPr="00F35A4C">
              <w:rPr>
                <w:sz w:val="22"/>
                <w:szCs w:val="22"/>
              </w:rPr>
              <w:t> </w:t>
            </w:r>
          </w:p>
        </w:tc>
        <w:tc>
          <w:tcPr>
            <w:tcW w:w="1260" w:type="dxa"/>
          </w:tcPr>
          <w:p w:rsidR="00C93817" w:rsidRPr="002004E9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2004E9">
              <w:rPr>
                <w:color w:val="000000"/>
                <w:sz w:val="20"/>
                <w:szCs w:val="20"/>
              </w:rPr>
              <w:t>5</w:t>
            </w:r>
          </w:p>
        </w:tc>
        <w:tc>
          <w:tcPr>
            <w:tcW w:w="1800" w:type="dxa"/>
          </w:tcPr>
          <w:p w:rsidR="00C93817" w:rsidRPr="002004E9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6</w:t>
            </w:r>
          </w:p>
        </w:tc>
        <w:tc>
          <w:tcPr>
            <w:tcW w:w="1440" w:type="dxa"/>
          </w:tcPr>
          <w:p w:rsidR="00C93817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7</w:t>
            </w:r>
          </w:p>
        </w:tc>
        <w:tc>
          <w:tcPr>
            <w:tcW w:w="1440" w:type="dxa"/>
          </w:tcPr>
          <w:p w:rsidR="00C93817" w:rsidRPr="002004E9" w:rsidRDefault="00C93817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8</w:t>
            </w:r>
          </w:p>
        </w:tc>
      </w:tr>
    </w:tbl>
    <w:p w:rsidR="00C93817" w:rsidRPr="00F35A4C" w:rsidRDefault="00C93817" w:rsidP="00C93817">
      <w:pPr>
        <w:pStyle w:val="a5"/>
        <w:tabs>
          <w:tab w:val="left" w:pos="290"/>
        </w:tabs>
        <w:ind w:left="0"/>
        <w:jc w:val="both"/>
      </w:pPr>
      <w:proofErr w:type="gramStart"/>
      <w:r w:rsidRPr="00F35A4C">
        <w:t>*включая случаи, когда для зафиксированного ЭГП, не имеющего признаков активизации, установленная (т.е. известная исходя из современных научных знаний об ЭГП) периодичность (частота) активизации процесса/явления меньше срока эксплуатации МН, а амплитуда и глубина развития достаточна для возможности воздействия на сооружения трубопровода.</w:t>
      </w:r>
      <w:proofErr w:type="gramEnd"/>
    </w:p>
    <w:p w:rsidR="00C93817" w:rsidRDefault="00C93817" w:rsidP="00C93817">
      <w:pPr>
        <w:jc w:val="both"/>
      </w:pPr>
      <w:r w:rsidRPr="00F35A4C">
        <w:t>**указывается направление силы, воздействие которой на трубопровод возможно в результате развития ЭГП.</w:t>
      </w:r>
    </w:p>
    <w:p w:rsidR="00944DAA" w:rsidRDefault="00944DAA"/>
    <w:sectPr w:rsidR="00944DAA" w:rsidSect="00C93817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drawingGridHorizontalSpacing w:val="120"/>
  <w:displayHorizontalDrawingGridEvery w:val="2"/>
  <w:characterSpacingControl w:val="doNotCompress"/>
  <w:compat/>
  <w:rsids>
    <w:rsidRoot w:val="00C93817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93817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9381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Название Знак"/>
    <w:aliases w:val="Char Знак"/>
    <w:basedOn w:val="a0"/>
    <w:link w:val="a4"/>
    <w:locked/>
    <w:rsid w:val="00C93817"/>
    <w:rPr>
      <w:sz w:val="24"/>
      <w:szCs w:val="24"/>
      <w:lang w:eastAsia="ru-RU"/>
    </w:rPr>
  </w:style>
  <w:style w:type="paragraph" w:styleId="a4">
    <w:name w:val="Title"/>
    <w:aliases w:val="Char"/>
    <w:basedOn w:val="a"/>
    <w:link w:val="a3"/>
    <w:qFormat/>
    <w:rsid w:val="00C93817"/>
    <w:pPr>
      <w:autoSpaceDE w:val="0"/>
      <w:autoSpaceDN w:val="0"/>
      <w:jc w:val="center"/>
    </w:pPr>
    <w:rPr>
      <w:rFonts w:asciiTheme="minorHAnsi" w:eastAsiaTheme="minorHAnsi" w:hAnsiTheme="minorHAnsi" w:cstheme="minorBidi"/>
    </w:rPr>
  </w:style>
  <w:style w:type="character" w:customStyle="1" w:styleId="1">
    <w:name w:val="Название Знак1"/>
    <w:basedOn w:val="a0"/>
    <w:link w:val="a4"/>
    <w:uiPriority w:val="10"/>
    <w:rsid w:val="00C9381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ru-RU"/>
    </w:rPr>
  </w:style>
  <w:style w:type="paragraph" w:styleId="a5">
    <w:name w:val="List Paragraph"/>
    <w:basedOn w:val="a"/>
    <w:qFormat/>
    <w:rsid w:val="00C93817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3.dotx</Template>
  <TotalTime>0</TotalTime>
  <Pages>1</Pages>
  <Words>212</Words>
  <Characters>1210</Characters>
  <Application>Microsoft Office Word</Application>
  <DocSecurity>0</DocSecurity>
  <Lines>10</Lines>
  <Paragraphs>2</Paragraphs>
  <ScaleCrop>false</ScaleCrop>
  <Company/>
  <LinksUpToDate>false</LinksUpToDate>
  <CharactersWithSpaces>1420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2011-09-30T14:10:00Z</dcterms:created>
  <dcterms:modified xsi:type="dcterms:W3CDTF">2011-09-30T14:10:00Z</dcterms:modified>
</cp:coreProperties>
</file>