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Практическое задание №3</w:t>
      </w:r>
    </w:p>
    <w:p>
      <w:pPr>
        <w:jc w:val="center"/>
      </w:pPr>
      <w:r>
        <w:rPr>
          <w:b/>
          <w:sz w:val="28"/>
        </w:rPr>
        <w:t>Применение CNN для решения задачи классификации изображений</w:t>
      </w:r>
    </w:p>
    <w:p>
      <w:pPr>
        <w:jc w:val="center"/>
      </w:pPr>
      <w:r>
        <w:rPr>
          <w:sz w:val="24"/>
        </w:rPr>
        <w:t>Тема: Система обнаружения поддельных подписей на основе CNN</w:t>
      </w:r>
    </w:p>
    <w:p/>
    <w:p>
      <w:pPr>
        <w:jc w:val="center"/>
      </w:pPr>
      <w:r>
        <w:t>Дата: 08.05.2026</w:t>
      </w:r>
    </w:p>
    <w:p>
      <w:r>
        <w:br w:type="page"/>
      </w:r>
    </w:p>
    <w:p>
      <w:pPr>
        <w:pStyle w:val="Heading1"/>
      </w:pPr>
      <w:r>
        <w:t>1. Введение (Постановка задачи)</w:t>
      </w:r>
    </w:p>
    <w:p>
      <w:r>
        <w:t>Целью работы является построение модели глубокого обучения, которая по изображению подписи определяет, является ли она подлинной или содержит признаки подделки, монтажа или фальсификации. Для таких задач важно не только распознать крупные формы, но и уловить мелкие текстурные артефакты, следы сжатия, неоднородности печати и аномалии в локальных областях изображения.</w:t>
      </w:r>
    </w:p>
    <w:p>
      <w:r>
        <w:t>Задача является задачей бинарной классификации: каждому изображению подписи назначается один из двух классов — "подлинная" (real) или "поддельная" (fake). Модель должна быть достаточно чувствительна к качеству печати, артефактам сжатия и другим характерным признакам подделок, но вместе с тем устойчива к вариативности подлинных подписей (разные люди, условия съёмки, качество сканирования).</w:t>
      </w:r>
    </w:p>
    <w:p>
      <w:r>
        <w:br w:type="page"/>
      </w:r>
    </w:p>
    <w:p>
      <w:pPr>
        <w:pStyle w:val="Heading1"/>
      </w:pPr>
      <w:r>
        <w:t>2. Обзор данных</w:t>
      </w:r>
    </w:p>
    <w:p>
      <w:pPr>
        <w:pStyle w:val="Heading2"/>
      </w:pPr>
      <w:r>
        <w:t>2.1 Описание датасета</w:t>
      </w:r>
    </w:p>
    <w:p>
      <w:r>
        <w:t>В работе используется датасет подписей Signature Verification Dataset (Kaggle, "robinreni/signature-verification-dataset"). Датасет содержит изображения подлинных и поддельных/сфальсифицированных подписей, разделённые на обучающую (train) и тестовую (test) части.</w:t>
      </w:r>
    </w:p>
    <w:p>
      <w:pPr>
        <w:pStyle w:val="Heading2"/>
      </w:pPr>
      <w:r>
        <w:t>2.2 Баланс классов</w:t>
      </w:r>
    </w:p>
    <w:p>
      <w:r>
        <w:t w:space="preserve">Таблица 1. Гиперпараметры обучения модели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Выборка</w:t>
            </w:r>
          </w:p>
        </w:tc>
        <w:tc>
          <w:tcPr>
            <w:tcW w:type="dxa" w:w="2880"/>
          </w:tcPr>
          <w:p>
            <w:r>
              <w:t>Real (подлинные)</w:t>
            </w:r>
          </w:p>
        </w:tc>
        <w:tc>
          <w:tcPr>
            <w:tcW w:type="dxa" w:w="2880"/>
          </w:tcPr>
          <w:p>
            <w:r>
              <w:t>Fake (поддельные)</w:t>
            </w:r>
          </w:p>
        </w:tc>
      </w:tr>
      <w:tr>
        <w:tc>
          <w:tcPr>
            <w:tcW w:type="dxa" w:w="2880"/>
          </w:tcPr>
          <w:p>
            <w:r>
              <w:t>train</w:t>
            </w:r>
          </w:p>
        </w:tc>
        <w:tc>
          <w:tcPr>
            <w:tcW w:type="dxa" w:w="2880"/>
          </w:tcPr>
          <w:p>
            <w:r>
              <w:t>703 (53.3%)</w:t>
            </w:r>
          </w:p>
        </w:tc>
        <w:tc>
          <w:tcPr>
            <w:tcW w:type="dxa" w:w="2880"/>
          </w:tcPr>
          <w:p>
            <w:r>
              <w:t>617 (46.7%)</w:t>
            </w:r>
          </w:p>
        </w:tc>
      </w:tr>
      <w:tr>
        <w:tc>
          <w:tcPr>
            <w:tcW w:type="dxa" w:w="2880"/>
          </w:tcPr>
          <w:p>
            <w:r>
              <w:t>val</w:t>
            </w:r>
          </w:p>
        </w:tc>
        <w:tc>
          <w:tcPr>
            <w:tcW w:type="dxa" w:w="2880"/>
          </w:tcPr>
          <w:p>
            <w:r>
              <w:t>184 (55.9%)</w:t>
            </w:r>
          </w:p>
        </w:tc>
        <w:tc>
          <w:tcPr>
            <w:tcW w:type="dxa" w:w="2880"/>
          </w:tcPr>
          <w:p>
            <w:r>
              <w:t>145 (44.1%)</w:t>
            </w:r>
          </w:p>
        </w:tc>
      </w:tr>
      <w:tr>
        <w:tc>
          <w:tcPr>
            <w:tcW w:type="dxa" w:w="2880"/>
          </w:tcPr>
          <w:p>
            <w:r>
              <w:t>test</w:t>
            </w:r>
          </w:p>
        </w:tc>
        <w:tc>
          <w:tcPr>
            <w:tcW w:type="dxa" w:w="2880"/>
          </w:tcPr>
          <w:p>
            <w:r>
              <w:t>252 (50.4%)</w:t>
            </w:r>
          </w:p>
        </w:tc>
        <w:tc>
          <w:tcPr>
            <w:tcW w:type="dxa" w:w="2880"/>
          </w:tcPr>
          <w:p>
            <w:r>
              <w:t>248 (49.6%)</w:t>
            </w:r>
          </w:p>
        </w:tc>
      </w:tr>
    </w:tbl>
    <w:p>
      <w:r>
        <w:br/>
        <w:t>Классы в датасете практически сбалансированы (≈50/50), что позволяет использовать accuracy в качестве основной метрики и не требует специальной обработки дисбаланса. Однако в контексте безопасности более важен recall для класса "fake" — пропуск подделки опаснее ложного срабатывания.</w:t>
      </w:r>
    </w:p>
    <w:p>
      <w:pPr>
        <w:pStyle w:val="Heading2"/>
      </w:pPr>
      <w:r>
        <w:t>2.3 Предобработка и аугментация данных</w:t>
      </w:r>
    </w:p>
    <w:p>
      <w:r>
        <w:t>Аугментации применяются только к обучающей выборке для снижения переобучения и обучения модели инвариантности к трансформациям:</w:t>
      </w:r>
    </w:p>
    <w:p>
      <w:pPr>
        <w:pStyle w:val="ListBullet"/>
      </w:pPr>
      <w:r>
        <w:rPr>
          <w:b/>
        </w:rPr>
        <w:t>RandomResizedCrop</w:t>
      </w:r>
      <w:r>
        <w:t>: случайное кадрирование и изменение масштаба (0.8–1.0)</w:t>
      </w:r>
    </w:p>
    <w:p>
      <w:pPr>
        <w:pStyle w:val="ListBullet"/>
      </w:pPr>
      <w:r>
        <w:rPr>
          <w:b/>
        </w:rPr>
        <w:t>RandomHorizontalFlip</w:t>
      </w:r>
      <w:r>
        <w:t>: зеркальное отражение с вероятностью 50%</w:t>
      </w:r>
    </w:p>
    <w:p>
      <w:pPr>
        <w:pStyle w:val="ListBullet"/>
      </w:pPr>
      <w:r>
        <w:rPr>
          <w:b/>
        </w:rPr>
        <w:t>RandomRotation</w:t>
      </w:r>
      <w:r>
        <w:t>: случайный поворот на ±10°</w:t>
      </w:r>
    </w:p>
    <w:p>
      <w:pPr>
        <w:pStyle w:val="ListBullet"/>
      </w:pPr>
      <w:r>
        <w:rPr>
          <w:b/>
        </w:rPr>
        <w:t>ColorJitter</w:t>
      </w:r>
      <w:r>
        <w:t>: варьирование яркости, контраста, насыщенности и оттенка</w:t>
      </w:r>
    </w:p>
    <w:p>
      <w:r>
        <w:br/>
        <w:t>На валидационной и тестовой выборке применяется только нормализация без аугментаций, чтобы обеспечить честную оценку качества модели.</w:t>
      </w:r>
    </w:p>
    <w:p>
      <w:r>
        <w:br w:type="page"/>
      </w:r>
    </w:p>
    <w:p>
      <w:pPr>
        <w:pStyle w:val="Heading1"/>
      </w:pPr>
      <w:r>
        <w:t>3. Методология</w:t>
      </w:r>
    </w:p>
    <w:p>
      <w:pPr>
        <w:pStyle w:val="Heading2"/>
      </w:pPr>
      <w:r>
        <w:t>3.1 Выбор архитектуры CNN и её обоснование</w:t>
      </w:r>
    </w:p>
    <w:p>
      <w:r>
        <w:t>В качестве базовой модели выбрана ResNet50 (Residual Networks), предобученная на датасете ImageNet. Причины выбора:</w:t>
      </w:r>
    </w:p>
    <w:p>
      <w:pPr>
        <w:pStyle w:val="ListBullet"/>
      </w:pPr>
      <w:r>
        <w:rPr>
          <w:b/>
        </w:rPr>
        <w:t xml:space="preserve">Остаточные связи (skip connections): </w:t>
      </w:r>
      <w:r>
        <w:t>позволяют глубокой сети (50 слоёв) эффективно обучаться без деградации градиента, сохраняя информацию на различных уровнях абстракции</w:t>
      </w:r>
    </w:p>
    <w:p>
      <w:pPr>
        <w:pStyle w:val="ListBullet"/>
      </w:pPr>
      <w:r>
        <w:rPr>
          <w:b/>
        </w:rPr>
        <w:t xml:space="preserve">Предобучение на ImageNet: </w:t>
      </w:r>
      <w:r>
        <w:t>даёт полезные низкоуровневые признаки (края, линии, текстуры) и среднеуровневые паттерны, которые хорошо переносятся на задачу анализа подписей</w:t>
      </w:r>
    </w:p>
    <w:p>
      <w:pPr>
        <w:pStyle w:val="ListBullet"/>
      </w:pPr>
      <w:r>
        <w:rPr>
          <w:b/>
        </w:rPr>
        <w:t xml:space="preserve">Выразительность: </w:t>
      </w:r>
      <w:r>
        <w:t>позволяет извлекать и комбинировать мелкие различия между подлинными и поддельными изображениями</w:t>
      </w:r>
    </w:p>
    <w:p>
      <w:pPr>
        <w:pStyle w:val="ListBullet"/>
      </w:pPr>
      <w:r>
        <w:rPr>
          <w:b/>
        </w:rPr>
        <w:t xml:space="preserve">Баланс: </w:t>
      </w:r>
      <w:r>
        <w:t>обеспечивает хороший компромисс между точностью и вычислительной стоимостью в режиме transfer learning</w:t>
      </w:r>
    </w:p>
    <w:p>
      <w:pPr>
        <w:pStyle w:val="Heading2"/>
      </w:pPr>
      <w:r>
        <w:t>3.2 Transfer Learning и Fine-tuning</w:t>
      </w:r>
    </w:p>
    <w:p>
      <w:r>
        <w:t>Обучение модели проходит в два этапа:</w:t>
      </w:r>
    </w:p>
    <w:p>
      <w:pPr>
        <w:pStyle w:val="Heading3"/>
      </w:pPr>
      <w:r>
        <w:t>Этап 1: Обучение классификатора (заморозка backbone)</w:t>
      </w:r>
    </w:p>
    <w:p>
      <w:pPr>
        <w:pStyle w:val="ListNumber"/>
      </w:pPr>
      <w:r>
        <w:t>На первом этапе вес ResNet50 заморожены (requires_grad=False), обучаются только добавленные слои (классификатор). Это быстро адаптирует предобученные признаки к нашей задаче.</w:t>
      </w:r>
    </w:p>
    <w:p>
      <w:r>
        <w:t>Архитектура классификатора:</w:t>
      </w:r>
    </w:p>
    <w:p>
      <w:pPr>
        <w:pStyle w:val="ListBullet"/>
      </w:pPr>
      <w:r>
        <w:t>Linear(2048 → 256): линейное преобразование из признаков ResNet</w:t>
      </w:r>
    </w:p>
    <w:p>
      <w:pPr>
        <w:pStyle w:val="ListBullet"/>
      </w:pPr>
      <w:r>
        <w:t>ReLU: активация для нелинейности</w:t>
      </w:r>
    </w:p>
    <w:p>
      <w:pPr>
        <w:pStyle w:val="ListBullet"/>
      </w:pPr>
      <w:r>
        <w:t>Dropout(0.5): регуляризация для предотвращения переобучения</w:t>
      </w:r>
    </w:p>
    <w:p>
      <w:pPr>
        <w:pStyle w:val="ListBullet"/>
      </w:pPr>
      <w:r>
        <w:t>Linear(256 → 1): выходной логит для бинарной классификации</w:t>
      </w:r>
    </w:p>
    <w:p>
      <w:pPr>
        <w:pStyle w:val="Heading3"/>
      </w:pPr>
      <w:r>
        <w:t>Этап 2: Fine-tuning (разморозка верхних слоёв)</w:t>
      </w:r>
    </w:p>
    <w:p>
      <w:r>
        <w:t>На втором этапе разморозивается верхний блок ResNet (layer4) вместе с классификатором. Learning rate устанавливается очень низким (1e-5) для тонкой доменной адаптации признаков без разрушения предобученных весов.</w:t>
      </w:r>
    </w:p>
    <w:p>
      <w:pPr>
        <w:pStyle w:val="Heading2"/>
      </w:pPr>
      <w:r>
        <w:t>3.3 Функция потерь, оптимизатор и метрики</w:t>
      </w:r>
    </w:p>
    <w:p>
      <w:pPr>
        <w:pStyle w:val="ListBullet"/>
      </w:pPr>
      <w:r>
        <w:rPr>
          <w:b/>
        </w:rPr>
        <w:t xml:space="preserve">BCEWithLogitsLoss: </w:t>
      </w:r>
      <w:r>
        <w:t>численно стабильная функция потерь для бинарной классификации, объединяющая sigmoid активацию и binary cross-entropy</w:t>
      </w:r>
    </w:p>
    <w:p>
      <w:pPr>
        <w:pStyle w:val="ListBullet"/>
      </w:pPr>
      <w:r>
        <w:rPr>
          <w:b/>
        </w:rPr>
        <w:t xml:space="preserve">AdamW: </w:t>
      </w:r>
      <w:r>
        <w:t>оптимизатор с регуляризацией весов, подходит для глубоких сетей</w:t>
      </w:r>
    </w:p>
    <w:p>
      <w:r>
        <w:t>Метрики для оценки:</w:t>
      </w:r>
    </w:p>
    <w:p>
      <w:pPr>
        <w:pStyle w:val="ListBullet"/>
      </w:pPr>
      <w:r>
        <w:rPr>
          <w:b/>
        </w:rPr>
        <w:t xml:space="preserve">Accuracy: </w:t>
      </w:r>
      <w:r>
        <w:t>доля правильных предсказаний</w:t>
      </w:r>
    </w:p>
    <w:p>
      <w:pPr>
        <w:pStyle w:val="ListBullet"/>
      </w:pPr>
      <w:r>
        <w:rPr>
          <w:b/>
        </w:rPr>
        <w:t xml:space="preserve">Precision: </w:t>
      </w:r>
      <w:r>
        <w:t>доля истинных подделок среди предсказанных подделок</w:t>
      </w:r>
    </w:p>
    <w:p>
      <w:pPr>
        <w:pStyle w:val="ListBullet"/>
      </w:pPr>
      <w:r>
        <w:rPr>
          <w:b/>
        </w:rPr>
        <w:t xml:space="preserve">Recall: </w:t>
      </w:r>
      <w:r>
        <w:t>доля найденных подделок от всех реальных подделок; особенно важна для задачи безопасности</w:t>
      </w:r>
    </w:p>
    <w:p>
      <w:pPr>
        <w:pStyle w:val="ListBullet"/>
      </w:pPr>
      <w:r>
        <w:rPr>
          <w:b/>
        </w:rPr>
        <w:t xml:space="preserve">F1-score: </w:t>
      </w:r>
      <w:r>
        <w:t>гармоническое среднее precision и recall</w:t>
      </w:r>
    </w:p>
    <w:p>
      <w:pPr>
        <w:pStyle w:val="ListBullet"/>
      </w:pPr>
      <w:r>
        <w:rPr>
          <w:b/>
        </w:rPr>
        <w:t xml:space="preserve">Confusion Matrix: </w:t>
      </w:r>
      <w:r>
        <w:t>матрица ошибок для анализа типов ошибок (TP, FN, FP, TN)</w:t>
      </w:r>
    </w:p>
    <w:p>
      <w:r>
        <w:br w:type="page"/>
      </w:r>
    </w:p>
    <w:p>
      <w:pPr>
        <w:pStyle w:val="Heading1"/>
      </w:pPr>
      <w:r>
        <w:t>4. Эксперимент и результаты</w:t>
      </w:r>
    </w:p>
    <w:p>
      <w:pPr>
        <w:pStyle w:val="Heading2"/>
      </w:pPr>
      <w:r>
        <w:t>4.1 Гиперпараметры обучения</w:t>
      </w:r>
    </w:p>
    <w:p>
      <w:r>
        <w:t w:space="preserve">Таблица 2. Итоговые метрики на тестовой выборке</w:t>
      </w:r>
    </w:p>
    <w:tbl>
      <w:tblPr>
        <w:tblStyle w:val="LightGrid-Accent1"/>
        <w:tblW w:type="auto" w:w="0"/>
        <w:tblLook w:firstColumn="1" w:firstRow="1" w:lastColumn="0" w:lastRow="0" w:noHBand="0" w:noVBand="1" w:val="04A0"/>
      </w:tblPr>
      <w:tblGrid>
        <w:gridCol w:w="4320"/>
        <w:gridCol w:w="4320"/>
      </w:tblGrid>
      <w:tr>
        <w:tc>
          <w:tcPr>
            <w:tcW w:type="dxa" w:w="4320"/>
          </w:tcPr>
          <w:p>
            <w:r>
              <w:t>Параметр</w:t>
            </w:r>
          </w:p>
        </w:tc>
        <w:tc>
          <w:tcPr>
            <w:tcW w:type="dxa" w:w="4320"/>
          </w:tcPr>
          <w:p>
            <w:r>
              <w:t>Значение</w:t>
            </w:r>
          </w:p>
        </w:tc>
      </w:tr>
      <w:tr>
        <w:tc>
          <w:tcPr>
            <w:tcW w:type="dxa" w:w="4320"/>
          </w:tcPr>
          <w:p>
            <w:r>
              <w:t>Размер изображения</w:t>
            </w:r>
          </w:p>
        </w:tc>
        <w:tc>
          <w:tcPr>
            <w:tcW w:type="dxa" w:w="4320"/>
          </w:tcPr>
          <w:p>
            <w:r>
              <w:t>224×224 px</w:t>
            </w:r>
          </w:p>
        </w:tc>
      </w:tr>
      <w:tr>
        <w:tc>
          <w:tcPr>
            <w:tcW w:type="dxa" w:w="4320"/>
          </w:tcPr>
          <w:p>
            <w:r>
              <w:t>Batch size</w:t>
            </w:r>
          </w:p>
        </w:tc>
        <w:tc>
          <w:tcPr>
            <w:tcW w:type="dxa" w:w="4320"/>
          </w:tcPr>
          <w:p>
            <w:r>
              <w:t>32</w:t>
            </w:r>
          </w:p>
        </w:tc>
      </w:tr>
      <w:tr>
        <w:tc>
          <w:tcPr>
            <w:tcW w:type="dxa" w:w="4320"/>
          </w:tcPr>
          <w:p>
            <w:r>
              <w:t>Этап 1: эпохи</w:t>
            </w:r>
          </w:p>
        </w:tc>
        <w:tc>
          <w:tcPr>
            <w:tcW w:type="dxa" w:w="4320"/>
          </w:tcPr>
          <w:p>
            <w:r>
              <w:t>5</w:t>
            </w:r>
          </w:p>
        </w:tc>
      </w:tr>
      <w:tr>
        <w:tc>
          <w:tcPr>
            <w:tcW w:type="dxa" w:w="4320"/>
          </w:tcPr>
          <w:p>
            <w:r>
              <w:t>Этап 1: learning rate</w:t>
            </w:r>
          </w:p>
        </w:tc>
        <w:tc>
          <w:tcPr>
            <w:tcW w:type="dxa" w:w="4320"/>
          </w:tcPr>
          <w:p>
            <w:r>
              <w:t>1e-3</w:t>
            </w:r>
          </w:p>
        </w:tc>
      </w:tr>
      <w:tr>
        <w:tc>
          <w:tcPr>
            <w:tcW w:type="dxa" w:w="4320"/>
          </w:tcPr>
          <w:p>
            <w:r>
              <w:t>Этап 2: эпохи</w:t>
            </w:r>
          </w:p>
        </w:tc>
        <w:tc>
          <w:tcPr>
            <w:tcW w:type="dxa" w:w="4320"/>
          </w:tcPr>
          <w:p>
            <w:r>
              <w:t>3</w:t>
            </w:r>
          </w:p>
        </w:tc>
      </w:tr>
      <w:tr>
        <w:tc>
          <w:tcPr>
            <w:tcW w:type="dxa" w:w="4320"/>
          </w:tcPr>
          <w:p>
            <w:r>
              <w:t>Этап 2: learning rate</w:t>
            </w:r>
          </w:p>
        </w:tc>
        <w:tc>
          <w:tcPr>
            <w:tcW w:type="dxa" w:w="4320"/>
          </w:tcPr>
          <w:p>
            <w:r>
              <w:t>1e-5</w:t>
            </w:r>
          </w:p>
        </w:tc>
      </w:tr>
    </w:tbl>
    <w:p>
      <w:pPr>
        <w:pStyle w:val="Heading2"/>
      </w:pPr>
      <w:r>
        <w:t>4.2 Итоговые метрики на тестовой выборке</w:t>
      </w:r>
    </w:p>
    <w:p>
      <w:r>
        <w:t w:space="preserve">Таблица 3. Confusion Matrix (матрица ошибок)</w:t>
      </w:r>
    </w:p>
    <w:tbl>
      <w:tblPr>
        <w:tblStyle w:val="LightGrid-Accent1"/>
        <w:tblW w:type="auto" w:w="0"/>
        <w:tblLook w:firstColumn="1" w:firstRow="1" w:lastColumn="0" w:lastRow="0" w:noHBand="0" w:noVBand="1" w:val="04A0"/>
      </w:tblPr>
      <w:tblGrid>
        <w:gridCol w:w="4320"/>
        <w:gridCol w:w="4320"/>
      </w:tblGrid>
      <w:tr>
        <w:tc>
          <w:tcPr>
            <w:tcW w:type="dxa" w:w="4320"/>
          </w:tcPr>
          <w:p>
            <w:r>
              <w:t>Метрика</w:t>
            </w:r>
          </w:p>
        </w:tc>
        <w:tc>
          <w:tcPr>
            <w:tcW w:type="dxa" w:w="4320"/>
          </w:tcPr>
          <w:p>
            <w:r>
              <w:t>Значение</w:t>
            </w:r>
          </w:p>
        </w:tc>
      </w:tr>
      <w:tr>
        <w:tc>
          <w:tcPr>
            <w:tcW w:type="dxa" w:w="4320"/>
          </w:tcPr>
          <w:p>
            <w:r>
              <w:t>Loss</w:t>
            </w:r>
          </w:p>
        </w:tc>
        <w:tc>
          <w:tcPr>
            <w:tcW w:type="dxa" w:w="4320"/>
          </w:tcPr>
          <w:p>
            <w:r>
              <w:t>0.2121</w:t>
            </w:r>
          </w:p>
        </w:tc>
      </w:tr>
      <w:tr>
        <w:tc>
          <w:tcPr>
            <w:tcW w:type="dxa" w:w="4320"/>
          </w:tcPr>
          <w:p>
            <w:r>
              <w:t>Accuracy</w:t>
            </w:r>
          </w:p>
        </w:tc>
        <w:tc>
          <w:tcPr>
            <w:tcW w:type="dxa" w:w="4320"/>
          </w:tcPr>
          <w:p>
            <w:r>
              <w:t>0.914 (91.4%)</w:t>
            </w:r>
          </w:p>
        </w:tc>
      </w:tr>
      <w:tr>
        <w:tc>
          <w:tcPr>
            <w:tcW w:type="dxa" w:w="4320"/>
          </w:tcPr>
          <w:p>
            <w:r>
              <w:t>Precision (fake)</w:t>
            </w:r>
          </w:p>
        </w:tc>
        <w:tc>
          <w:tcPr>
            <w:tcW w:type="dxa" w:w="4320"/>
          </w:tcPr>
          <w:p>
            <w:r>
              <w:t>0.925 (92.5%)</w:t>
            </w:r>
          </w:p>
        </w:tc>
      </w:tr>
      <w:tr>
        <w:tc>
          <w:tcPr>
            <w:tcW w:type="dxa" w:w="4320"/>
          </w:tcPr>
          <w:p>
            <w:r>
              <w:t>Recall (fake)</w:t>
            </w:r>
          </w:p>
        </w:tc>
        <w:tc>
          <w:tcPr>
            <w:tcW w:type="dxa" w:w="4320"/>
          </w:tcPr>
          <w:p>
            <w:r>
              <w:t>0.899 (89.9%)</w:t>
            </w:r>
          </w:p>
        </w:tc>
      </w:tr>
      <w:tr>
        <w:tc>
          <w:tcPr>
            <w:tcW w:type="dxa" w:w="4320"/>
          </w:tcPr>
          <w:p>
            <w:r>
              <w:t>F1-score (fake)</w:t>
            </w:r>
          </w:p>
        </w:tc>
        <w:tc>
          <w:tcPr>
            <w:tcW w:type="dxa" w:w="4320"/>
          </w:tcPr>
          <w:p>
            <w:r>
              <w:t>0.912 (91.2%)</w:t>
            </w:r>
          </w:p>
        </w:tc>
      </w:tr>
    </w:tbl>
    <w:p>
      <w:pPr>
        <w:pStyle w:val="Heading2"/>
      </w:pPr>
      <w:r>
        <w:t>4.3 Анализ матрицы ошибок</w:t>
      </w:r>
    </w:p>
    <w:p>
      <w:r>
        <w:t>На тестовой выборке из 500 примеров получены следующие результаты (при пороге принятия решения = 0.5):</w:t>
      </w:r>
    </w:p>
    <w:p>
      <w:r>
        <w:t w:space="preserve">Таблица 4. Метрики качества по классам</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Предсказано: Real</w:t>
            </w:r>
          </w:p>
        </w:tc>
        <w:tc>
          <w:tcPr>
            <w:tcW w:type="dxa" w:w="2880"/>
          </w:tcPr>
          <w:p>
            <w:r>
              <w:t>Предсказано: Fake</w:t>
            </w:r>
          </w:p>
        </w:tc>
      </w:tr>
      <w:tr>
        <w:tc>
          <w:tcPr>
            <w:tcW w:type="dxa" w:w="2880"/>
          </w:tcPr>
          <w:p>
            <w:r>
              <w:t>Реально: Real</w:t>
            </w:r>
          </w:p>
        </w:tc>
        <w:tc>
          <w:tcPr>
            <w:tcW w:type="dxa" w:w="2880"/>
          </w:tcPr>
          <w:p>
            <w:r>
              <w:t>234 (TN)</w:t>
            </w:r>
          </w:p>
        </w:tc>
        <w:tc>
          <w:tcPr>
            <w:tcW w:type="dxa" w:w="2880"/>
          </w:tcPr>
          <w:p>
            <w:r>
              <w:t>18 (FP)</w:t>
            </w:r>
          </w:p>
        </w:tc>
      </w:tr>
      <w:tr>
        <w:tc>
          <w:tcPr>
            <w:tcW w:type="dxa" w:w="2880"/>
          </w:tcPr>
          <w:p>
            <w:r>
              <w:t>Реально: Fake</w:t>
            </w:r>
          </w:p>
        </w:tc>
        <w:tc>
          <w:tcPr>
            <w:tcW w:type="dxa" w:w="2880"/>
          </w:tcPr>
          <w:p>
            <w:r>
              <w:t>25 (FN)</w:t>
            </w:r>
          </w:p>
        </w:tc>
        <w:tc>
          <w:tcPr>
            <w:tcW w:type="dxa" w:w="2880"/>
          </w:tcPr>
          <w:p>
            <w:r>
              <w:t>223 (TP)</w:t>
            </w:r>
          </w:p>
        </w:tc>
      </w:tr>
    </w:tbl>
    <w:p>
      <w:r>
        <w:br/>
        <w:t>Интерпретация:</w:t>
      </w:r>
    </w:p>
    <w:p>
      <w:pPr>
        <w:pStyle w:val="ListBullet"/>
      </w:pPr>
      <w:r>
        <w:rPr>
          <w:b/>
        </w:rPr>
        <w:t>TP = 223</w:t>
      </w:r>
      <w:r>
        <w:t>: верно найдено подделок — основной успех модели</w:t>
      </w:r>
    </w:p>
    <w:p>
      <w:pPr>
        <w:pStyle w:val="ListBullet"/>
      </w:pPr>
      <w:r>
        <w:rPr>
          <w:b/>
        </w:rPr>
        <w:t>FN = 25</w:t>
      </w:r>
      <w:r>
        <w:t>: пропущено подделок — представляет риск для системы безопасности</w:t>
      </w:r>
    </w:p>
    <w:p>
      <w:pPr>
        <w:pStyle w:val="ListBullet"/>
      </w:pPr>
      <w:r>
        <w:rPr>
          <w:b/>
        </w:rPr>
        <w:t>FP = 18</w:t>
      </w:r>
      <w:r>
        <w:t>: ложные тревоги (подлинные классифицированы как поддельные) — раздражают пользователей, но менее опасны</w:t>
      </w:r>
    </w:p>
    <w:p>
      <w:pPr>
        <w:pStyle w:val="ListBullet"/>
      </w:pPr>
      <w:r>
        <w:rPr>
          <w:b/>
        </w:rPr>
        <w:t>TN = 234</w:t>
      </w:r>
      <w:r>
        <w:t>: верно отклонено подлинных подписей</w:t>
      </w:r>
    </w:p>
    <w:p>
      <w:r>
        <w:br/>
        <w:t>Основное наблюдение: recall (89.9%) слегка ниже precision (92.5%), что означает, что модель чаще пропускает небольшую часть подделок (25 из 248), чем даёт ложные срабатывания. Для критичного приложения можно снизить порог решения (например, до 0.4–0.45) для увеличения recall, понимая, что произойдёт небольшой рост ложных тревог.</w:t>
      </w:r>
    </w:p>
    <w:p>
      <w:pPr>
        <w:pStyle w:val="Heading2"/>
      </w:pPr>
      <w:r>
        <w:t>4.4 Качественный анализ ошибок</w:t>
      </w:r>
    </w:p>
    <w:p>
      <w:r>
        <w:t>Изучение ошибочных предсказаний показало следующие причины:</w:t>
      </w:r>
    </w:p>
    <w:p>
      <w:pPr>
        <w:pStyle w:val="ListBullet"/>
      </w:pPr>
      <w:r>
        <w:rPr>
          <w:b/>
        </w:rPr>
        <w:t>Пропущенные подделки (FN)</w:t>
      </w:r>
      <w:r>
        <w:t>: часто имеют высокое качество печати, минимальные видимые артефакты на доступном разрешении, хороший контраст и четкие edges. Модель путает их с подлинными, так как их признаки близки к настоящим подписям.</w:t>
      </w:r>
    </w:p>
    <w:p>
      <w:pPr>
        <w:pStyle w:val="ListBullet"/>
      </w:pPr>
      <w:r>
        <w:rPr>
          <w:b/>
        </w:rPr>
        <w:t>Ложные тревоги (FP)</w:t>
      </w:r>
      <w:r>
        <w:t>: возникают при нестандартных условиях съёмки (плохое освещение, сильное сжатие, неоднородный фон), что может провоцировать артефакты, похожие на признаки подделки.</w:t>
      </w:r>
    </w:p>
    <w:p>
      <w:r>
        <w:br w:type="page"/>
      </w:r>
    </w:p>
    <w:p>
      <w:pPr>
        <w:pStyle w:val="Heading1"/>
      </w:pPr>
      <w:r>
        <w:t>5. Выводы и рекомендации</w:t>
      </w:r>
    </w:p>
    <w:p>
      <w:r>
        <w:t>В рамках работы успешно построена модель на базе ResNet50 для бинарной классификации подписей (подлинные vs поддельные) с использованием transfer learning и двухэтапного обучения.</w:t>
      </w:r>
    </w:p>
    <w:p>
      <w:pPr>
        <w:pStyle w:val="Heading2"/>
      </w:pPr>
      <w:r>
        <w:t>Ключевые результаты:</w:t>
      </w:r>
    </w:p>
    <w:p>
      <w:pPr>
        <w:pStyle w:val="ListBullet"/>
      </w:pPr>
      <w:r>
        <w:t>Достигнута точность 91.4% на тестовой выборке</w:t>
      </w:r>
    </w:p>
    <w:p>
      <w:pPr>
        <w:pStyle w:val="ListBullet"/>
      </w:pPr>
      <w:r>
        <w:t>Recall для класса "fake" составляет 89.9%, что демонстрирует хорошую способность к выявлению подделок</w:t>
      </w:r>
    </w:p>
    <w:p>
      <w:pPr>
        <w:pStyle w:val="ListBullet"/>
      </w:pPr>
      <w:r>
        <w:t>Precision 92.5% показывает, что большинство предсказанных подделок действительно являются поддельными</w:t>
      </w:r>
    </w:p>
    <w:p>
      <w:pPr>
        <w:pStyle w:val="ListBullet"/>
      </w:pPr>
      <w:r>
        <w:t>Модель выучила релевантные признаки (видно из Grad-CAM): фокусируется на локальных области подписи, а не на фоне</w:t>
      </w:r>
    </w:p>
    <w:p>
      <w:pPr>
        <w:pStyle w:val="Heading2"/>
      </w:pPr>
      <w:r>
        <w:t>Почему ResNet50 и transfer learning эффективны:</w:t>
      </w:r>
    </w:p>
    <w:p>
      <w:pPr>
        <w:pStyle w:val="ListBullet"/>
      </w:pPr>
      <w:r>
        <w:t>Предобученные веса на ImageNet уже содержат общие визуальные признаки (текстуры, формы, края), которые хорошо переносятся на новую задачу</w:t>
      </w:r>
    </w:p>
    <w:p>
      <w:pPr>
        <w:pStyle w:val="ListBullet"/>
      </w:pPr>
      <w:r>
        <w:t>Глубина сети (50 слоёв) с остаточными связями позволяет эффективно извлекать признаки на разных уровнях абстракции, необходимых для выявления мелких артефактов подделок</w:t>
      </w:r>
    </w:p>
    <w:p>
      <w:pPr>
        <w:pStyle w:val="ListBullet"/>
      </w:pPr>
      <w:r>
        <w:t>Двухэтапное обучение (заморозка + fine-tuning) предотвращает переобучение на ограниченном датасете и позволяет адаптировать общие признаки под специфику задачи</w:t>
      </w:r>
    </w:p>
    <w:p>
      <w:pPr>
        <w:pStyle w:val="Heading2"/>
      </w:pPr>
      <w:r>
        <w:t>Практические рекомендации:</w:t>
      </w:r>
    </w:p>
    <w:p>
      <w:pPr>
        <w:pStyle w:val="ListNumber"/>
      </w:pPr>
      <w:r>
        <w:t>Для приложений, где критичнее не пропустить подделку (банки, государственные учреждения), можно снизить порог решения до 0.4–0.45, чтобы повысить recall за счёт небольшого роста ложных тревог</w:t>
      </w:r>
    </w:p>
    <w:p>
      <w:pPr>
        <w:pStyle w:val="ListNumber"/>
      </w:pPr>
      <w:r>
        <w:t>Для системы с низкой толерантностью к ложным срабатываниям (массовое использование, высокий трафик) можно оставить порог на уровне 0.5 и внедрить двухуровневую проверку (первый уровень — быстрая автоматическая классификация, второй — ручная проверка сомнительных случаев)</w:t>
      </w:r>
    </w:p>
    <w:p>
      <w:pPr>
        <w:pStyle w:val="ListNumber"/>
      </w:pPr>
      <w:r>
        <w:t>Можно улучшить датасет, собрав больше примеров высококачественных подделок, чтобы модель лучше их распознавала</w:t>
      </w:r>
    </w:p>
    <w:p>
      <w:pPr>
        <w:pStyle w:val="ListNumber"/>
      </w:pPr>
      <w:r>
        <w:t>Рассмотреть ансамбли моделей (например, ResNet50 + EfficientNet) для повешения надёжности</w:t>
      </w:r>
    </w:p>
    <w:p>
      <w:pPr>
        <w:pStyle w:val="Heading2"/>
      </w:pPr>
      <w:r>
        <w:t>Заключение:</w:t>
      </w:r>
    </w:p>
    <w:p>
      <w:r>
        <w:t>Работа демонстрирует практическую применимость CNN и transfer learning для задач классификации изображений с ограниченным датасетом. Достигнутый уровень точности (91.4%) достаточен для использования в системах первичного скрининга подделок, с понимаем что критичные решения требуют дополнительной ручной проверки.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