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B52"/>
          <w:sz w:val="52"/>
          <w:szCs w:val="52"/>
        </w:rPr>
        <w:t xml:space="preserve">Nestly</w:t>
      </w:r>
      <w:r>
        <w:rPr>
          <w:rFonts w:ascii="Calibri" w:cs="Calibri" w:eastAsia="Calibri" w:hAnsi="Calibri"/>
          <w:color w:val="0D9488"/>
          <w:sz w:val="52"/>
          <w:szCs w:val="52"/>
        </w:rPr>
        <w:t xml:space="preserve">  growth plan</w:t>
      </w:r>
    </w:p>
    <w:p>
      <w:pPr>
        <w:spacing w:after="260"/>
      </w:pPr>
      <w:r>
        <w:rPr>
          <w:rFonts w:ascii="Calibri" w:cs="Calibri" w:eastAsia="Calibri" w:hAnsi="Calibri"/>
          <w:i/>
          <w:iCs/>
          <w:color w:val="78716C"/>
          <w:sz w:val="21"/>
          <w:szCs w:val="21"/>
        </w:rPr>
        <w:t xml:space="preserve">Advertising, the management loop, and the global free/paid rollout. Version 2, 19 July 2026. Supersedes the advertising plan of the same day.</w:t>
      </w:r>
    </w:p>
    <w:p>
      <w:pPr>
        <w:pStyle w:val="Heading1"/>
        <w:spacing w:after="140" w:before="320"/>
      </w:pPr>
      <w:r>
        <w:rPr>
          <w:rFonts w:ascii="Calibri" w:cs="Calibri" w:eastAsia="Calibri" w:hAnsi="Calibri"/>
          <w:b/>
          <w:bCs/>
          <w:color w:val="1B2B52"/>
          <w:sz w:val="30"/>
          <w:szCs w:val="30"/>
        </w:rPr>
        <w:t xml:space="preserve">1. The advertising management loop (built)</w:t>
      </w:r>
    </w:p>
    <w:p>
      <w:pPr>
        <w:spacing w:after="160" w:line="300"/>
      </w:pPr>
      <w:r>
        <w:rPr>
          <w:rFonts w:ascii="Calibri" w:cs="Calibri" w:eastAsia="Calibri" w:hAnsi="Calibri"/>
          <w:color w:val="292524"/>
          <w:sz w:val="22"/>
          <w:szCs w:val="22"/>
        </w:rPr>
        <w:t xml:space="preserve">Every campaign now runs through a closed loop you control from </w:t>
      </w:r>
      <w:r>
        <w:rPr>
          <w:rFonts w:ascii="Calibri" w:cs="Calibri" w:eastAsia="Calibri" w:hAnsi="Calibri"/>
          <w:b/>
          <w:bCs/>
          <w:color w:val="292524"/>
          <w:sz w:val="22"/>
          <w:szCs w:val="22"/>
        </w:rPr>
        <w:t xml:space="preserve">nestlyapp.co/admin, Marketing tab</w:t>
      </w:r>
      <w:r>
        <w:rPr>
          <w:rFonts w:ascii="Calibri" w:cs="Calibri" w:eastAsia="Calibri" w:hAnsi="Calibri"/>
          <w:color w:val="292524"/>
          <w:sz w:val="22"/>
          <w:szCs w:val="22"/>
        </w:rPr>
        <w:t xml:space="preserve"> (visible only to you: platform admin plus two factor). The loop:</w:t>
      </w:r>
    </w:p>
    <w:p>
      <w:pPr>
        <w:pStyle w:val="ListParagraph"/>
        <w:numPr>
          <w:ilvl w:val="0"/>
          <w:numId w:val="2"/>
        </w:numPr>
        <w:spacing w:after="100" w:line="290"/>
      </w:pPr>
      <w:r>
        <w:rPr>
          <w:rFonts w:ascii="Calibri" w:cs="Calibri" w:eastAsia="Calibri" w:hAnsi="Calibri"/>
          <w:b/>
          <w:bCs/>
          <w:color w:val="292524"/>
          <w:sz w:val="22"/>
          <w:szCs w:val="22"/>
        </w:rPr>
        <w:t xml:space="preserve">Create the campaign in admin. </w:t>
      </w:r>
      <w:r>
        <w:rPr>
          <w:rFonts w:ascii="Calibri" w:cs="Calibri" w:eastAsia="Calibri" w:hAnsi="Calibri"/>
          <w:color w:val="292524"/>
          <w:sz w:val="22"/>
          <w:szCs w:val="22"/>
        </w:rPr>
        <w:t xml:space="preserve">Name, channel, budget. Nestly builds the tagged link for you, for example nestlyapp.co/tour?utm_source=meta&amp;utm_campaign=reels-july.</w:t>
      </w:r>
    </w:p>
    <w:p>
      <w:pPr>
        <w:pStyle w:val="ListParagraph"/>
        <w:numPr>
          <w:ilvl w:val="0"/>
          <w:numId w:val="2"/>
        </w:numPr>
        <w:spacing w:after="100" w:line="290"/>
      </w:pPr>
      <w:r>
        <w:rPr>
          <w:rFonts w:ascii="Calibri" w:cs="Calibri" w:eastAsia="Calibri" w:hAnsi="Calibri"/>
          <w:b/>
          <w:bCs/>
          <w:color w:val="292524"/>
          <w:sz w:val="22"/>
          <w:szCs w:val="22"/>
        </w:rPr>
        <w:t xml:space="preserve">Use that exact link in the ad or post. </w:t>
      </w:r>
      <w:r>
        <w:rPr>
          <w:rFonts w:ascii="Calibri" w:cs="Calibri" w:eastAsia="Calibri" w:hAnsi="Calibri"/>
          <w:color w:val="292524"/>
          <w:sz w:val="22"/>
          <w:szCs w:val="22"/>
        </w:rPr>
        <w:t xml:space="preserve">That is the only discipline required: one campaign, one link.</w:t>
      </w:r>
    </w:p>
    <w:p>
      <w:pPr>
        <w:pStyle w:val="ListParagraph"/>
        <w:numPr>
          <w:ilvl w:val="0"/>
          <w:numId w:val="2"/>
        </w:numPr>
        <w:spacing w:after="100" w:line="290"/>
      </w:pPr>
      <w:r>
        <w:rPr>
          <w:rFonts w:ascii="Calibri" w:cs="Calibri" w:eastAsia="Calibri" w:hAnsi="Calibri"/>
          <w:b/>
          <w:bCs/>
          <w:color w:val="292524"/>
          <w:sz w:val="22"/>
          <w:szCs w:val="22"/>
        </w:rPr>
        <w:t xml:space="preserve">Nestly measures every step. </w:t>
      </w:r>
      <w:r>
        <w:rPr>
          <w:rFonts w:ascii="Calibri" w:cs="Calibri" w:eastAsia="Calibri" w:hAnsi="Calibri"/>
          <w:color w:val="292524"/>
          <w:sz w:val="22"/>
          <w:szCs w:val="22"/>
        </w:rPr>
        <w:t xml:space="preserve">The tour and landing pages record the visit. A first party cookie remembers where the visitor came from for 30 days. If they sign up, the signup is credited to the campaign, even days later.</w:t>
      </w:r>
    </w:p>
    <w:p>
      <w:pPr>
        <w:pStyle w:val="ListParagraph"/>
        <w:numPr>
          <w:ilvl w:val="0"/>
          <w:numId w:val="2"/>
        </w:numPr>
        <w:spacing w:after="100" w:line="290"/>
      </w:pPr>
      <w:r>
        <w:rPr>
          <w:rFonts w:ascii="Calibri" w:cs="Calibri" w:eastAsia="Calibri" w:hAnsi="Calibri"/>
          <w:b/>
          <w:bCs/>
          <w:color w:val="292524"/>
          <w:sz w:val="22"/>
          <w:szCs w:val="22"/>
        </w:rPr>
        <w:t xml:space="preserve">The dashboard shows the funnel per campaign: </w:t>
      </w:r>
      <w:r>
        <w:rPr>
          <w:rFonts w:ascii="Calibri" w:cs="Calibri" w:eastAsia="Calibri" w:hAnsi="Calibri"/>
          <w:color w:val="292524"/>
          <w:sz w:val="22"/>
          <w:szCs w:val="22"/>
        </w:rPr>
        <w:t xml:space="preserve">visits, unique visitors, signups (30 days and all time), visit to signup rate, activated households (invited someone or connected an account), premium conversions, and dollars per signup against the budget you entered.</w:t>
      </w:r>
    </w:p>
    <w:p>
      <w:pPr>
        <w:pStyle w:val="ListParagraph"/>
        <w:numPr>
          <w:ilvl w:val="0"/>
          <w:numId w:val="2"/>
        </w:numPr>
        <w:spacing w:after="100" w:line="290"/>
      </w:pPr>
      <w:r>
        <w:rPr>
          <w:rFonts w:ascii="Calibri" w:cs="Calibri" w:eastAsia="Calibri" w:hAnsi="Calibri"/>
          <w:b/>
          <w:bCs/>
          <w:color w:val="292524"/>
          <w:sz w:val="22"/>
          <w:szCs w:val="22"/>
        </w:rPr>
        <w:t xml:space="preserve">Decide with numbers. </w:t>
      </w:r>
      <w:r>
        <w:rPr>
          <w:rFonts w:ascii="Calibri" w:cs="Calibri" w:eastAsia="Calibri" w:hAnsi="Calibri"/>
          <w:color w:val="292524"/>
          <w:sz w:val="22"/>
          <w:szCs w:val="22"/>
        </w:rPr>
        <w:t xml:space="preserve">Pause what runs above $8 a signup, put the money on what runs below. The organic row shows everything untagged so paid is always compared against free.</w:t>
      </w:r>
    </w:p>
    <w:p>
      <w:pPr>
        <w:spacing w:after="160" w:line="300"/>
      </w:pPr>
      <w:r>
        <w:rPr>
          <w:rFonts w:ascii="Calibri" w:cs="Calibri" w:eastAsia="Calibri" w:hAnsi="Calibri"/>
          <w:color w:val="292524"/>
          <w:sz w:val="22"/>
          <w:szCs w:val="22"/>
        </w:rPr>
        <w:t xml:space="preserve">Privacy stays clean: first party only, no Meta pixel needed for this loop (add one later purely to help Meta optimise), IP addresses stored only as salted hashes.</w:t>
      </w:r>
    </w:p>
    <w:p>
      <w:pPr>
        <w:pStyle w:val="Heading1"/>
        <w:spacing w:after="140" w:before="320"/>
      </w:pPr>
      <w:r>
        <w:rPr>
          <w:rFonts w:ascii="Calibri" w:cs="Calibri" w:eastAsia="Calibri" w:hAnsi="Calibri"/>
          <w:b/>
          <w:bCs/>
          <w:color w:val="1B2B52"/>
          <w:sz w:val="30"/>
          <w:szCs w:val="30"/>
        </w:rPr>
        <w:t xml:space="preserve">2. Free tier and paid tier (your decisions, turned into a design)</w:t>
      </w:r>
    </w:p>
    <w:p>
      <w:pPr>
        <w:spacing w:after="100" w:before="200"/>
      </w:pPr>
      <w:r>
        <w:rPr>
          <w:rFonts w:ascii="Calibri" w:cs="Calibri" w:eastAsia="Calibri" w:hAnsi="Calibri"/>
          <w:b/>
          <w:bCs/>
          <w:color w:val="0D9488"/>
          <w:sz w:val="24"/>
          <w:szCs w:val="24"/>
        </w:rPr>
        <w:t xml:space="preserve">The shape: reverse trial, no credit card, ever, at signup</w:t>
      </w:r>
    </w:p>
    <w:p>
      <w:pPr>
        <w:spacing w:after="160" w:line="300"/>
      </w:pPr>
      <w:r>
        <w:rPr>
          <w:rFonts w:ascii="Calibri" w:cs="Calibri" w:eastAsia="Calibri" w:hAnsi="Calibri"/>
          <w:color w:val="292524"/>
          <w:sz w:val="22"/>
          <w:szCs w:val="22"/>
        </w:rPr>
        <w:t xml:space="preserve">Every new household gets the </w:t>
      </w:r>
      <w:r>
        <w:rPr>
          <w:rFonts w:ascii="Calibri" w:cs="Calibri" w:eastAsia="Calibri" w:hAnsi="Calibri"/>
          <w:b/>
          <w:bCs/>
          <w:color w:val="292524"/>
          <w:sz w:val="22"/>
          <w:szCs w:val="22"/>
        </w:rPr>
        <w:t xml:space="preserve">full product for 30 days</w:t>
      </w:r>
      <w:r>
        <w:rPr>
          <w:rFonts w:ascii="Calibri" w:cs="Calibri" w:eastAsia="Calibri" w:hAnsi="Calibri"/>
          <w:color w:val="292524"/>
          <w:sz w:val="22"/>
          <w:szCs w:val="22"/>
        </w:rPr>
        <w:t xml:space="preserve">, no card, no interruption. Email address and a password is all signup asks. When the trial ends nothing is deleted and nothing breaks: the household lands on the free tier with all data intact, and the app simply shows what premium would add back. The 2026 subscription benchmarks favour exactly this: long trials of 17 to 32 days convert around 42.5%, the best of any pattern.</w:t>
      </w:r>
    </w:p>
    <w:p>
      <w:pPr>
        <w:spacing w:after="100" w:before="200"/>
      </w:pPr>
      <w:r>
        <w:rPr>
          <w:rFonts w:ascii="Calibri" w:cs="Calibri" w:eastAsia="Calibri" w:hAnsi="Calibri"/>
          <w:b/>
          <w:bCs/>
          <w:color w:val="0D9488"/>
          <w:sz w:val="24"/>
          <w:szCs w:val="24"/>
        </w:rPr>
        <w:t xml:space="preserve">Free forever</w:t>
      </w:r>
    </w:p>
    <w:p>
      <w:pPr>
        <w:pStyle w:val="ListParagraph"/>
        <w:numPr>
          <w:ilvl w:val="0"/>
          <w:numId w:val="2"/>
        </w:numPr>
        <w:spacing w:after="100" w:line="290"/>
      </w:pPr>
      <w:r>
        <w:rPr>
          <w:rFonts w:ascii="Calibri" w:cs="Calibri" w:eastAsia="Calibri" w:hAnsi="Calibri"/>
          <w:color w:val="292524"/>
          <w:sz w:val="22"/>
          <w:szCs w:val="22"/>
        </w:rPr>
        <w:t xml:space="preserve">All modules present: finance with CSV import and manual entry, meal planner, shopping lists, planner, chat, one photo album, documents.</w:t>
      </w:r>
    </w:p>
    <w:p>
      <w:pPr>
        <w:pStyle w:val="ListParagraph"/>
        <w:numPr>
          <w:ilvl w:val="0"/>
          <w:numId w:val="2"/>
        </w:numPr>
        <w:spacing w:after="100" w:line="290"/>
      </w:pPr>
      <w:r>
        <w:rPr>
          <w:rFonts w:ascii="Calibri" w:cs="Calibri" w:eastAsia="Calibri" w:hAnsi="Calibri"/>
          <w:color w:val="292524"/>
          <w:sz w:val="22"/>
          <w:szCs w:val="22"/>
        </w:rPr>
        <w:t xml:space="preserve">Enough to run a family week in, week out, and enough to feel what is missing.</w:t>
      </w:r>
    </w:p>
    <w:p>
      <w:pPr>
        <w:spacing w:after="100" w:before="200"/>
      </w:pPr>
      <w:r>
        <w:rPr>
          <w:rFonts w:ascii="Calibri" w:cs="Calibri" w:eastAsia="Calibri" w:hAnsi="Calibri"/>
          <w:b/>
          <w:bCs/>
          <w:color w:val="0D9488"/>
          <w:sz w:val="24"/>
          <w:szCs w:val="24"/>
        </w:rPr>
        <w:t xml:space="preserve">Premium (one household price)</w:t>
      </w:r>
    </w:p>
    <w:p>
      <w:pPr>
        <w:pStyle w:val="ListParagraph"/>
        <w:numPr>
          <w:ilvl w:val="0"/>
          <w:numId w:val="2"/>
        </w:numPr>
        <w:spacing w:after="100" w:line="290"/>
      </w:pPr>
      <w:r>
        <w:rPr>
          <w:rFonts w:ascii="Calibri" w:cs="Calibri" w:eastAsia="Calibri" w:hAnsi="Calibri"/>
          <w:b/>
          <w:bCs/>
          <w:color w:val="292524"/>
          <w:sz w:val="22"/>
          <w:szCs w:val="22"/>
        </w:rPr>
        <w:t xml:space="preserve">Live bank feeds. </w:t>
      </w:r>
      <w:r>
        <w:rPr>
          <w:rFonts w:ascii="Calibri" w:cs="Calibri" w:eastAsia="Calibri" w:hAnsi="Calibri"/>
          <w:color w:val="292524"/>
          <w:sz w:val="22"/>
          <w:szCs w:val="22"/>
        </w:rPr>
        <w:t xml:space="preserve">Automatic sync is the hero feature and it costs you per connection, so it belongs behind the price.</w:t>
      </w:r>
    </w:p>
    <w:p>
      <w:pPr>
        <w:pStyle w:val="ListParagraph"/>
        <w:numPr>
          <w:ilvl w:val="0"/>
          <w:numId w:val="2"/>
        </w:numPr>
        <w:spacing w:after="100" w:line="290"/>
      </w:pPr>
      <w:r>
        <w:rPr>
          <w:rFonts w:ascii="Calibri" w:cs="Calibri" w:eastAsia="Calibri" w:hAnsi="Calibri"/>
          <w:b/>
          <w:bCs/>
          <w:color w:val="292524"/>
          <w:sz w:val="22"/>
          <w:szCs w:val="22"/>
        </w:rPr>
        <w:t xml:space="preserve">No limits. </w:t>
      </w:r>
      <w:r>
        <w:rPr>
          <w:rFonts w:ascii="Calibri" w:cs="Calibri" w:eastAsia="Calibri" w:hAnsi="Calibri"/>
          <w:color w:val="292524"/>
          <w:sz w:val="22"/>
          <w:szCs w:val="22"/>
        </w:rPr>
        <w:t xml:space="preserve">Free caps recipes (say 15), photo albums (1), document scans (10) and finance history (6 months). Premium removes every cap. The caps are chosen so the app grows more valuable precisely as the family fills it, which is what makes people upgrade.</w:t>
      </w:r>
    </w:p>
    <w:p>
      <w:pPr>
        <w:pStyle w:val="ListParagraph"/>
        <w:numPr>
          <w:ilvl w:val="0"/>
          <w:numId w:val="2"/>
        </w:numPr>
        <w:spacing w:after="100" w:line="290"/>
      </w:pPr>
      <w:r>
        <w:rPr>
          <w:rFonts w:ascii="Calibri" w:cs="Calibri" w:eastAsia="Calibri" w:hAnsi="Calibri"/>
          <w:b/>
          <w:bCs/>
          <w:color w:val="292524"/>
          <w:sz w:val="22"/>
          <w:szCs w:val="22"/>
        </w:rPr>
        <w:t xml:space="preserve">The extras: </w:t>
      </w:r>
      <w:r>
        <w:rPr>
          <w:rFonts w:ascii="Calibri" w:cs="Calibri" w:eastAsia="Calibri" w:hAnsi="Calibri"/>
          <w:color w:val="292524"/>
          <w:sz w:val="22"/>
          <w:szCs w:val="22"/>
        </w:rPr>
        <w:t xml:space="preserve">AI monthly review, AI category suggestions, recipe import from video, receipt scanning, guest trips beyond the first.</w:t>
      </w:r>
    </w:p>
    <w:p>
      <w:pPr>
        <w:spacing w:after="160" w:line="300"/>
      </w:pPr>
      <w:r>
        <w:rPr>
          <w:rFonts w:ascii="Calibri" w:cs="Calibri" w:eastAsia="Calibri" w:hAnsi="Calibri"/>
          <w:color w:val="292524"/>
          <w:sz w:val="22"/>
          <w:szCs w:val="22"/>
        </w:rPr>
        <w:t xml:space="preserve">Suggested pricing to test: AUD $9.99 a month or $79 a year (equivalent to about $6.60 a month), one price for the whole household including guests. Annual is the default button.</w:t>
      </w:r>
    </w:p>
    <w:p>
      <w:pPr>
        <w:pStyle w:val="Heading1"/>
        <w:spacing w:after="140" w:before="320"/>
      </w:pPr>
      <w:r>
        <w:rPr>
          <w:rFonts w:ascii="Calibri" w:cs="Calibri" w:eastAsia="Calibri" w:hAnsi="Calibri"/>
          <w:b/>
          <w:bCs/>
          <w:color w:val="1B2B52"/>
          <w:sz w:val="30"/>
          <w:szCs w:val="30"/>
        </w:rPr>
        <w:t xml:space="preserve">3. Going global with self signup</w:t>
      </w:r>
    </w:p>
    <w:p>
      <w:pPr>
        <w:spacing w:after="160" w:line="300"/>
      </w:pPr>
      <w:r>
        <w:rPr>
          <w:rFonts w:ascii="Calibri" w:cs="Calibri" w:eastAsia="Calibri" w:hAnsi="Calibri"/>
          <w:color w:val="292524"/>
          <w:sz w:val="22"/>
          <w:szCs w:val="22"/>
        </w:rPr>
        <w:t xml:space="preserve">Self signup already works from anywhere. The plan to make it feel native everywhere:</w:t>
      </w:r>
    </w:p>
    <w:p>
      <w:pPr>
        <w:pStyle w:val="ListParagraph"/>
        <w:numPr>
          <w:ilvl w:val="0"/>
          <w:numId w:val="2"/>
        </w:numPr>
        <w:spacing w:after="100" w:line="290"/>
      </w:pPr>
      <w:r>
        <w:rPr>
          <w:rFonts w:ascii="Calibri" w:cs="Calibri" w:eastAsia="Calibri" w:hAnsi="Calibri"/>
          <w:b/>
          <w:bCs/>
          <w:color w:val="292524"/>
          <w:sz w:val="22"/>
          <w:szCs w:val="22"/>
        </w:rPr>
        <w:t xml:space="preserve">Stage 1 (now): </w:t>
      </w:r>
      <w:r>
        <w:rPr>
          <w:rFonts w:ascii="Calibri" w:cs="Calibri" w:eastAsia="Calibri" w:hAnsi="Calibri"/>
          <w:color w:val="292524"/>
          <w:sz w:val="22"/>
          <w:szCs w:val="22"/>
        </w:rPr>
        <w:t xml:space="preserve">open signup globally with CSV import as the universal finance path. CSV works with every bank on earth. Market only to English speaking countries: AU first, then NZ, UK, CA, US.</w:t>
      </w:r>
    </w:p>
    <w:p>
      <w:pPr>
        <w:pStyle w:val="ListParagraph"/>
        <w:numPr>
          <w:ilvl w:val="0"/>
          <w:numId w:val="2"/>
        </w:numPr>
        <w:spacing w:after="100" w:line="290"/>
      </w:pPr>
      <w:r>
        <w:rPr>
          <w:rFonts w:ascii="Calibri" w:cs="Calibri" w:eastAsia="Calibri" w:hAnsi="Calibri"/>
          <w:b/>
          <w:bCs/>
          <w:color w:val="292524"/>
          <w:sz w:val="22"/>
          <w:szCs w:val="22"/>
        </w:rPr>
        <w:t xml:space="preserve">Stage 2: </w:t>
      </w:r>
      <w:r>
        <w:rPr>
          <w:rFonts w:ascii="Calibri" w:cs="Calibri" w:eastAsia="Calibri" w:hAnsi="Calibri"/>
          <w:color w:val="292524"/>
          <w:sz w:val="22"/>
          <w:szCs w:val="22"/>
        </w:rPr>
        <w:t xml:space="preserve">bank feeds per region behind one internal interface: the current AU feed provider, then Plaid for US and Canada, TrueLayer or GoCardless for UK and Europe, so each region gets live sync without touching the rest of the app.</w:t>
      </w:r>
    </w:p>
    <w:p>
      <w:pPr>
        <w:pStyle w:val="ListParagraph"/>
        <w:numPr>
          <w:ilvl w:val="0"/>
          <w:numId w:val="2"/>
        </w:numPr>
        <w:spacing w:after="100" w:line="290"/>
      </w:pPr>
      <w:r>
        <w:rPr>
          <w:rFonts w:ascii="Calibri" w:cs="Calibri" w:eastAsia="Calibri" w:hAnsi="Calibri"/>
          <w:b/>
          <w:bCs/>
          <w:color w:val="292524"/>
          <w:sz w:val="22"/>
          <w:szCs w:val="22"/>
        </w:rPr>
        <w:t xml:space="preserve">Stage 3: </w:t>
      </w:r>
      <w:r>
        <w:rPr>
          <w:rFonts w:ascii="Calibri" w:cs="Calibri" w:eastAsia="Calibri" w:hAnsi="Calibri"/>
          <w:color w:val="292524"/>
          <w:sz w:val="22"/>
          <w:szCs w:val="22"/>
        </w:rPr>
        <w:t xml:space="preserve">local polish per market: currency defaults by country, date formats, retailer presets (Woolworths and Coles for AU, Tesco for UK, Walmart and Costco for US), and a localised tour page per market reusing the same template.</w:t>
      </w:r>
    </w:p>
    <w:p>
      <w:pPr>
        <w:pStyle w:val="ListParagraph"/>
        <w:numPr>
          <w:ilvl w:val="0"/>
          <w:numId w:val="2"/>
        </w:numPr>
        <w:spacing w:after="100" w:line="290"/>
      </w:pPr>
      <w:r>
        <w:rPr>
          <w:rFonts w:ascii="Calibri" w:cs="Calibri" w:eastAsia="Calibri" w:hAnsi="Calibri"/>
          <w:b/>
          <w:bCs/>
          <w:color w:val="292524"/>
          <w:sz w:val="22"/>
          <w:szCs w:val="22"/>
        </w:rPr>
        <w:t xml:space="preserve">Payments when charging starts: </w:t>
      </w:r>
      <w:r>
        <w:rPr>
          <w:rFonts w:ascii="Calibri" w:cs="Calibri" w:eastAsia="Calibri" w:hAnsi="Calibri"/>
          <w:color w:val="292524"/>
          <w:sz w:val="22"/>
          <w:szCs w:val="22"/>
        </w:rPr>
        <w:t xml:space="preserve">Stripe from day one (cards, Apple Pay, Google Pay, multi currency), priced in local currency. Still never a card at signup, only at the upgrade moment.</w:t>
      </w:r>
    </w:p>
    <w:p>
      <w:pPr>
        <w:pStyle w:val="Heading1"/>
        <w:spacing w:after="140" w:before="320"/>
      </w:pPr>
      <w:r>
        <w:rPr>
          <w:rFonts w:ascii="Calibri" w:cs="Calibri" w:eastAsia="Calibri" w:hAnsi="Calibri"/>
          <w:b/>
          <w:bCs/>
          <w:color w:val="1B2B52"/>
          <w:sz w:val="30"/>
          <w:szCs w:val="30"/>
        </w:rPr>
        <w:t xml:space="preserve">4. The email engine (the asset you own)</w:t>
      </w:r>
    </w:p>
    <w:p>
      <w:pPr>
        <w:spacing w:after="160" w:line="300"/>
      </w:pPr>
      <w:r>
        <w:rPr>
          <w:rFonts w:ascii="Calibri" w:cs="Calibri" w:eastAsia="Calibri" w:hAnsi="Calibri"/>
          <w:color w:val="292524"/>
          <w:sz w:val="22"/>
          <w:szCs w:val="22"/>
        </w:rPr>
        <w:t xml:space="preserve">Signups give you email addresses. That list is the cheapest advertising channel you will ever have, so treat it as a product:</w:t>
      </w:r>
    </w:p>
    <w:p>
      <w:pPr>
        <w:pStyle w:val="ListParagraph"/>
        <w:numPr>
          <w:ilvl w:val="0"/>
          <w:numId w:val="2"/>
        </w:numPr>
        <w:spacing w:after="100" w:line="290"/>
      </w:pPr>
      <w:r>
        <w:rPr>
          <w:rFonts w:ascii="Calibri" w:cs="Calibri" w:eastAsia="Calibri" w:hAnsi="Calibri"/>
          <w:b/>
          <w:bCs/>
          <w:color w:val="292524"/>
          <w:sz w:val="22"/>
          <w:szCs w:val="22"/>
        </w:rPr>
        <w:t xml:space="preserve">Lifecycle series during the trial: </w:t>
      </w:r>
      <w:r>
        <w:rPr>
          <w:rFonts w:ascii="Calibri" w:cs="Calibri" w:eastAsia="Calibri" w:hAnsi="Calibri"/>
          <w:color w:val="292524"/>
          <w:sz w:val="22"/>
          <w:szCs w:val="22"/>
        </w:rPr>
        <w:t xml:space="preserve">day 0 welcome and first steps, day 3 the fridge note trick, day 7 invite your family (the viral moment), day 14 what premium is doing for you, day 27 trial ending with the annual offer.</w:t>
      </w:r>
    </w:p>
    <w:p>
      <w:pPr>
        <w:pStyle w:val="ListParagraph"/>
        <w:numPr>
          <w:ilvl w:val="0"/>
          <w:numId w:val="2"/>
        </w:numPr>
        <w:spacing w:after="100" w:line="290"/>
      </w:pPr>
      <w:r>
        <w:rPr>
          <w:rFonts w:ascii="Calibri" w:cs="Calibri" w:eastAsia="Calibri" w:hAnsi="Calibri"/>
          <w:b/>
          <w:bCs/>
          <w:color w:val="292524"/>
          <w:sz w:val="22"/>
          <w:szCs w:val="22"/>
        </w:rPr>
        <w:t xml:space="preserve">After a trial lapses to free: </w:t>
      </w:r>
      <w:r>
        <w:rPr>
          <w:rFonts w:ascii="Calibri" w:cs="Calibri" w:eastAsia="Calibri" w:hAnsi="Calibri"/>
          <w:color w:val="292524"/>
          <w:sz w:val="22"/>
          <w:szCs w:val="22"/>
        </w:rPr>
        <w:t xml:space="preserve">a monthly digest of what their Nestly did (meals planned, photos added) plus one premium nudge. Win back beats cold acquisition on cost every time.</w:t>
      </w:r>
    </w:p>
    <w:p>
      <w:pPr>
        <w:pStyle w:val="ListParagraph"/>
        <w:numPr>
          <w:ilvl w:val="0"/>
          <w:numId w:val="2"/>
        </w:numPr>
        <w:spacing w:after="100" w:line="290"/>
      </w:pPr>
      <w:r>
        <w:rPr>
          <w:rFonts w:ascii="Calibri" w:cs="Calibri" w:eastAsia="Calibri" w:hAnsi="Calibri"/>
          <w:b/>
          <w:bCs/>
          <w:color w:val="292524"/>
          <w:sz w:val="22"/>
          <w:szCs w:val="22"/>
        </w:rPr>
        <w:t xml:space="preserve">Referral built into email and app: </w:t>
      </w:r>
      <w:r>
        <w:rPr>
          <w:rFonts w:ascii="Calibri" w:cs="Calibri" w:eastAsia="Calibri" w:hAnsi="Calibri"/>
          <w:color w:val="292524"/>
          <w:sz w:val="22"/>
          <w:szCs w:val="22"/>
        </w:rPr>
        <w:t xml:space="preserve">give a month, get a month. A family that refers two families effectively never pays, and you acquired two households for the price of two free months.</w:t>
      </w:r>
    </w:p>
    <w:p>
      <w:pPr>
        <w:pStyle w:val="Heading1"/>
        <w:spacing w:after="140" w:before="320"/>
      </w:pPr>
      <w:r>
        <w:rPr>
          <w:rFonts w:ascii="Calibri" w:cs="Calibri" w:eastAsia="Calibri" w:hAnsi="Calibri"/>
          <w:b/>
          <w:bCs/>
          <w:color w:val="1B2B52"/>
          <w:sz w:val="30"/>
          <w:szCs w:val="30"/>
        </w:rPr>
        <w:t xml:space="preserve">5. Outside the box ideas</w:t>
      </w:r>
    </w:p>
    <w:p>
      <w:pPr>
        <w:pStyle w:val="ListParagraph"/>
        <w:numPr>
          <w:ilvl w:val="0"/>
          <w:numId w:val="2"/>
        </w:numPr>
        <w:spacing w:after="100" w:line="290"/>
      </w:pPr>
      <w:r>
        <w:rPr>
          <w:rFonts w:ascii="Calibri" w:cs="Calibri" w:eastAsia="Calibri" w:hAnsi="Calibri"/>
          <w:b/>
          <w:bCs/>
          <w:color w:val="292524"/>
          <w:sz w:val="22"/>
          <w:szCs w:val="22"/>
        </w:rPr>
        <w:t xml:space="preserve">Founding families. </w:t>
      </w:r>
      <w:r>
        <w:rPr>
          <w:rFonts w:ascii="Calibri" w:cs="Calibri" w:eastAsia="Calibri" w:hAnsi="Calibri"/>
          <w:color w:val="292524"/>
          <w:sz w:val="22"/>
          <w:szCs w:val="22"/>
        </w:rPr>
        <w:t xml:space="preserve">The first 500 households get a Founding Family badge and lifetime premium at half price. Scarcity plus loyalty, and they become the testimonial engine.</w:t>
      </w:r>
    </w:p>
    <w:p>
      <w:pPr>
        <w:pStyle w:val="ListParagraph"/>
        <w:numPr>
          <w:ilvl w:val="0"/>
          <w:numId w:val="2"/>
        </w:numPr>
        <w:spacing w:after="100" w:line="290"/>
      </w:pPr>
      <w:r>
        <w:rPr>
          <w:rFonts w:ascii="Calibri" w:cs="Calibri" w:eastAsia="Calibri" w:hAnsi="Calibri"/>
          <w:b/>
          <w:bCs/>
          <w:color w:val="292524"/>
          <w:sz w:val="22"/>
          <w:szCs w:val="22"/>
        </w:rPr>
        <w:t xml:space="preserve">The trip is the trojan horse. </w:t>
      </w:r>
      <w:r>
        <w:rPr>
          <w:rFonts w:ascii="Calibri" w:cs="Calibri" w:eastAsia="Calibri" w:hAnsi="Calibri"/>
          <w:color w:val="292524"/>
          <w:sz w:val="22"/>
          <w:szCs w:val="22"/>
        </w:rPr>
        <w:t xml:space="preserve">Every shared holiday pulls other families in as guests who experience Nestly without signing up for it. After the trip settles, offer the guest family their own nest with the trip memories pre seeded.</w:t>
      </w:r>
    </w:p>
    <w:p>
      <w:pPr>
        <w:pStyle w:val="ListParagraph"/>
        <w:numPr>
          <w:ilvl w:val="0"/>
          <w:numId w:val="2"/>
        </w:numPr>
        <w:spacing w:after="100" w:line="290"/>
      </w:pPr>
      <w:r>
        <w:rPr>
          <w:rFonts w:ascii="Calibri" w:cs="Calibri" w:eastAsia="Calibri" w:hAnsi="Calibri"/>
          <w:b/>
          <w:bCs/>
          <w:color w:val="292524"/>
          <w:sz w:val="22"/>
          <w:szCs w:val="22"/>
        </w:rPr>
        <w:t xml:space="preserve">Clubs and schools. </w:t>
      </w:r>
      <w:r>
        <w:rPr>
          <w:rFonts w:ascii="Calibri" w:cs="Calibri" w:eastAsia="Calibri" w:hAnsi="Calibri"/>
          <w:color w:val="292524"/>
          <w:sz w:val="22"/>
          <w:szCs w:val="22"/>
        </w:rPr>
        <w:t xml:space="preserve">Sports clubs, school parent groups and community groups in AU all juggle rosters, costs and photos. A club plan (or free for clubs) puts Nestly in front of dozens of families per club at zero ad cost.</w:t>
      </w:r>
    </w:p>
    <w:p>
      <w:pPr>
        <w:pStyle w:val="ListParagraph"/>
        <w:numPr>
          <w:ilvl w:val="0"/>
          <w:numId w:val="2"/>
        </w:numPr>
        <w:spacing w:after="100" w:line="290"/>
      </w:pPr>
      <w:r>
        <w:rPr>
          <w:rFonts w:ascii="Calibri" w:cs="Calibri" w:eastAsia="Calibri" w:hAnsi="Calibri"/>
          <w:b/>
          <w:bCs/>
          <w:color w:val="292524"/>
          <w:sz w:val="22"/>
          <w:szCs w:val="22"/>
        </w:rPr>
        <w:t xml:space="preserve">Recipe SEO flywheel. </w:t>
      </w:r>
      <w:r>
        <w:rPr>
          <w:rFonts w:ascii="Calibri" w:cs="Calibri" w:eastAsia="Calibri" w:hAnsi="Calibri"/>
          <w:color w:val="292524"/>
          <w:sz w:val="22"/>
          <w:szCs w:val="22"/>
        </w:rPr>
        <w:t xml:space="preserve">Families import recipes anyway; publish an anonymised, opt in public recipe page per popular dish with a Plan this week button. Recipe search traffic is enormous and free.</w:t>
      </w:r>
    </w:p>
    <w:p>
      <w:pPr>
        <w:pStyle w:val="ListParagraph"/>
        <w:numPr>
          <w:ilvl w:val="0"/>
          <w:numId w:val="2"/>
        </w:numPr>
        <w:spacing w:after="100" w:line="290"/>
      </w:pPr>
      <w:r>
        <w:rPr>
          <w:rFonts w:ascii="Calibri" w:cs="Calibri" w:eastAsia="Calibri" w:hAnsi="Calibri"/>
          <w:b/>
          <w:bCs/>
          <w:color w:val="292524"/>
          <w:sz w:val="22"/>
          <w:szCs w:val="22"/>
        </w:rPr>
        <w:t xml:space="preserve">Butcher cross promotion. </w:t>
      </w:r>
      <w:r>
        <w:rPr>
          <w:rFonts w:ascii="Calibri" w:cs="Calibri" w:eastAsia="Calibri" w:hAnsi="Calibri"/>
          <w:color w:val="292524"/>
          <w:sz w:val="22"/>
          <w:szCs w:val="22"/>
        </w:rPr>
        <w:t xml:space="preserve">You own a butchery with customers who cook family dinners. Till receipts and the counter QR code pointing at the tour is a zero cost, perfectly targeted channel, and a story the press will write about.</w:t>
      </w:r>
    </w:p>
    <w:p>
      <w:pPr>
        <w:pStyle w:val="ListParagraph"/>
        <w:numPr>
          <w:ilvl w:val="0"/>
          <w:numId w:val="2"/>
        </w:numPr>
        <w:spacing w:after="100" w:line="290"/>
      </w:pPr>
      <w:r>
        <w:rPr>
          <w:rFonts w:ascii="Calibri" w:cs="Calibri" w:eastAsia="Calibri" w:hAnsi="Calibri"/>
          <w:b/>
          <w:bCs/>
          <w:color w:val="292524"/>
          <w:sz w:val="22"/>
          <w:szCs w:val="22"/>
        </w:rPr>
        <w:t xml:space="preserve">Comparison honesty pages. </w:t>
      </w:r>
      <w:r>
        <w:rPr>
          <w:rFonts w:ascii="Calibri" w:cs="Calibri" w:eastAsia="Calibri" w:hAnsi="Calibri"/>
          <w:color w:val="292524"/>
          <w:sz w:val="22"/>
          <w:szCs w:val="22"/>
        </w:rPr>
        <w:t xml:space="preserve">Nestly vs six group chats, Nestly vs Cozi, Nestly vs a spreadsheet. Written straight, they convert the highest intent searchers there are.</w:t>
      </w:r>
    </w:p>
    <w:p>
      <w:pPr>
        <w:pStyle w:val="Heading1"/>
        <w:spacing w:after="140" w:before="320"/>
      </w:pPr>
      <w:r>
        <w:rPr>
          <w:rFonts w:ascii="Calibri" w:cs="Calibri" w:eastAsia="Calibri" w:hAnsi="Calibri"/>
          <w:b/>
          <w:bCs/>
          <w:color w:val="1B2B52"/>
          <w:sz w:val="30"/>
          <w:szCs w:val="30"/>
        </w:rPr>
        <w:t xml:space="preserve">6. What to do next, in order</w:t>
      </w:r>
    </w:p>
    <w:p>
      <w:pPr>
        <w:pStyle w:val="ListParagraph"/>
        <w:numPr>
          <w:ilvl w:val="0"/>
          <w:numId w:val="2"/>
        </w:numPr>
        <w:spacing w:after="100" w:line="290"/>
      </w:pPr>
      <w:r>
        <w:rPr>
          <w:rFonts w:ascii="Calibri" w:cs="Calibri" w:eastAsia="Calibri" w:hAnsi="Calibri"/>
          <w:color w:val="292524"/>
          <w:sz w:val="22"/>
          <w:szCs w:val="22"/>
        </w:rPr>
        <w:t xml:space="preserve">1. Push the marketing loop live and create the first campaign in admin (even a $0 organic one for your TikTok bio link).</w:t>
      </w:r>
    </w:p>
    <w:p>
      <w:pPr>
        <w:pStyle w:val="ListParagraph"/>
        <w:numPr>
          <w:ilvl w:val="0"/>
          <w:numId w:val="2"/>
        </w:numPr>
        <w:spacing w:after="100" w:line="290"/>
      </w:pPr>
      <w:r>
        <w:rPr>
          <w:rFonts w:ascii="Calibri" w:cs="Calibri" w:eastAsia="Calibri" w:hAnsi="Calibri"/>
          <w:color w:val="292524"/>
          <w:sz w:val="22"/>
          <w:szCs w:val="22"/>
        </w:rPr>
        <w:t xml:space="preserve">2. Record the first two tour videos; post organic for two weeks.</w:t>
      </w:r>
    </w:p>
    <w:p>
      <w:pPr>
        <w:pStyle w:val="ListParagraph"/>
        <w:numPr>
          <w:ilvl w:val="0"/>
          <w:numId w:val="2"/>
        </w:numPr>
        <w:spacing w:after="100" w:line="290"/>
      </w:pPr>
      <w:r>
        <w:rPr>
          <w:rFonts w:ascii="Calibri" w:cs="Calibri" w:eastAsia="Calibri" w:hAnsi="Calibri"/>
          <w:color w:val="292524"/>
          <w:sz w:val="22"/>
          <w:szCs w:val="22"/>
        </w:rPr>
        <w:t xml:space="preserve">3. Turn on the first Meta campaign at $10 a day with the tagged link.</w:t>
      </w:r>
    </w:p>
    <w:p>
      <w:pPr>
        <w:pStyle w:val="ListParagraph"/>
        <w:numPr>
          <w:ilvl w:val="0"/>
          <w:numId w:val="2"/>
        </w:numPr>
        <w:spacing w:after="100" w:line="290"/>
      </w:pPr>
      <w:r>
        <w:rPr>
          <w:rFonts w:ascii="Calibri" w:cs="Calibri" w:eastAsia="Calibri" w:hAnsi="Calibri"/>
          <w:color w:val="292524"/>
          <w:sz w:val="22"/>
          <w:szCs w:val="22"/>
        </w:rPr>
        <w:t xml:space="preserve">4. Wire the trial fields (household_plans table is live and waiting) and the lifecycle emails.</w:t>
      </w:r>
    </w:p>
    <w:p>
      <w:pPr>
        <w:pStyle w:val="ListParagraph"/>
        <w:numPr>
          <w:ilvl w:val="0"/>
          <w:numId w:val="2"/>
        </w:numPr>
        <w:spacing w:after="100" w:line="290"/>
      </w:pPr>
      <w:r>
        <w:rPr>
          <w:rFonts w:ascii="Calibri" w:cs="Calibri" w:eastAsia="Calibri" w:hAnsi="Calibri"/>
          <w:color w:val="292524"/>
          <w:sz w:val="22"/>
          <w:szCs w:val="22"/>
        </w:rPr>
        <w:t xml:space="preserve">5. Read the Marketing tab weekly; scale what is under $8 a signup, pause what is not.</w:t>
      </w:r>
    </w:p>
    <w:p>
      <w:pPr>
        <w:spacing w:before="300"/>
      </w:pPr>
      <w:r>
        <w:rPr>
          <w:rFonts w:ascii="Calibri" w:cs="Calibri" w:eastAsia="Calibri" w:hAnsi="Calibri"/>
          <w:i/>
          <w:iCs/>
          <w:color w:val="78716C"/>
          <w:sz w:val="18"/>
          <w:szCs w:val="18"/>
        </w:rPr>
        <w:t xml:space="preserve">Benchmarks referenced: Meta Ads Australia 2026 (rockingweb.com.au), RevenueCat State of Subscription Apps 2026. Figures are planning anchors, not guarantees.</w:t>
      </w:r>
    </w:p>
    <w:sectPr>
      <w:pgSz w:w="11906" w:h="16838" w:orient="portrait"/>
      <w:pgMar w:top="1250" w:right="1350" w:bottom="12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2026-07-19T06:41:40.885Z</dcterms:created>
  <dcterms:modified xsi:type="dcterms:W3CDTF">2026-07-19T06:41:40.886Z</dcterms:modified>
</cp:coreProperties>
</file>

<file path=docProps/custom.xml><?xml version="1.0" encoding="utf-8"?>
<Properties xmlns="http://schemas.openxmlformats.org/officeDocument/2006/custom-properties" xmlns:vt="http://schemas.openxmlformats.org/officeDocument/2006/docPropsVTypes"/>
</file>