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实时翻译系统 — 需求分组（业务域结构 v4.1，含非功能需求）</w:t>
      </w:r>
    </w:p>
    <w:p>
      <w:r>
        <w:t>版本：v4.1</w:t>
        <w:br/>
        <w:t>说明：本文件按业务模块分组展示所有 FR、PR、UR、SR、ER。</w:t>
      </w:r>
    </w:p>
    <w:p>
      <w:pPr>
        <w:pStyle w:val="Heading1"/>
      </w:pPr>
      <w:r>
        <w:t>6.1 语音输入与检测模块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类型/编号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语音输入</w:t>
            </w:r>
          </w:p>
        </w:tc>
        <w:tc>
          <w:tcPr>
            <w:tcW w:type="dxa" w:w="2160"/>
          </w:tcPr>
          <w:p>
            <w:r>
              <w:t>采集麦克风/网页音频流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FR-02</w:t>
            </w:r>
          </w:p>
        </w:tc>
        <w:tc>
          <w:tcPr>
            <w:tcW w:type="dxa" w:w="2160"/>
          </w:tcPr>
          <w:p>
            <w:r>
              <w:t>自然停顿检测（VAD）</w:t>
            </w:r>
          </w:p>
        </w:tc>
        <w:tc>
          <w:tcPr>
            <w:tcW w:type="dxa" w:w="2160"/>
          </w:tcPr>
          <w:p>
            <w:r>
              <w:t>检测200–300ms停顿触发短语边界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PR-01</w:t>
            </w:r>
          </w:p>
        </w:tc>
        <w:tc>
          <w:tcPr>
            <w:tcW w:type="dxa" w:w="2160"/>
          </w:tcPr>
          <w:p>
            <w:r>
              <w:t>边界检测延迟</w:t>
            </w:r>
          </w:p>
        </w:tc>
        <w:tc>
          <w:tcPr>
            <w:tcW w:type="dxa" w:w="2160"/>
          </w:tcPr>
          <w:p>
            <w:r>
              <w:t>≤0.25s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UR-02</w:t>
            </w:r>
          </w:p>
        </w:tc>
        <w:tc>
          <w:tcPr>
            <w:tcW w:type="dxa" w:w="2160"/>
          </w:tcPr>
          <w:p>
            <w:r>
              <w:t>浏览器兼容性</w:t>
            </w:r>
          </w:p>
        </w:tc>
        <w:tc>
          <w:tcPr>
            <w:tcW w:type="dxa" w:w="2160"/>
          </w:tcPr>
          <w:p>
            <w:r>
              <w:t>支持Chrome/Edge/Safari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SR-01</w:t>
            </w:r>
          </w:p>
        </w:tc>
        <w:tc>
          <w:tcPr>
            <w:tcW w:type="dxa" w:w="2160"/>
          </w:tcPr>
          <w:p>
            <w:r>
              <w:t>本地推理优先</w:t>
            </w:r>
          </w:p>
        </w:tc>
        <w:tc>
          <w:tcPr>
            <w:tcW w:type="dxa" w:w="2160"/>
          </w:tcPr>
          <w:p>
            <w:r>
              <w:t>不上传原始音频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ER-01</w:t>
            </w:r>
          </w:p>
        </w:tc>
        <w:tc>
          <w:tcPr>
            <w:tcW w:type="dxa" w:w="2160"/>
          </w:tcPr>
          <w:p>
            <w:r>
              <w:t>模块化设计</w:t>
            </w:r>
          </w:p>
        </w:tc>
        <w:tc>
          <w:tcPr>
            <w:tcW w:type="dxa" w:w="2160"/>
          </w:tcPr>
          <w:p>
            <w:r>
              <w:t>Core / UI / Cloud 解耦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</w:tbl>
    <w:p/>
    <w:p>
      <w:pPr>
        <w:pStyle w:val="Heading1"/>
      </w:pPr>
      <w:r>
        <w:t>6.2 实时语音识别模块（ASR）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类型/编号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FR-03</w:t>
            </w:r>
          </w:p>
        </w:tc>
        <w:tc>
          <w:tcPr>
            <w:tcW w:type="dxa" w:w="2160"/>
          </w:tcPr>
          <w:p>
            <w:r>
              <w:t>实时语音识别</w:t>
            </w:r>
          </w:p>
        </w:tc>
        <w:tc>
          <w:tcPr>
            <w:tcW w:type="dxa" w:w="2160"/>
          </w:tcPr>
          <w:p>
            <w:r>
              <w:t>Whisper流式输出partial/final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FR-04</w:t>
            </w:r>
          </w:p>
        </w:tc>
        <w:tc>
          <w:tcPr>
            <w:tcW w:type="dxa" w:w="2160"/>
          </w:tcPr>
          <w:p>
            <w:r>
              <w:t>流式翻译（NMT）</w:t>
            </w:r>
          </w:p>
        </w:tc>
        <w:tc>
          <w:tcPr>
            <w:tcW w:type="dxa" w:w="2160"/>
          </w:tcPr>
          <w:p>
            <w:r>
              <w:t>Marian-mini wait-k（3~5）增量翻译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PR-02</w:t>
            </w:r>
          </w:p>
        </w:tc>
        <w:tc>
          <w:tcPr>
            <w:tcW w:type="dxa" w:w="2160"/>
          </w:tcPr>
          <w:p>
            <w:r>
              <w:t>ASR延迟</w:t>
            </w:r>
          </w:p>
        </w:tc>
        <w:tc>
          <w:tcPr>
            <w:tcW w:type="dxa" w:w="2160"/>
          </w:tcPr>
          <w:p>
            <w:r>
              <w:t>≤0.5s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UR-04</w:t>
            </w:r>
          </w:p>
        </w:tc>
        <w:tc>
          <w:tcPr>
            <w:tcW w:type="dxa" w:w="2160"/>
          </w:tcPr>
          <w:p>
            <w:r>
              <w:t>网络容错</w:t>
            </w:r>
          </w:p>
        </w:tc>
        <w:tc>
          <w:tcPr>
            <w:tcW w:type="dxa" w:w="2160"/>
          </w:tcPr>
          <w:p>
            <w:r>
              <w:t>断网降级为离线模式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SR-02</w:t>
            </w:r>
          </w:p>
        </w:tc>
        <w:tc>
          <w:tcPr>
            <w:tcW w:type="dxa" w:w="2160"/>
          </w:tcPr>
          <w:p>
            <w:r>
              <w:t>数据加密存储</w:t>
            </w:r>
          </w:p>
        </w:tc>
        <w:tc>
          <w:tcPr>
            <w:tcW w:type="dxa" w:w="2160"/>
          </w:tcPr>
          <w:p>
            <w:r>
              <w:t>SQLCipher 本地加密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ER-03</w:t>
            </w:r>
          </w:p>
        </w:tc>
        <w:tc>
          <w:tcPr>
            <w:tcW w:type="dxa" w:w="2160"/>
          </w:tcPr>
          <w:p>
            <w:r>
              <w:t>跨语言接口</w:t>
            </w:r>
          </w:p>
        </w:tc>
        <w:tc>
          <w:tcPr>
            <w:tcW w:type="dxa" w:w="2160"/>
          </w:tcPr>
          <w:p>
            <w:r>
              <w:t>FFI / gRPC统一API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</w:tbl>
    <w:p/>
    <w:p>
      <w:pPr>
        <w:pStyle w:val="Heading1"/>
      </w:pPr>
      <w:r>
        <w:t>6.3 个性化与情感文化模块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类型/编号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>语气与情感识别</w:t>
            </w:r>
          </w:p>
        </w:tc>
        <w:tc>
          <w:tcPr>
            <w:tcW w:type="dxa" w:w="2160"/>
          </w:tcPr>
          <w:p>
            <w:r>
              <w:t>识别情绪与语气标签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FR-11b</w:t>
            </w:r>
          </w:p>
        </w:tc>
        <w:tc>
          <w:tcPr>
            <w:tcW w:type="dxa" w:w="2160"/>
          </w:tcPr>
          <w:p>
            <w:r>
              <w:t>双模态情感识别</w:t>
            </w:r>
          </w:p>
        </w:tc>
        <w:tc>
          <w:tcPr>
            <w:tcW w:type="dxa" w:w="2160"/>
          </w:tcPr>
          <w:p>
            <w:r>
              <w:t>结合语音与文本特征共同推断语气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FR-06</w:t>
            </w:r>
          </w:p>
        </w:tc>
        <w:tc>
          <w:tcPr>
            <w:tcW w:type="dxa" w:w="2160"/>
          </w:tcPr>
          <w:p>
            <w:r>
              <w:t>个性化语气映射</w:t>
            </w:r>
          </w:p>
        </w:tc>
        <w:tc>
          <w:tcPr>
            <w:tcW w:type="dxa" w:w="2160"/>
          </w:tcPr>
          <w:p>
            <w:r>
              <w:t>LoRA/Embedding 风格注入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FR-12</w:t>
            </w:r>
          </w:p>
        </w:tc>
        <w:tc>
          <w:tcPr>
            <w:tcW w:type="dxa" w:w="2160"/>
          </w:tcPr>
          <w:p>
            <w:r>
              <w:t>文化映射提示</w:t>
            </w:r>
          </w:p>
        </w:tc>
        <w:tc>
          <w:tcPr>
            <w:tcW w:type="dxa" w:w="2160"/>
          </w:tcPr>
          <w:p>
            <w:r>
              <w:t>文化差异与礼貌缓冲提示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FR-13</w:t>
            </w:r>
          </w:p>
        </w:tc>
        <w:tc>
          <w:tcPr>
            <w:tcW w:type="dxa" w:w="2160"/>
          </w:tcPr>
          <w:p>
            <w:r>
              <w:t>用户风格微调</w:t>
            </w:r>
          </w:p>
        </w:tc>
        <w:tc>
          <w:tcPr>
            <w:tcW w:type="dxa" w:w="2160"/>
          </w:tcPr>
          <w:p>
            <w:r>
              <w:t>LoRA/PEFT 个性化语气模型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PR-07</w:t>
            </w:r>
          </w:p>
        </w:tc>
        <w:tc>
          <w:tcPr>
            <w:tcW w:type="dxa" w:w="2160"/>
          </w:tcPr>
          <w:p>
            <w:r>
              <w:t>情感识别准确率</w:t>
            </w:r>
          </w:p>
        </w:tc>
        <w:tc>
          <w:tcPr>
            <w:tcW w:type="dxa" w:w="2160"/>
          </w:tcPr>
          <w:p>
            <w:r>
              <w:t>≥85%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UR-03</w:t>
            </w:r>
          </w:p>
        </w:tc>
        <w:tc>
          <w:tcPr>
            <w:tcW w:type="dxa" w:w="2160"/>
          </w:tcPr>
          <w:p>
            <w:r>
              <w:t>多语言支持</w:t>
            </w:r>
          </w:p>
        </w:tc>
        <w:tc>
          <w:tcPr>
            <w:tcW w:type="dxa" w:w="2160"/>
          </w:tcPr>
          <w:p>
            <w:r>
              <w:t>中/英/日/西班牙语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SR-04</w:t>
            </w:r>
          </w:p>
        </w:tc>
        <w:tc>
          <w:tcPr>
            <w:tcW w:type="dxa" w:w="2160"/>
          </w:tcPr>
          <w:p>
            <w:r>
              <w:t>用户隐私保护</w:t>
            </w:r>
          </w:p>
        </w:tc>
        <w:tc>
          <w:tcPr>
            <w:tcW w:type="dxa" w:w="2160"/>
          </w:tcPr>
          <w:p>
            <w:r>
              <w:t>仅上传匿名embedding或LoRA权重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ER-02</w:t>
            </w:r>
          </w:p>
        </w:tc>
        <w:tc>
          <w:tcPr>
            <w:tcW w:type="dxa" w:w="2160"/>
          </w:tcPr>
          <w:p>
            <w:r>
              <w:t>插件化架构</w:t>
            </w:r>
          </w:p>
        </w:tc>
        <w:tc>
          <w:tcPr>
            <w:tcW w:type="dxa" w:w="2160"/>
          </w:tcPr>
          <w:p>
            <w:r>
              <w:t>支持替换ASR/NMT/TTS模块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</w:tbl>
    <w:p/>
    <w:p>
      <w:pPr>
        <w:pStyle w:val="Heading1"/>
      </w:pPr>
      <w:r>
        <w:t>6.4 语音合成与输出模块（TTS）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类型/编号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FR-07</w:t>
            </w:r>
          </w:p>
        </w:tc>
        <w:tc>
          <w:tcPr>
            <w:tcW w:type="dxa" w:w="2160"/>
          </w:tcPr>
          <w:p>
            <w:r>
              <w:t>流式TTS合成</w:t>
            </w:r>
          </w:p>
        </w:tc>
        <w:tc>
          <w:tcPr>
            <w:tcW w:type="dxa" w:w="2160"/>
          </w:tcPr>
          <w:p>
            <w:r>
              <w:t>FastSpeech2-lite + HiFiGAN-lite边合成边播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FR-15</w:t>
            </w:r>
          </w:p>
        </w:tc>
        <w:tc>
          <w:tcPr>
            <w:tcW w:type="dxa" w:w="2160"/>
          </w:tcPr>
          <w:p>
            <w:r>
              <w:t>流式TTS合成(短语级)</w:t>
            </w:r>
          </w:p>
        </w:tc>
        <w:tc>
          <w:tcPr>
            <w:tcW w:type="dxa" w:w="2160"/>
          </w:tcPr>
          <w:p>
            <w:r>
              <w:t>边生成边播放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FR-16</w:t>
            </w:r>
          </w:p>
        </w:tc>
        <w:tc>
          <w:tcPr>
            <w:tcW w:type="dxa" w:w="2160"/>
          </w:tcPr>
          <w:p>
            <w:r>
              <w:t>短语事件触发</w:t>
            </w:r>
          </w:p>
        </w:tc>
        <w:tc>
          <w:tcPr>
            <w:tcW w:type="dxa" w:w="2160"/>
          </w:tcPr>
          <w:p>
            <w:r>
              <w:t>根据边界触发生成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PR-03</w:t>
            </w:r>
          </w:p>
        </w:tc>
        <w:tc>
          <w:tcPr>
            <w:tcW w:type="dxa" w:w="2160"/>
          </w:tcPr>
          <w:p>
            <w:r>
              <w:t>TTS合成延迟</w:t>
            </w:r>
          </w:p>
        </w:tc>
        <w:tc>
          <w:tcPr>
            <w:tcW w:type="dxa" w:w="2160"/>
          </w:tcPr>
          <w:p>
            <w:r>
              <w:t>≤0.5s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PR-03b</w:t>
            </w:r>
          </w:p>
        </w:tc>
        <w:tc>
          <w:tcPr>
            <w:tcW w:type="dxa" w:w="2160"/>
          </w:tcPr>
          <w:p>
            <w:r>
              <w:t>连续播放平滑度</w:t>
            </w:r>
          </w:p>
        </w:tc>
        <w:tc>
          <w:tcPr>
            <w:tcW w:type="dxa" w:w="2160"/>
          </w:tcPr>
          <w:p>
            <w:r>
              <w:t>拼接延迟&lt;100ms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UR-06</w:t>
            </w:r>
          </w:p>
        </w:tc>
        <w:tc>
          <w:tcPr>
            <w:tcW w:type="dxa" w:w="2160"/>
          </w:tcPr>
          <w:p>
            <w:r>
              <w:t>UI响应延迟</w:t>
            </w:r>
          </w:p>
        </w:tc>
        <w:tc>
          <w:tcPr>
            <w:tcW w:type="dxa" w:w="2160"/>
          </w:tcPr>
          <w:p>
            <w:r>
              <w:t>&lt;100ms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SR-03</w:t>
            </w:r>
          </w:p>
        </w:tc>
        <w:tc>
          <w:tcPr>
            <w:tcW w:type="dxa" w:w="2160"/>
          </w:tcPr>
          <w:p>
            <w:r>
              <w:t>云通信加密</w:t>
            </w:r>
          </w:p>
        </w:tc>
        <w:tc>
          <w:tcPr>
            <w:tcW w:type="dxa" w:w="2160"/>
          </w:tcPr>
          <w:p>
            <w:r>
              <w:t>HTTPS/TLS 1.3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ER-04</w:t>
            </w:r>
          </w:p>
        </w:tc>
        <w:tc>
          <w:tcPr>
            <w:tcW w:type="dxa" w:w="2160"/>
          </w:tcPr>
          <w:p>
            <w:r>
              <w:t>单元测试覆盖率</w:t>
            </w:r>
          </w:p>
        </w:tc>
        <w:tc>
          <w:tcPr>
            <w:tcW w:type="dxa" w:w="2160"/>
          </w:tcPr>
          <w:p>
            <w:r>
              <w:t>≥80%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</w:tbl>
    <w:p/>
    <w:p>
      <w:pPr>
        <w:pStyle w:val="Heading1"/>
      </w:pPr>
      <w:r>
        <w:t>6.5 多人会议与同步模块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类型/编号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FR-19</w:t>
            </w:r>
          </w:p>
        </w:tc>
        <w:tc>
          <w:tcPr>
            <w:tcW w:type="dxa" w:w="2160"/>
          </w:tcPr>
          <w:p>
            <w:r>
              <w:t>字幕广播</w:t>
            </w:r>
          </w:p>
        </w:tc>
        <w:tc>
          <w:tcPr>
            <w:tcW w:type="dxa" w:w="2160"/>
          </w:tcPr>
          <w:p>
            <w:r>
              <w:t>WebSocket 广播至所有成员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FR-20</w:t>
            </w:r>
          </w:p>
        </w:tc>
        <w:tc>
          <w:tcPr>
            <w:tcW w:type="dxa" w:w="2160"/>
          </w:tcPr>
          <w:p>
            <w:r>
              <w:t>多语言并行显示</w:t>
            </w:r>
          </w:p>
        </w:tc>
        <w:tc>
          <w:tcPr>
            <w:tcW w:type="dxa" w:w="2160"/>
          </w:tcPr>
          <w:p>
            <w:r>
              <w:t>不同用户选择不同语言字幕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FR-21</w:t>
            </w:r>
          </w:p>
        </w:tc>
        <w:tc>
          <w:tcPr>
            <w:tcW w:type="dxa" w:w="2160"/>
          </w:tcPr>
          <w:p>
            <w:r>
              <w:t>会议录制与摘要</w:t>
            </w:r>
          </w:p>
        </w:tc>
        <w:tc>
          <w:tcPr>
            <w:tcW w:type="dxa" w:w="2160"/>
          </w:tcPr>
          <w:p>
            <w:r>
              <w:t>会议语音记录与摘要生成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PR-04</w:t>
            </w:r>
          </w:p>
        </w:tc>
        <w:tc>
          <w:tcPr>
            <w:tcW w:type="dxa" w:w="2160"/>
          </w:tcPr>
          <w:p>
            <w:r>
              <w:t>端到端延迟</w:t>
            </w:r>
          </w:p>
        </w:tc>
        <w:tc>
          <w:tcPr>
            <w:tcW w:type="dxa" w:w="2160"/>
          </w:tcPr>
          <w:p>
            <w:r>
              <w:t>≤1.5s(P50)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UR-08</w:t>
            </w:r>
          </w:p>
        </w:tc>
        <w:tc>
          <w:tcPr>
            <w:tcW w:type="dxa" w:w="2160"/>
          </w:tcPr>
          <w:p>
            <w:r>
              <w:t>多设备同步</w:t>
            </w:r>
          </w:p>
        </w:tc>
        <w:tc>
          <w:tcPr>
            <w:tcW w:type="dxa" w:w="2160"/>
          </w:tcPr>
          <w:p>
            <w:r>
              <w:t>同账户跨端同步配置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SR-03b</w:t>
            </w:r>
          </w:p>
        </w:tc>
        <w:tc>
          <w:tcPr>
            <w:tcW w:type="dxa" w:w="2160"/>
          </w:tcPr>
          <w:p>
            <w:r>
              <w:t>数据加密协议</w:t>
            </w:r>
          </w:p>
        </w:tc>
        <w:tc>
          <w:tcPr>
            <w:tcW w:type="dxa" w:w="2160"/>
          </w:tcPr>
          <w:p>
            <w:r>
              <w:t>SQLCipher + AES256本地加密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ER-06</w:t>
            </w:r>
          </w:p>
        </w:tc>
        <w:tc>
          <w:tcPr>
            <w:tcW w:type="dxa" w:w="2160"/>
          </w:tcPr>
          <w:p>
            <w:r>
              <w:t>可观察性</w:t>
            </w:r>
          </w:p>
        </w:tc>
        <w:tc>
          <w:tcPr>
            <w:tcW w:type="dxa" w:w="2160"/>
          </w:tcPr>
          <w:p>
            <w:r>
              <w:t>Metrics+日志+Trace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</w:tbl>
    <w:p/>
    <w:p>
      <w:pPr>
        <w:pStyle w:val="Heading1"/>
      </w:pPr>
      <w:r>
        <w:t>6.6 模型管理与离线缓存模块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类型/编号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FR-22</w:t>
            </w:r>
          </w:p>
        </w:tc>
        <w:tc>
          <w:tcPr>
            <w:tcW w:type="dxa" w:w="2160"/>
          </w:tcPr>
          <w:p>
            <w:r>
              <w:t>离线缓存</w:t>
            </w:r>
          </w:p>
        </w:tc>
        <w:tc>
          <w:tcPr>
            <w:tcW w:type="dxa" w:w="2160"/>
          </w:tcPr>
          <w:p>
            <w:r>
              <w:t>首次加载后本地缓存模型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FR-23</w:t>
            </w:r>
          </w:p>
        </w:tc>
        <w:tc>
          <w:tcPr>
            <w:tcW w:type="dxa" w:w="2160"/>
          </w:tcPr>
          <w:p>
            <w:r>
              <w:t>版本检测与更新</w:t>
            </w:r>
          </w:p>
        </w:tc>
        <w:tc>
          <w:tcPr>
            <w:tcW w:type="dxa" w:w="2160"/>
          </w:tcPr>
          <w:p>
            <w:r>
              <w:t>Model Hub自动检测更新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FR-24</w:t>
            </w:r>
          </w:p>
        </w:tc>
        <w:tc>
          <w:tcPr>
            <w:tcW w:type="dxa" w:w="2160"/>
          </w:tcPr>
          <w:p>
            <w:r>
              <w:t>局部更新与加密</w:t>
            </w:r>
          </w:p>
        </w:tc>
        <w:tc>
          <w:tcPr>
            <w:tcW w:type="dxa" w:w="2160"/>
          </w:tcPr>
          <w:p>
            <w:r>
              <w:t>分块更新+加密存储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FR-25</w:t>
            </w:r>
          </w:p>
        </w:tc>
        <w:tc>
          <w:tcPr>
            <w:tcW w:type="dxa" w:w="2160"/>
          </w:tcPr>
          <w:p>
            <w:r>
              <w:t>离线启动检测</w:t>
            </w:r>
          </w:p>
        </w:tc>
        <w:tc>
          <w:tcPr>
            <w:tcW w:type="dxa" w:w="2160"/>
          </w:tcPr>
          <w:p>
            <w:r>
              <w:t>无网模式自动运行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PR-08</w:t>
            </w:r>
          </w:p>
        </w:tc>
        <w:tc>
          <w:tcPr>
            <w:tcW w:type="dxa" w:w="2160"/>
          </w:tcPr>
          <w:p>
            <w:r>
              <w:t>内存占用</w:t>
            </w:r>
          </w:p>
        </w:tc>
        <w:tc>
          <w:tcPr>
            <w:tcW w:type="dxa" w:w="2160"/>
          </w:tcPr>
          <w:p>
            <w:r>
              <w:t>≤1GB(端侧)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UR-07</w:t>
            </w:r>
          </w:p>
        </w:tc>
        <w:tc>
          <w:tcPr>
            <w:tcW w:type="dxa" w:w="2160"/>
          </w:tcPr>
          <w:p>
            <w:r>
              <w:t>模型更新提示</w:t>
            </w:r>
          </w:p>
        </w:tc>
        <w:tc>
          <w:tcPr>
            <w:tcW w:type="dxa" w:w="2160"/>
          </w:tcPr>
          <w:p>
            <w:r>
              <w:t>用户确认更新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SR-08</w:t>
            </w:r>
          </w:p>
        </w:tc>
        <w:tc>
          <w:tcPr>
            <w:tcW w:type="dxa" w:w="2160"/>
          </w:tcPr>
          <w:p>
            <w:r>
              <w:t>离线安全模式</w:t>
            </w:r>
          </w:p>
        </w:tc>
        <w:tc>
          <w:tcPr>
            <w:tcW w:type="dxa" w:w="2160"/>
          </w:tcPr>
          <w:p>
            <w:r>
              <w:t>可完全禁用云调用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ER-05</w:t>
            </w:r>
          </w:p>
        </w:tc>
        <w:tc>
          <w:tcPr>
            <w:tcW w:type="dxa" w:w="2160"/>
          </w:tcPr>
          <w:p>
            <w:r>
              <w:t>自动构建/CI-CD</w:t>
            </w:r>
          </w:p>
        </w:tc>
        <w:tc>
          <w:tcPr>
            <w:tcW w:type="dxa" w:w="2160"/>
          </w:tcPr>
          <w:p>
            <w:r>
              <w:t>GitHub Actions+Docker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</w:tbl>
    <w:p/>
    <w:p>
      <w:pPr>
        <w:pStyle w:val="Heading1"/>
      </w:pPr>
      <w:r>
        <w:t>6.7 系统配置与用户管理模块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类型/编号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FR-26</w:t>
            </w:r>
          </w:p>
        </w:tc>
        <w:tc>
          <w:tcPr>
            <w:tcW w:type="dxa" w:w="2160"/>
          </w:tcPr>
          <w:p>
            <w:r>
              <w:t>语言对选择</w:t>
            </w:r>
          </w:p>
        </w:tc>
        <w:tc>
          <w:tcPr>
            <w:tcW w:type="dxa" w:w="2160"/>
          </w:tcPr>
          <w:p>
            <w:r>
              <w:t>保存用户语言偏好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FR-27</w:t>
            </w:r>
          </w:p>
        </w:tc>
        <w:tc>
          <w:tcPr>
            <w:tcW w:type="dxa" w:w="2160"/>
          </w:tcPr>
          <w:p>
            <w:r>
              <w:t>模式切换</w:t>
            </w:r>
          </w:p>
        </w:tc>
        <w:tc>
          <w:tcPr>
            <w:tcW w:type="dxa" w:w="2160"/>
          </w:tcPr>
          <w:p>
            <w:r>
              <w:t>快速/平衡/高精度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FR-28</w:t>
            </w:r>
          </w:p>
        </w:tc>
        <w:tc>
          <w:tcPr>
            <w:tcW w:type="dxa" w:w="2160"/>
          </w:tcPr>
          <w:p>
            <w:r>
              <w:t>语气模板选择</w:t>
            </w:r>
          </w:p>
        </w:tc>
        <w:tc>
          <w:tcPr>
            <w:tcW w:type="dxa" w:w="2160"/>
          </w:tcPr>
          <w:p>
            <w:r>
              <w:t>正式/口语/幽默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PR-09</w:t>
            </w:r>
          </w:p>
        </w:tc>
        <w:tc>
          <w:tcPr>
            <w:tcW w:type="dxa" w:w="2160"/>
          </w:tcPr>
          <w:p>
            <w:r>
              <w:t>CPU占用</w:t>
            </w:r>
          </w:p>
        </w:tc>
        <w:tc>
          <w:tcPr>
            <w:tcW w:type="dxa" w:w="2160"/>
          </w:tcPr>
          <w:p>
            <w:r>
              <w:t>≤70%(移动端)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UR-05</w:t>
            </w:r>
          </w:p>
        </w:tc>
        <w:tc>
          <w:tcPr>
            <w:tcW w:type="dxa" w:w="2160"/>
          </w:tcPr>
          <w:p>
            <w:r>
              <w:t>模式可配置</w:t>
            </w:r>
          </w:p>
        </w:tc>
        <w:tc>
          <w:tcPr>
            <w:tcW w:type="dxa" w:w="2160"/>
          </w:tcPr>
          <w:p>
            <w:r>
              <w:t>快速/平衡/高精度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SR-05</w:t>
            </w:r>
          </w:p>
        </w:tc>
        <w:tc>
          <w:tcPr>
            <w:tcW w:type="dxa" w:w="2160"/>
          </w:tcPr>
          <w:p>
            <w:r>
              <w:t>权限控制</w:t>
            </w:r>
          </w:p>
        </w:tc>
        <w:tc>
          <w:tcPr>
            <w:tcW w:type="dxa" w:w="2160"/>
          </w:tcPr>
          <w:p>
            <w:r>
              <w:t>麦克风/系统音频需显式授权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ER-08</w:t>
            </w:r>
          </w:p>
        </w:tc>
        <w:tc>
          <w:tcPr>
            <w:tcW w:type="dxa" w:w="2160"/>
          </w:tcPr>
          <w:p>
            <w:r>
              <w:t>开放SDK</w:t>
            </w:r>
          </w:p>
        </w:tc>
        <w:tc>
          <w:tcPr>
            <w:tcW w:type="dxa" w:w="2160"/>
          </w:tcPr>
          <w:p>
            <w:r>
              <w:t>企业/教育接口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</w:tbl>
    <w:p/>
    <w:p>
      <w:pPr>
        <w:pStyle w:val="Heading1"/>
      </w:pPr>
      <w:r>
        <w:t>6.8 日志与可观察性模块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类型/编号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FR-31</w:t>
            </w:r>
          </w:p>
        </w:tc>
        <w:tc>
          <w:tcPr>
            <w:tcW w:type="dxa" w:w="2160"/>
          </w:tcPr>
          <w:p>
            <w:r>
              <w:t>延迟/错误/修正事件记录</w:t>
            </w:r>
          </w:p>
        </w:tc>
        <w:tc>
          <w:tcPr>
            <w:tcW w:type="dxa" w:w="2160"/>
          </w:tcPr>
          <w:p>
            <w:r>
              <w:t>结构化日志记录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FR-32</w:t>
            </w:r>
          </w:p>
        </w:tc>
        <w:tc>
          <w:tcPr>
            <w:tcW w:type="dxa" w:w="2160"/>
          </w:tcPr>
          <w:p>
            <w:r>
              <w:t>性能统计导出</w:t>
            </w:r>
          </w:p>
        </w:tc>
        <w:tc>
          <w:tcPr>
            <w:tcW w:type="dxa" w:w="2160"/>
          </w:tcPr>
          <w:p>
            <w:r>
              <w:t>仪表盘与报表导出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FR-33</w:t>
            </w:r>
          </w:p>
        </w:tc>
        <w:tc>
          <w:tcPr>
            <w:tcW w:type="dxa" w:w="2160"/>
          </w:tcPr>
          <w:p>
            <w:r>
              <w:t>诊断日志模式</w:t>
            </w:r>
          </w:p>
        </w:tc>
        <w:tc>
          <w:tcPr>
            <w:tcW w:type="dxa" w:w="2160"/>
          </w:tcPr>
          <w:p>
            <w:r>
              <w:t>开发者调试输出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PR-10</w:t>
            </w:r>
          </w:p>
        </w:tc>
        <w:tc>
          <w:tcPr>
            <w:tcW w:type="dxa" w:w="2160"/>
          </w:tcPr>
          <w:p>
            <w:r>
              <w:t>启动时间(缓存后)</w:t>
            </w:r>
          </w:p>
        </w:tc>
        <w:tc>
          <w:tcPr>
            <w:tcW w:type="dxa" w:w="2160"/>
          </w:tcPr>
          <w:p>
            <w:r>
              <w:t>≤3s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UR-01</w:t>
            </w:r>
          </w:p>
        </w:tc>
        <w:tc>
          <w:tcPr>
            <w:tcW w:type="dxa" w:w="2160"/>
          </w:tcPr>
          <w:p>
            <w:r>
              <w:t>系统兼容性</w:t>
            </w:r>
          </w:p>
        </w:tc>
        <w:tc>
          <w:tcPr>
            <w:tcW w:type="dxa" w:w="2160"/>
          </w:tcPr>
          <w:p>
            <w:r>
              <w:t>Windows/macOS/Android/iOS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SR-06</w:t>
            </w:r>
          </w:p>
        </w:tc>
        <w:tc>
          <w:tcPr>
            <w:tcW w:type="dxa" w:w="2160"/>
          </w:tcPr>
          <w:p>
            <w:r>
              <w:t>日志脱敏</w:t>
            </w:r>
          </w:p>
        </w:tc>
        <w:tc>
          <w:tcPr>
            <w:tcW w:type="dxa" w:w="2160"/>
          </w:tcPr>
          <w:p>
            <w:r>
              <w:t>不保存用户内容，仅错误信息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ER-07</w:t>
            </w:r>
          </w:p>
        </w:tc>
        <w:tc>
          <w:tcPr>
            <w:tcW w:type="dxa" w:w="2160"/>
          </w:tcPr>
          <w:p>
            <w:r>
              <w:t>平均修复时间(MTTR)</w:t>
            </w:r>
          </w:p>
        </w:tc>
        <w:tc>
          <w:tcPr>
            <w:tcW w:type="dxa" w:w="2160"/>
          </w:tcPr>
          <w:p>
            <w:r>
              <w:t>≤4小时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