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28b17610b461dbdbff6bb60555ce6424b60747"/>
    <w:p>
      <w:pPr>
        <w:pStyle w:val="Heading1"/>
      </w:pPr>
      <w:r>
        <w:t xml:space="preserve">Conformité RGPD — Perturbation J3-bis (« La demande inattendue »)</w:t>
      </w:r>
    </w:p>
    <w:p>
      <w:pPr>
        <w:pStyle w:val="Block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En pleine journée du mercredi (sécurité J3 le matin + livraison MVP le soir),</w:t>
      </w:r>
      <w:r>
        <w:t xml:space="preserve"> </w:t>
      </w:r>
      <w:r>
        <w:t xml:space="preserve">une</w:t>
      </w:r>
      <w:r>
        <w:t xml:space="preserve"> </w:t>
      </w:r>
      <w:r>
        <w:rPr>
          <w:b/>
          <w:bCs/>
        </w:rPr>
        <w:t xml:space="preserve">demande formelle d'accès aux données personnelles</w:t>
      </w:r>
      <w:r>
        <w:t xml:space="preserve"> </w:t>
      </w:r>
      <w:r>
        <w:t xml:space="preserve">(SAR —</w:t>
      </w:r>
      <w:r>
        <w:t xml:space="preserve"> </w:t>
      </w:r>
      <w:r>
        <w:rPr>
          <w:i/>
          <w:iCs/>
        </w:rPr>
        <w:t xml:space="preserve">Subject Access Request</w:t>
      </w:r>
      <w:r>
        <w:t xml:space="preserve">,</w:t>
      </w:r>
      <w:r>
        <w:t xml:space="preserve"> </w:t>
      </w:r>
      <w:r>
        <w:t xml:space="preserve">RGPD</w:t>
      </w:r>
      <w:r>
        <w:t xml:space="preserve"> </w:t>
      </w:r>
      <w:r>
        <w:rPr>
          <w:b/>
          <w:bCs/>
        </w:rPr>
        <w:t xml:space="preserve">Art. 15</w:t>
      </w:r>
      <w:r>
        <w:t xml:space="preserve">) arrive. La perturbation J3-bis n'est</w:t>
      </w:r>
      <w:r>
        <w:t xml:space="preserve"> </w:t>
      </w:r>
      <w:r>
        <w:rPr>
          <w:b/>
          <w:bCs/>
        </w:rPr>
        <w:t xml:space="preserve">pas un sprint de code</w:t>
      </w:r>
      <w:r>
        <w:t xml:space="preserve"> </w:t>
      </w:r>
      <w:r>
        <w:t xml:space="preserve">: l'attendu</w:t>
      </w:r>
      <w:r>
        <w:t xml:space="preserve"> </w:t>
      </w:r>
      <w:r>
        <w:t xml:space="preserve">est une</w:t>
      </w:r>
      <w:r>
        <w:t xml:space="preserve"> </w:t>
      </w:r>
      <w:r>
        <w:rPr>
          <w:b/>
          <w:bCs/>
        </w:rPr>
        <w:t xml:space="preserve">décision documentée</w:t>
      </w:r>
      <w:r>
        <w:t xml:space="preserve"> </w:t>
      </w:r>
      <w:r>
        <w:t xml:space="preserve">(priorisation + registre + politique), l'implémentation</w:t>
      </w:r>
      <w:r>
        <w:t xml:space="preserve"> </w:t>
      </w:r>
      <w:r>
        <w:t xml:space="preserve">technique restant un bonus.</w:t>
      </w:r>
    </w:p>
    <w:bookmarkStart w:id="12" w:name="Xa62eb0f960d2868e81a62fe81e0be0fce143eb6"/>
    <w:p>
      <w:pPr>
        <w:pStyle w:val="Heading2"/>
      </w:pPr>
      <w:r>
        <w:t xml:space="preserve">Note de décision (arbitrage MoSCoW sous pression MVP)</w:t>
      </w:r>
    </w:p>
    <w:p>
      <w:pPr>
        <w:pStyle w:val="FirstParagraph"/>
      </w:pPr>
      <w:r>
        <w:t xml:space="preserve">Le mercredi est déjà saturé. On applique l'arbitrage suivant, annoncé au PO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Livrable J3-bis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Politique de rétention écrite (</w:t>
            </w:r>
            <w:hyperlink r:id="rId9">
              <w:r>
                <w:rPr>
                  <w:rStyle w:val="VerbatimChar"/>
                </w:rPr>
                <w:t xml:space="preserve">politique-retention.md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Fait ce jour — pur document, coût faible, obligation légale.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Registre des traitements (</w:t>
            </w:r>
            <w:hyperlink r:id="rId10">
              <w:r>
                <w:rPr>
                  <w:rStyle w:val="VerbatimChar"/>
                </w:rPr>
                <w:t xml:space="preserve">registre-traitements.md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Fait ce jour — cartographie exigée par l'Art. 30.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pages légales rédigées (mentions, confidentialité, CGU, cookies)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Rédigées en documents prêts à publier (voir ci-dessous).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 de réponse au demandeur SAR (</w:t>
            </w:r>
            <w:hyperlink r:id="rId11">
              <w:r>
                <w:rPr>
                  <w:rStyle w:val="VerbatimChar"/>
                </w:rPr>
                <w:t xml:space="preserve">email-reponse-sar.md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Fait ce jour — la demande doit être traitée sous 48 h (cf. grille).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d'export automatisé filtré par user (Art. 15/20)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Spécifié</w:t>
            </w:r>
            <w:r>
              <w:t xml:space="preserve"> </w:t>
            </w:r>
            <w:r>
              <w:t xml:space="preserve">ci-dessous ; implémentation = bonus post-MVP (ne bloque pas la livraison de mercredi soir).</w:t>
            </w:r>
          </w:p>
        </w:tc>
      </w:tr>
    </w:tbl>
    <w:p>
      <w:pPr>
        <w:pStyle w:val="BodyText"/>
      </w:pPr>
      <w:r>
        <w:rPr>
          <w:b/>
          <w:bCs/>
        </w:rPr>
        <w:t xml:space="preserve">Ce qu'on diffère et pourquoi :</w:t>
      </w:r>
      <w:r>
        <w:t xml:space="preserve"> </w:t>
      </w:r>
      <w:r>
        <w:t xml:space="preserve">l'endpoint d'export automatisé est</w:t>
      </w:r>
      <w:r>
        <w:t xml:space="preserve"> </w:t>
      </w:r>
      <w:r>
        <w:rPr>
          <w:i/>
          <w:iCs/>
        </w:rPr>
        <w:t xml:space="preserve">spécifié</w:t>
      </w:r>
      <w:r>
        <w:t xml:space="preserve"> </w:t>
      </w:r>
      <w:r>
        <w:t xml:space="preserve">mais son code</w:t>
      </w:r>
      <w:r>
        <w:t xml:space="preserve"> </w:t>
      </w:r>
      <w:r>
        <w:t xml:space="preserve">est reporté au Sprint 6 (jeudi) pour ne pas mettre en risque la livraison MVP de mercredi 17h45.</w:t>
      </w:r>
      <w:r>
        <w:t xml:space="preserve"> </w:t>
      </w:r>
      <w:r>
        <w:t xml:space="preserve">En attendant, une demande SAR est honorée</w:t>
      </w:r>
      <w:r>
        <w:t xml:space="preserve"> </w:t>
      </w:r>
      <w:r>
        <w:rPr>
          <w:b/>
          <w:bCs/>
        </w:rPr>
        <w:t xml:space="preserve">manuellement</w:t>
      </w:r>
      <w:r>
        <w:t xml:space="preserve"> </w:t>
      </w:r>
      <w:r>
        <w:t xml:space="preserve">(extraction DB filtrée par utilisateur)</w:t>
      </w:r>
      <w:r>
        <w:t xml:space="preserve"> </w:t>
      </w:r>
      <w:r>
        <w:t xml:space="preserve">dans le délai annoncé — ce qui suffit à la conformité tant que le volume est faible.</w:t>
      </w:r>
    </w:p>
    <w:bookmarkEnd w:id="12"/>
    <w:bookmarkStart w:id="17" w:name="contenu-du-dossier-docslegal"/>
    <w:p>
      <w:pPr>
        <w:pStyle w:val="Heading2"/>
      </w:pPr>
      <w:r>
        <w:t xml:space="preserve">Contenu du dossier</w:t>
      </w:r>
      <w:r>
        <w:t xml:space="preserve"> </w:t>
      </w:r>
      <w:r>
        <w:rPr>
          <w:rStyle w:val="VerbatimChar"/>
        </w:rPr>
        <w:t xml:space="preserve">/docs/legal/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VerbatimChar"/>
          </w:rPr>
          <w:t xml:space="preserve">politique-retention.md</w:t>
        </w:r>
      </w:hyperlink>
      <w:r>
        <w:t xml:space="preserve"> </w:t>
      </w:r>
      <w:r>
        <w:t xml:space="preserve">— durées de conservation, purge, archivage (3 sections).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VerbatimChar"/>
          </w:rPr>
          <w:t xml:space="preserve">registre-traitements.md</w:t>
        </w:r>
      </w:hyperlink>
      <w:r>
        <w:t xml:space="preserve"> </w:t>
      </w:r>
      <w:r>
        <w:t xml:space="preserve">— registre des activités de traitement (Art. 30).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email-reponse-sar.md</w:t>
        </w:r>
      </w:hyperlink>
      <w:r>
        <w:t xml:space="preserve"> </w:t>
      </w:r>
      <w:r>
        <w:t xml:space="preserve">— modèle d'email professionnel de réponse au demandeur.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VerbatimChar"/>
          </w:rPr>
          <w:t xml:space="preserve">mentions-legales.md</w:t>
        </w:r>
      </w:hyperlink>
      <w:r>
        <w:t xml:space="preserve"> </w:t>
      </w:r>
      <w:r>
        <w:t xml:space="preserve">— mentions légales (éditeur, hébergeur…).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VerbatimChar"/>
          </w:rPr>
          <w:t xml:space="preserve">politique-confidentialite.md</w:t>
        </w:r>
      </w:hyperlink>
      <w:r>
        <w:t xml:space="preserve"> </w:t>
      </w:r>
      <w:r>
        <w:t xml:space="preserve">— politique de confidentialité (RGPD).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VerbatimChar"/>
          </w:rPr>
          <w:t xml:space="preserve">cgu.md</w:t>
        </w:r>
      </w:hyperlink>
      <w:r>
        <w:t xml:space="preserve"> </w:t>
      </w:r>
      <w:r>
        <w:t xml:space="preserve">— conditions générales d'utilisation.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VerbatimChar"/>
          </w:rPr>
          <w:t xml:space="preserve">politique-cookies.md</w:t>
        </w:r>
      </w:hyperlink>
      <w:r>
        <w:t xml:space="preserve"> </w:t>
      </w:r>
      <w:r>
        <w:t xml:space="preserve">— politique de gestion des cookies.</w:t>
      </w:r>
    </w:p>
    <w:p>
      <w:pPr>
        <w:pStyle w:val="BlockText"/>
      </w:pPr>
      <w:r>
        <w:rPr>
          <w:b/>
          <w:bCs/>
        </w:rPr>
        <w:t xml:space="preserve">Rédigé sur le site (bonus) :</w:t>
      </w:r>
      <w:r>
        <w:t xml:space="preserve"> </w:t>
      </w:r>
      <w:r>
        <w:t xml:space="preserve">ces 4 pages existent en composants React vierges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frontend/src/pages/legal/</w:t>
      </w:r>
      <w:r>
        <w:t xml:space="preserve">). Le contenu ci-dessus est</w:t>
      </w:r>
      <w:r>
        <w:t xml:space="preserve"> </w:t>
      </w:r>
      <w:r>
        <w:rPr>
          <w:b/>
          <w:bCs/>
        </w:rPr>
        <w:t xml:space="preserve">prêt à y être collé</w:t>
      </w:r>
      <w:r>
        <w:t xml:space="preserve"> </w:t>
      </w:r>
      <w:r>
        <w:t xml:space="preserve">— le faire</w:t>
      </w:r>
      <w:r>
        <w:t xml:space="preserve"> </w:t>
      </w:r>
      <w:r>
        <w:t xml:space="preserve">est un bonus technique qui ne change pas la conformité documentaire.</w:t>
      </w:r>
    </w:p>
    <w:bookmarkEnd w:id="17"/>
    <w:bookmarkStart w:id="18" w:name="X96d5e63132297721cda488c5aa17a3e1998a8e0"/>
    <w:p>
      <w:pPr>
        <w:pStyle w:val="Heading2"/>
      </w:pPr>
      <w:r>
        <w:t xml:space="preserve">Spécification de l'endpoint d'export (Should — implémentation bonus)</w:t>
      </w:r>
    </w:p>
    <w:p>
      <w:pPr>
        <w:pStyle w:val="SourceCode"/>
      </w:pPr>
      <w:r>
        <w:rPr>
          <w:rStyle w:val="VerbatimChar"/>
        </w:rPr>
        <w:t xml:space="preserve">GET /api/accounts/export/          (authentifié)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Isolation stricte</w:t>
      </w:r>
      <w:r>
        <w:t xml:space="preserve"> </w:t>
      </w:r>
      <w:r>
        <w:t xml:space="preserve">: lit uniquement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et ses objets liés (</w:t>
      </w:r>
      <w:r>
        <w:rPr>
          <w:rStyle w:val="VerbatimChar"/>
        </w:rPr>
        <w:t xml:space="preserve">request.user.quizzes</w:t>
      </w:r>
      <w:r>
        <w:t xml:space="preserve">).</w:t>
      </w:r>
      <w:r>
        <w:t xml:space="preserve"> </w:t>
      </w:r>
      <w:r>
        <w:t xml:space="preserve">Aucun paramètre ne permet de viser un autre compte → un utilisateur n'exporte que</w:t>
      </w:r>
      <w:r>
        <w:t xml:space="preserve"> </w:t>
      </w:r>
      <w:r>
        <w:rPr>
          <w:b/>
          <w:bCs/>
        </w:rPr>
        <w:t xml:space="preserve">ses</w:t>
      </w:r>
      <w:r>
        <w:t xml:space="preserve"> </w:t>
      </w:r>
      <w:r>
        <w:t xml:space="preserve">données.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</w:t>
      </w:r>
      <w:r>
        <w:t xml:space="preserve"> </w:t>
      </w:r>
      <w:r>
        <w:t xml:space="preserve">: JSON</w:t>
      </w:r>
      <w:r>
        <w:t xml:space="preserve"> </w:t>
      </w:r>
      <w:r>
        <w:rPr>
          <w:i/>
          <w:iCs/>
        </w:rPr>
        <w:t xml:space="preserve">machine-readable</w:t>
      </w:r>
      <w:r>
        <w:t xml:space="preserve"> </w:t>
      </w:r>
      <w:r>
        <w:t xml:space="preserve">(RGPD Art. 20 — pas de PDF), en pièce jointe téléchargeable.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Périmètre</w:t>
      </w:r>
      <w:r>
        <w:t xml:space="preserve"> </w:t>
      </w:r>
      <w:r>
        <w:t xml:space="preserve">: compte (email, nom, prénom, date d'inscription, email vérifié) + quizz</w:t>
      </w:r>
      <w:r>
        <w:t xml:space="preserve"> </w:t>
      </w:r>
      <w:r>
        <w:t xml:space="preserve">(titre, texte source, score, date) + questions (énoncé, options, bonne réponse, réponse donnée).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Effacement (Art. 17)</w:t>
      </w:r>
      <w:r>
        <w:t xml:space="preserve"> </w:t>
      </w:r>
      <w:r>
        <w:t xml:space="preserve">: déjà couvert — la suppression de compte (</w:t>
      </w:r>
      <w:r>
        <w:rPr>
          <w:rStyle w:val="VerbatimChar"/>
        </w:rPr>
        <w:t xml:space="preserve">DELETE /api/accounts/profile/</w:t>
      </w:r>
      <w:r>
        <w:t xml:space="preserve">)</w:t>
      </w:r>
      <w:r>
        <w:t xml:space="preserve"> </w:t>
      </w:r>
      <w:r>
        <w:t xml:space="preserve">est en cascade (profil + quizz + questions), aucune donnée résiduelle.</w:t>
      </w:r>
    </w:p>
    <w:bookmarkEnd w:id="18"/>
    <w:bookmarkStart w:id="19" w:name="traçabilité-des-demandes-audit-trail-sar"/>
    <w:p>
      <w:pPr>
        <w:pStyle w:val="Heading2"/>
      </w:pPr>
      <w:r>
        <w:t xml:space="preserve">Traçabilité des demandes (audit trail SAR)</w:t>
      </w:r>
    </w:p>
    <w:p>
      <w:pPr>
        <w:pStyle w:val="FirstParagraph"/>
      </w:pPr>
      <w:r>
        <w:t xml:space="preserve">Chaque demande d'accès/effacement est journalisée dans un registre simple :</w:t>
      </w:r>
      <w:r>
        <w:t xml:space="preserve"> </w:t>
      </w:r>
      <w:r>
        <w:rPr>
          <w:b/>
          <w:bCs/>
        </w:rPr>
        <w:t xml:space="preserve">qui</w:t>
      </w:r>
      <w:r>
        <w:t xml:space="preserve"> </w:t>
      </w:r>
      <w:r>
        <w:t xml:space="preserve">(email du</w:t>
      </w:r>
      <w:r>
        <w:t xml:space="preserve"> </w:t>
      </w:r>
      <w:r>
        <w:t xml:space="preserve">demandeur),</w:t>
      </w:r>
      <w:r>
        <w:t xml:space="preserve"> </w:t>
      </w:r>
      <w:r>
        <w:rPr>
          <w:b/>
          <w:bCs/>
        </w:rPr>
        <w:t xml:space="preserve">quand</w:t>
      </w:r>
      <w:r>
        <w:t xml:space="preserve"> </w:t>
      </w:r>
      <w:r>
        <w:t xml:space="preserve">(date de réception),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(accès / portabilité / effacement),</w:t>
      </w:r>
      <w:r>
        <w:t xml:space="preserve"> </w:t>
      </w:r>
      <w:r>
        <w:rPr>
          <w:b/>
          <w:bCs/>
        </w:rPr>
        <w:t xml:space="preserve">statut</w:t>
      </w:r>
      <w:r>
        <w:t xml:space="preserve"> </w:t>
      </w:r>
      <w:r>
        <w:t xml:space="preserve">(reçue / en cours / traitée),</w:t>
      </w:r>
      <w:r>
        <w:t xml:space="preserve"> </w:t>
      </w:r>
      <w:r>
        <w:rPr>
          <w:b/>
          <w:bCs/>
        </w:rPr>
        <w:t xml:space="preserve">date de réponse</w:t>
      </w:r>
      <w:r>
        <w:t xml:space="preserve">. Objectif : prouver le respect des</w:t>
      </w:r>
      <w:r>
        <w:t xml:space="preserve"> </w:t>
      </w:r>
      <w:r>
        <w:t xml:space="preserve">délais en cas de contrôle CNIL (cf. amende Klarna 1,2 M€ pour SAR mal traités).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/cgu.md" TargetMode="External" /><Relationship Type="http://schemas.openxmlformats.org/officeDocument/2006/relationships/hyperlink" Id="rId11" Target="./email-reponse-sar.md" TargetMode="External" /><Relationship Type="http://schemas.openxmlformats.org/officeDocument/2006/relationships/hyperlink" Id="rId13" Target="./mentions-legales.md" TargetMode="External" /><Relationship Type="http://schemas.openxmlformats.org/officeDocument/2006/relationships/hyperlink" Id="rId14" Target="./politique-confidentialite.md" TargetMode="External" /><Relationship Type="http://schemas.openxmlformats.org/officeDocument/2006/relationships/hyperlink" Id="rId16" Target="./politique-cookies.md" TargetMode="External" /><Relationship Type="http://schemas.openxmlformats.org/officeDocument/2006/relationships/hyperlink" Id="rId9" Target="./politique-retention.md" TargetMode="External" /><Relationship Type="http://schemas.openxmlformats.org/officeDocument/2006/relationships/hyperlink" Id="rId10" Target="./registre-trait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/cgu.md" TargetMode="External" /><Relationship Type="http://schemas.openxmlformats.org/officeDocument/2006/relationships/hyperlink" Id="rId11" Target="./email-reponse-sar.md" TargetMode="External" /><Relationship Type="http://schemas.openxmlformats.org/officeDocument/2006/relationships/hyperlink" Id="rId13" Target="./mentions-legales.md" TargetMode="External" /><Relationship Type="http://schemas.openxmlformats.org/officeDocument/2006/relationships/hyperlink" Id="rId14" Target="./politique-confidentialite.md" TargetMode="External" /><Relationship Type="http://schemas.openxmlformats.org/officeDocument/2006/relationships/hyperlink" Id="rId16" Target="./politique-cookies.md" TargetMode="External" /><Relationship Type="http://schemas.openxmlformats.org/officeDocument/2006/relationships/hyperlink" Id="rId9" Target="./politique-retention.md" TargetMode="External" /><Relationship Type="http://schemas.openxmlformats.org/officeDocument/2006/relationships/hyperlink" Id="rId10" Target="./registre-trait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